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CB68" w14:textId="77777777" w:rsidR="00136D66" w:rsidRDefault="00000000">
      <w:pPr>
        <w:spacing w:before="1600" w:after="200"/>
        <w:jc w:val="center"/>
      </w:pPr>
      <w:r>
        <w:rPr>
          <w:b/>
          <w:bCs/>
          <w:color w:val="2E75B6"/>
          <w:spacing w:val="20"/>
          <w:sz w:val="24"/>
          <w:szCs w:val="24"/>
        </w:rPr>
        <w:t>PROJECT PROPOSAL &amp; RESEARCH PLAN</w:t>
      </w:r>
    </w:p>
    <w:p w14:paraId="13F34939" w14:textId="77777777" w:rsidR="00136D66" w:rsidRDefault="00000000">
      <w:pPr>
        <w:spacing w:before="200" w:after="100"/>
        <w:jc w:val="center"/>
      </w:pPr>
      <w:r>
        <w:rPr>
          <w:b/>
          <w:bCs/>
          <w:color w:val="1F4E79"/>
          <w:sz w:val="44"/>
          <w:szCs w:val="44"/>
        </w:rPr>
        <w:t>Frequency-Aware Explainable Transformer</w:t>
      </w:r>
    </w:p>
    <w:p w14:paraId="774CCD85" w14:textId="77777777" w:rsidR="00136D66" w:rsidRDefault="00000000">
      <w:pPr>
        <w:spacing w:after="400"/>
        <w:jc w:val="center"/>
      </w:pPr>
      <w:r>
        <w:rPr>
          <w:b/>
          <w:bCs/>
          <w:color w:val="1F4E79"/>
          <w:sz w:val="32"/>
          <w:szCs w:val="32"/>
        </w:rPr>
        <w:t>for Robust, Trustworthy EEG Emotion Recognition</w:t>
      </w:r>
    </w:p>
    <w:p w14:paraId="587561E6" w14:textId="77777777" w:rsidR="00136D66" w:rsidRDefault="00000000">
      <w:pPr>
        <w:spacing w:before="100" w:after="100"/>
        <w:jc w:val="center"/>
      </w:pPr>
      <w:r>
        <w:rPr>
          <w:i/>
          <w:iCs/>
          <w:color w:val="595959"/>
          <w:sz w:val="24"/>
          <w:szCs w:val="24"/>
        </w:rPr>
        <w:t>Multi-Band Brain Dynamics · Explainable AI · Responsible AI</w:t>
      </w:r>
    </w:p>
    <w:p w14:paraId="2A3994B0" w14:textId="77777777" w:rsidR="00136D66" w:rsidRDefault="00000000">
      <w:pPr>
        <w:spacing w:before="900" w:after="60"/>
        <w:jc w:val="center"/>
      </w:pPr>
      <w:r>
        <w:rPr>
          <w:color w:val="595959"/>
          <w:sz w:val="22"/>
          <w:szCs w:val="22"/>
        </w:rPr>
        <w:t>Dataset: SEED-IV (SJTU Emotion EEG Dataset – IV)</w:t>
      </w:r>
    </w:p>
    <w:p w14:paraId="609BA9FD" w14:textId="77777777" w:rsidR="00136D66" w:rsidRDefault="00000000">
      <w:pPr>
        <w:spacing w:after="60"/>
        <w:jc w:val="center"/>
      </w:pPr>
      <w:r>
        <w:rPr>
          <w:color w:val="595959"/>
          <w:sz w:val="22"/>
          <w:szCs w:val="22"/>
        </w:rPr>
        <w:t>Target: Peer-reviewed SCI-indexed publication</w:t>
      </w:r>
    </w:p>
    <w:p w14:paraId="4ED53CAE" w14:textId="77777777" w:rsidR="00136D66" w:rsidRDefault="00000000">
      <w:pPr>
        <w:spacing w:before="1400"/>
        <w:jc w:val="center"/>
      </w:pPr>
      <w:r>
        <w:rPr>
          <w:color w:val="595959"/>
        </w:rPr>
        <w:t>August 2026</w:t>
      </w:r>
    </w:p>
    <w:p w14:paraId="6585BD05" w14:textId="77777777" w:rsidR="00136D66" w:rsidRDefault="00000000">
      <w:r>
        <w:br w:type="page"/>
      </w:r>
    </w:p>
    <w:p w14:paraId="56B1528A" w14:textId="77777777" w:rsidR="00136D66" w:rsidRDefault="00000000">
      <w:pPr>
        <w:pStyle w:val="Heading1"/>
        <w:spacing w:before="360" w:after="160"/>
      </w:pPr>
      <w:r>
        <w:lastRenderedPageBreak/>
        <w:t>Table of Contents</w:t>
      </w:r>
    </w:p>
    <w:p w14:paraId="6BB85D49" w14:textId="77777777" w:rsidR="00136D66" w:rsidRDefault="00000000">
      <w:pPr>
        <w:spacing w:after="130" w:line="280" w:lineRule="auto"/>
      </w:pPr>
      <w:r>
        <w:rPr>
          <w:color w:val="2E75B6"/>
          <w:sz w:val="22"/>
          <w:szCs w:val="22"/>
        </w:rPr>
        <w:t>1. Introduction</w:t>
      </w:r>
    </w:p>
    <w:p w14:paraId="1ADF9B9A" w14:textId="77777777" w:rsidR="00136D66" w:rsidRDefault="00000000">
      <w:pPr>
        <w:spacing w:after="130" w:line="280" w:lineRule="auto"/>
      </w:pPr>
      <w:r>
        <w:rPr>
          <w:color w:val="2E75B6"/>
          <w:sz w:val="22"/>
          <w:szCs w:val="22"/>
        </w:rPr>
        <w:t>2. Motivation and Research Gap</w:t>
      </w:r>
    </w:p>
    <w:p w14:paraId="0F6133F2" w14:textId="77777777" w:rsidR="00136D66" w:rsidRDefault="00000000">
      <w:pPr>
        <w:spacing w:after="130" w:line="280" w:lineRule="auto"/>
      </w:pPr>
      <w:r>
        <w:rPr>
          <w:color w:val="2E75B6"/>
          <w:sz w:val="22"/>
          <w:szCs w:val="22"/>
        </w:rPr>
        <w:t>3. Proposed Title</w:t>
      </w:r>
    </w:p>
    <w:p w14:paraId="1F128BF4" w14:textId="77777777" w:rsidR="00136D66" w:rsidRDefault="00000000">
      <w:pPr>
        <w:spacing w:after="130" w:line="280" w:lineRule="auto"/>
      </w:pPr>
      <w:r>
        <w:rPr>
          <w:color w:val="2E75B6"/>
          <w:sz w:val="22"/>
          <w:szCs w:val="22"/>
        </w:rPr>
        <w:t>4. Research Objectives</w:t>
      </w:r>
    </w:p>
    <w:p w14:paraId="258FDC98" w14:textId="77777777" w:rsidR="00136D66" w:rsidRDefault="00000000">
      <w:pPr>
        <w:spacing w:after="130" w:line="280" w:lineRule="auto"/>
      </w:pPr>
      <w:r>
        <w:rPr>
          <w:color w:val="2E75B6"/>
          <w:sz w:val="22"/>
          <w:szCs w:val="22"/>
        </w:rPr>
        <w:t>5. Proposed Methodology</w:t>
      </w:r>
    </w:p>
    <w:p w14:paraId="1B0E7B9A" w14:textId="77777777" w:rsidR="00136D66" w:rsidRDefault="00000000">
      <w:pPr>
        <w:spacing w:after="130" w:line="280" w:lineRule="auto"/>
      </w:pPr>
      <w:r>
        <w:rPr>
          <w:color w:val="2E75B6"/>
          <w:sz w:val="22"/>
          <w:szCs w:val="22"/>
        </w:rPr>
        <w:t>6. Novel Contributions</w:t>
      </w:r>
    </w:p>
    <w:p w14:paraId="15A88842" w14:textId="77777777" w:rsidR="00136D66" w:rsidRDefault="00000000">
      <w:pPr>
        <w:spacing w:after="130" w:line="280" w:lineRule="auto"/>
      </w:pPr>
      <w:r>
        <w:rPr>
          <w:color w:val="2E75B6"/>
          <w:sz w:val="22"/>
          <w:szCs w:val="22"/>
        </w:rPr>
        <w:t>7. Dataset</w:t>
      </w:r>
    </w:p>
    <w:p w14:paraId="7D800020" w14:textId="77777777" w:rsidR="00136D66" w:rsidRDefault="00000000">
      <w:pPr>
        <w:spacing w:after="130" w:line="280" w:lineRule="auto"/>
      </w:pPr>
      <w:r>
        <w:rPr>
          <w:color w:val="2E75B6"/>
          <w:sz w:val="22"/>
          <w:szCs w:val="22"/>
        </w:rPr>
        <w:t>8. Baseline Models</w:t>
      </w:r>
    </w:p>
    <w:p w14:paraId="3291B5A6" w14:textId="77777777" w:rsidR="00136D66" w:rsidRDefault="00000000">
      <w:pPr>
        <w:spacing w:after="130" w:line="280" w:lineRule="auto"/>
      </w:pPr>
      <w:r>
        <w:rPr>
          <w:color w:val="2E75B6"/>
          <w:sz w:val="22"/>
          <w:szCs w:val="22"/>
        </w:rPr>
        <w:t>9. Evaluation Protocol &amp; Metrics</w:t>
      </w:r>
    </w:p>
    <w:p w14:paraId="1AF27C0C" w14:textId="77777777" w:rsidR="00136D66" w:rsidRDefault="00000000">
      <w:pPr>
        <w:spacing w:after="130" w:line="280" w:lineRule="auto"/>
      </w:pPr>
      <w:r>
        <w:rPr>
          <w:color w:val="2E75B6"/>
          <w:sz w:val="22"/>
          <w:szCs w:val="22"/>
        </w:rPr>
        <w:t>10. Ethical AI and Responsible AI Considerations</w:t>
      </w:r>
    </w:p>
    <w:p w14:paraId="6E80D355" w14:textId="77777777" w:rsidR="00136D66" w:rsidRDefault="00000000">
      <w:r>
        <w:br w:type="page"/>
      </w:r>
    </w:p>
    <w:p w14:paraId="5F384522" w14:textId="77777777" w:rsidR="00136D66" w:rsidRDefault="00000000">
      <w:pPr>
        <w:pStyle w:val="Heading1"/>
        <w:spacing w:before="360" w:after="160"/>
      </w:pPr>
      <w:r>
        <w:lastRenderedPageBreak/>
        <w:t>1. Introduction</w:t>
      </w:r>
    </w:p>
    <w:p w14:paraId="0CC120DE" w14:textId="77777777" w:rsidR="00136D66" w:rsidRDefault="00000000">
      <w:pPr>
        <w:spacing w:after="160" w:line="300" w:lineRule="auto"/>
      </w:pPr>
      <w:r>
        <w:rPr>
          <w:sz w:val="22"/>
          <w:szCs w:val="22"/>
        </w:rPr>
        <w:t>Emotion recognition from Electroencephalography (EEG) signals is a rapidly growing area of affective computing, with direct applications in mental health monitoring, human–computer interaction, adaptive learning systems, and brain–computer interfaces. Because EEG signals originate directly from neural activity, they offer a more objective and involuntary window into a person's emotional state than facial expression, speech, or self-report, which can be consciously masked or biased.</w:t>
      </w:r>
    </w:p>
    <w:p w14:paraId="68168D42" w14:textId="77777777" w:rsidR="00136D66" w:rsidRDefault="00000000">
      <w:pPr>
        <w:spacing w:after="160" w:line="300" w:lineRule="auto"/>
      </w:pPr>
      <w:r>
        <w:rPr>
          <w:sz w:val="22"/>
          <w:szCs w:val="22"/>
        </w:rPr>
        <w:t>Despite strong progress in deep learning-based EEG emotion recognition, most existing approaches share three limitations: (1) they concatenate all frequency bands (delta, theta, alpha, beta, gamma) into a single input representation, discarding the distinct neurophysiological role each band plays in emotional processing; (2) they optimise purely for classification accuracy, offering little to no insight into which brain regions or frequency bands drove a prediction; and (3) they rarely address whether their models can be trusted — i.e., whether predictions are well-calibrated, fair across subjects, and explainable in a way that is verifiably faithful to the model's actual reasoning.</w:t>
      </w:r>
    </w:p>
    <w:p w14:paraId="4436080D" w14:textId="77777777" w:rsidR="00136D66" w:rsidRDefault="00000000">
      <w:pPr>
        <w:spacing w:after="140" w:line="300" w:lineRule="auto"/>
      </w:pPr>
      <w:r>
        <w:rPr>
          <w:b/>
          <w:bCs/>
          <w:color w:val="1F4E79"/>
          <w:sz w:val="22"/>
          <w:szCs w:val="22"/>
        </w:rPr>
        <w:t xml:space="preserve">This project addresses all three gaps. </w:t>
      </w:r>
      <w:r>
        <w:rPr>
          <w:sz w:val="22"/>
          <w:szCs w:val="22"/>
        </w:rPr>
        <w:t>We propose a frequency-aware, graph-attention-based transformer architecture for EEG emotion recognition that is explainable by design and evaluated under a Responsible AI framework — not accuracy alone.</w:t>
      </w:r>
    </w:p>
    <w:p w14:paraId="67DFA3DA" w14:textId="77777777" w:rsidR="00136D66" w:rsidRDefault="00000000">
      <w:pPr>
        <w:pStyle w:val="Heading1"/>
        <w:spacing w:before="360" w:after="160"/>
      </w:pPr>
      <w:r>
        <w:t>2. Motivation and Research Gap</w:t>
      </w:r>
    </w:p>
    <w:p w14:paraId="099DC6D4" w14:textId="77777777" w:rsidR="00136D66" w:rsidRDefault="00000000">
      <w:pPr>
        <w:spacing w:after="160" w:line="300" w:lineRule="auto"/>
      </w:pPr>
      <w:r>
        <w:rPr>
          <w:sz w:val="22"/>
          <w:szCs w:val="22"/>
        </w:rPr>
        <w:t>A review of recent literature (2024–2026) confirms that multi-band attention transformers, wavelet-transformer hybrids, and graph-based EEG models (e.g., DGCNN, RGNN, BRAD-Net, AWT-Net, EMT) are already well explored for raw accuracy improvements. However, very few of these works verify that their ‘explainability’ outputs (attention maps, SHAP values) are actually faithful to the model's decision process, and almost none report calibrated confidence or cross-subject fairness — both of which are essential for any EEG-based system intended for real-world, human-facing use.</w:t>
      </w:r>
    </w:p>
    <w:p w14:paraId="04E16453" w14:textId="77777777" w:rsidR="00136D66" w:rsidRDefault="00000000">
      <w:pPr>
        <w:pStyle w:val="Heading2"/>
        <w:spacing w:before="260" w:after="120"/>
      </w:pPr>
      <w:r>
        <w:t>2.1 Identified Gap</w:t>
      </w:r>
    </w:p>
    <w:p w14:paraId="55D26532" w14:textId="77777777" w:rsidR="00136D66" w:rsidRDefault="00000000">
      <w:pPr>
        <w:pStyle w:val="ListParagraph"/>
        <w:numPr>
          <w:ilvl w:val="0"/>
          <w:numId w:val="2"/>
        </w:numPr>
        <w:spacing w:after="90" w:line="280" w:lineRule="auto"/>
      </w:pPr>
      <w:r>
        <w:rPr>
          <w:sz w:val="22"/>
          <w:szCs w:val="22"/>
        </w:rPr>
        <w:t>Existing multi-band / cross-band attention models report accuracy but rarely validate whether attention maps are causally meaningful (faithfulness).</w:t>
      </w:r>
    </w:p>
    <w:p w14:paraId="03810CFA" w14:textId="77777777" w:rsidR="00136D66" w:rsidRDefault="00000000">
      <w:pPr>
        <w:pStyle w:val="ListParagraph"/>
        <w:numPr>
          <w:ilvl w:val="0"/>
          <w:numId w:val="2"/>
        </w:numPr>
        <w:spacing w:after="90" w:line="280" w:lineRule="auto"/>
      </w:pPr>
      <w:r>
        <w:rPr>
          <w:sz w:val="22"/>
          <w:szCs w:val="22"/>
        </w:rPr>
        <w:t>Very few EEG emotion models quantify or calibrate predictive uncertainty — models output a hard label even when the signal is ambiguous.</w:t>
      </w:r>
    </w:p>
    <w:p w14:paraId="08DB962F" w14:textId="77777777" w:rsidR="00136D66" w:rsidRDefault="00000000">
      <w:pPr>
        <w:pStyle w:val="ListParagraph"/>
        <w:numPr>
          <w:ilvl w:val="0"/>
          <w:numId w:val="2"/>
        </w:numPr>
        <w:spacing w:after="90" w:line="280" w:lineRule="auto"/>
      </w:pPr>
      <w:r>
        <w:rPr>
          <w:sz w:val="22"/>
          <w:szCs w:val="22"/>
        </w:rPr>
        <w:t>Cross-subject performance is usually reported only as an average; per-subject fairness and worst-case reliability are rarely analysed.</w:t>
      </w:r>
    </w:p>
    <w:p w14:paraId="6B1D47DD" w14:textId="77777777" w:rsidR="00136D66" w:rsidRDefault="00000000">
      <w:pPr>
        <w:pStyle w:val="ListParagraph"/>
        <w:numPr>
          <w:ilvl w:val="0"/>
          <w:numId w:val="2"/>
        </w:numPr>
        <w:spacing w:after="90" w:line="280" w:lineRule="auto"/>
      </w:pPr>
      <w:r>
        <w:rPr>
          <w:sz w:val="22"/>
          <w:szCs w:val="22"/>
        </w:rPr>
        <w:t>“Explainability” in this field is typically a visualisation, not a verified, quantified property of the model.</w:t>
      </w:r>
    </w:p>
    <w:p w14:paraId="5D5ACB5D" w14:textId="77777777" w:rsidR="00136D66" w:rsidRDefault="00000000">
      <w:pPr>
        <w:spacing w:after="140" w:line="300" w:lineRule="auto"/>
      </w:pPr>
      <w:r>
        <w:rPr>
          <w:b/>
          <w:bCs/>
          <w:color w:val="1F4E79"/>
          <w:sz w:val="22"/>
          <w:szCs w:val="22"/>
        </w:rPr>
        <w:t xml:space="preserve">Our positioning: </w:t>
      </w:r>
      <w:r>
        <w:rPr>
          <w:sz w:val="22"/>
          <w:szCs w:val="22"/>
        </w:rPr>
        <w:t>we do not compete on raw accuracy alone against 2025–26 SOTA models. We compete on trustworthiness — a model that is accurate, explains itself faithfully, knows when it is uncertain, and performs fairly across subjects.</w:t>
      </w:r>
    </w:p>
    <w:p w14:paraId="7F38A624" w14:textId="77777777" w:rsidR="00136D66" w:rsidRDefault="00000000">
      <w:pPr>
        <w:pStyle w:val="Heading1"/>
        <w:spacing w:before="360" w:after="160"/>
      </w:pPr>
      <w:r>
        <w:lastRenderedPageBreak/>
        <w:t>3. Proposed Title</w:t>
      </w:r>
    </w:p>
    <w:p w14:paraId="3B4AC0D8" w14:textId="77777777" w:rsidR="00136D66" w:rsidRDefault="00000000">
      <w:pPr>
        <w:pBdr>
          <w:top w:val="single" w:sz="6" w:space="8" w:color="2E75B6"/>
          <w:left w:val="single" w:sz="6" w:space="8" w:color="2E75B6"/>
          <w:bottom w:val="single" w:sz="6" w:space="8" w:color="2E75B6"/>
          <w:right w:val="single" w:sz="6" w:space="8" w:color="2E75B6"/>
        </w:pBdr>
        <w:shd w:val="clear" w:color="auto" w:fill="EAF1F8"/>
        <w:spacing w:before="80" w:after="240"/>
      </w:pPr>
      <w:r>
        <w:rPr>
          <w:b/>
          <w:bCs/>
          <w:i/>
          <w:iCs/>
          <w:color w:val="1F4E79"/>
          <w:sz w:val="24"/>
          <w:szCs w:val="24"/>
        </w:rPr>
        <w:t xml:space="preserve">  “Frequency-Aware Explainable Transformer for Robust and Trustworthy EEG Emotion Recognition Using Multi-Band Brain Dynamics”</w:t>
      </w:r>
    </w:p>
    <w:p w14:paraId="3DD4EB6C" w14:textId="77777777" w:rsidR="00136D66" w:rsidRDefault="00000000">
      <w:pPr>
        <w:pStyle w:val="Heading1"/>
        <w:spacing w:before="360" w:after="160"/>
      </w:pPr>
      <w:r>
        <w:t>4. Research Objectives</w:t>
      </w:r>
    </w:p>
    <w:p w14:paraId="2C58569E" w14:textId="77777777" w:rsidR="00136D66" w:rsidRDefault="00000000">
      <w:pPr>
        <w:pStyle w:val="ListParagraph"/>
        <w:numPr>
          <w:ilvl w:val="0"/>
          <w:numId w:val="3"/>
        </w:numPr>
        <w:spacing w:after="90" w:line="280" w:lineRule="auto"/>
      </w:pPr>
      <w:r>
        <w:rPr>
          <w:sz w:val="22"/>
          <w:szCs w:val="22"/>
        </w:rPr>
        <w:t>Design a frequency-band-aware architecture that encodes delta, theta, alpha, beta, and gamma activity separately before modelling their interactions, rather than early concatenation.</w:t>
      </w:r>
    </w:p>
    <w:p w14:paraId="53FFB0B5" w14:textId="77777777" w:rsidR="00136D66" w:rsidRDefault="00000000">
      <w:pPr>
        <w:pStyle w:val="ListParagraph"/>
        <w:numPr>
          <w:ilvl w:val="0"/>
          <w:numId w:val="3"/>
        </w:numPr>
        <w:spacing w:after="90" w:line="280" w:lineRule="auto"/>
      </w:pPr>
      <w:r>
        <w:rPr>
          <w:sz w:val="22"/>
          <w:szCs w:val="22"/>
        </w:rPr>
        <w:t>Model spatial (inter-channel) relationships using a Graph Attention Network (GAT) over the 62-channel EEG montage, and frequency-band interactions using cross-band transformer attention.</w:t>
      </w:r>
    </w:p>
    <w:p w14:paraId="132AEA45" w14:textId="77777777" w:rsidR="00136D66" w:rsidRDefault="00000000">
      <w:pPr>
        <w:pStyle w:val="ListParagraph"/>
        <w:numPr>
          <w:ilvl w:val="0"/>
          <w:numId w:val="3"/>
        </w:numPr>
        <w:spacing w:after="90" w:line="280" w:lineRule="auto"/>
      </w:pPr>
      <w:r>
        <w:rPr>
          <w:sz w:val="22"/>
          <w:szCs w:val="22"/>
        </w:rPr>
        <w:t>Verify explainability outputs using faithfulness metrics (deletion/insertion AUC), not just attention visualisation.</w:t>
      </w:r>
    </w:p>
    <w:p w14:paraId="706A1CB9" w14:textId="77777777" w:rsidR="00136D66" w:rsidRDefault="00000000">
      <w:pPr>
        <w:pStyle w:val="ListParagraph"/>
        <w:numPr>
          <w:ilvl w:val="0"/>
          <w:numId w:val="3"/>
        </w:numPr>
        <w:spacing w:after="90" w:line="280" w:lineRule="auto"/>
      </w:pPr>
      <w:r>
        <w:rPr>
          <w:sz w:val="22"/>
          <w:szCs w:val="22"/>
        </w:rPr>
        <w:t>Incorporate uncertainty quantification and calibration so the model can express confidence and abstain on ambiguous trials.</w:t>
      </w:r>
    </w:p>
    <w:p w14:paraId="31DCE63C" w14:textId="77777777" w:rsidR="00136D66" w:rsidRDefault="00000000">
      <w:pPr>
        <w:pStyle w:val="ListParagraph"/>
        <w:numPr>
          <w:ilvl w:val="0"/>
          <w:numId w:val="3"/>
        </w:numPr>
        <w:spacing w:after="90" w:line="280" w:lineRule="auto"/>
      </w:pPr>
      <w:r>
        <w:rPr>
          <w:sz w:val="22"/>
          <w:szCs w:val="22"/>
        </w:rPr>
        <w:t>Evaluate fairness and robustness across subjects, not only average accuracy.</w:t>
      </w:r>
    </w:p>
    <w:p w14:paraId="02795D8C" w14:textId="77777777" w:rsidR="00136D66" w:rsidRDefault="00000000">
      <w:pPr>
        <w:pStyle w:val="ListParagraph"/>
        <w:numPr>
          <w:ilvl w:val="0"/>
          <w:numId w:val="3"/>
        </w:numPr>
        <w:spacing w:after="90" w:line="280" w:lineRule="auto"/>
      </w:pPr>
      <w:r>
        <w:rPr>
          <w:sz w:val="22"/>
          <w:szCs w:val="22"/>
        </w:rPr>
        <w:t>Benchmark rigorously against classical ML, CNN-LSTM (as instructed by guide), graph-based, and transformer-based baselines under identical protocols.</w:t>
      </w:r>
    </w:p>
    <w:p w14:paraId="05067DDC" w14:textId="77777777" w:rsidR="00136D66" w:rsidRDefault="00000000">
      <w:pPr>
        <w:pStyle w:val="ListParagraph"/>
        <w:numPr>
          <w:ilvl w:val="0"/>
          <w:numId w:val="3"/>
        </w:numPr>
        <w:spacing w:after="90" w:line="280" w:lineRule="auto"/>
      </w:pPr>
      <w:r>
        <w:rPr>
          <w:sz w:val="22"/>
          <w:szCs w:val="22"/>
        </w:rPr>
        <w:t>Ground the model's explanations against established neuroscience findings (e.g., frontal alpha asymmetry, gamma-band engagement) for scientific validity.</w:t>
      </w:r>
    </w:p>
    <w:p w14:paraId="651704AA" w14:textId="77777777" w:rsidR="00136D66" w:rsidRDefault="00000000">
      <w:r>
        <w:br w:type="page"/>
      </w:r>
    </w:p>
    <w:p w14:paraId="3F1AD0E1" w14:textId="77777777" w:rsidR="00136D66" w:rsidRDefault="00000000">
      <w:pPr>
        <w:pStyle w:val="Heading1"/>
        <w:spacing w:before="360" w:after="160"/>
      </w:pPr>
      <w:r>
        <w:lastRenderedPageBreak/>
        <w:t>5. Proposed Methodology</w:t>
      </w:r>
    </w:p>
    <w:p w14:paraId="02CC1E36" w14:textId="77777777" w:rsidR="00136D66" w:rsidRDefault="00000000">
      <w:pPr>
        <w:pStyle w:val="Heading2"/>
        <w:spacing w:before="260" w:after="120"/>
      </w:pPr>
      <w:r>
        <w:t>5.1 Pipeline Overview</w:t>
      </w:r>
    </w:p>
    <w:p w14:paraId="6BAFA241" w14:textId="77777777" w:rsidR="00136D66" w:rsidRDefault="00000000">
      <w:pPr>
        <w:spacing w:after="160" w:line="300" w:lineRule="auto"/>
      </w:pPr>
      <w:r>
        <w:rPr>
          <w:sz w:val="22"/>
          <w:szCs w:val="22"/>
        </w:rPr>
        <w:t>Raw EEG → Band-pass Filtering (Delta / Theta / Alpha / Beta / Gamma) → Per-Band Feature Encoders → Graph Attention Network (spatial, channel-level) → Cross-Band Attention (Transformer, frequency-level) → Uncertainty-Aware Classification Head (KAN) → Faithfulness-Verified Explainability Layer → Emotion Prediction (Happy / Sad / Fear / Neutral).</w:t>
      </w:r>
    </w:p>
    <w:p w14:paraId="4BF09100" w14:textId="77777777" w:rsidR="00136D66" w:rsidRDefault="00000000">
      <w:pPr>
        <w:pStyle w:val="Heading2"/>
        <w:spacing w:before="260" w:after="120"/>
      </w:pPr>
      <w:r>
        <w:t>5.2 Architecture Components</w:t>
      </w:r>
    </w:p>
    <w:p w14:paraId="66F78171" w14:textId="77777777" w:rsidR="00136D66" w:rsidRDefault="00000000">
      <w:pPr>
        <w:pStyle w:val="ListParagraph"/>
        <w:numPr>
          <w:ilvl w:val="0"/>
          <w:numId w:val="2"/>
        </w:numPr>
        <w:spacing w:after="90" w:line="280" w:lineRule="auto"/>
      </w:pPr>
      <w:r>
        <w:rPr>
          <w:sz w:val="22"/>
          <w:szCs w:val="22"/>
        </w:rPr>
        <w:t>Per-band Encoders: separate lightweight encoders for each of the 5 EEG frequency bands, preserving band-specific neurophysiological signal instead of early concatenation.</w:t>
      </w:r>
    </w:p>
    <w:p w14:paraId="402DC117" w14:textId="77777777" w:rsidR="00136D66" w:rsidRDefault="00000000">
      <w:pPr>
        <w:pStyle w:val="ListParagraph"/>
        <w:numPr>
          <w:ilvl w:val="0"/>
          <w:numId w:val="2"/>
        </w:numPr>
        <w:spacing w:after="90" w:line="280" w:lineRule="auto"/>
      </w:pPr>
      <w:r>
        <w:rPr>
          <w:sz w:val="22"/>
          <w:szCs w:val="22"/>
        </w:rPr>
        <w:t>Graph Attention Network (GAT): treats the 62 EEG channels as graph nodes (using channel_62_</w:t>
      </w:r>
      <w:proofErr w:type="gramStart"/>
      <w:r>
        <w:rPr>
          <w:sz w:val="22"/>
          <w:szCs w:val="22"/>
        </w:rPr>
        <w:t>pos.locs</w:t>
      </w:r>
      <w:proofErr w:type="gramEnd"/>
      <w:r>
        <w:rPr>
          <w:sz w:val="22"/>
          <w:szCs w:val="22"/>
        </w:rPr>
        <w:t xml:space="preserve"> for spatial layout) and learns which channel-to-channel relationships matter — attention weights double as spatial explainability.</w:t>
      </w:r>
    </w:p>
    <w:p w14:paraId="36555E8E" w14:textId="77777777" w:rsidR="00136D66" w:rsidRDefault="00000000">
      <w:pPr>
        <w:pStyle w:val="ListParagraph"/>
        <w:numPr>
          <w:ilvl w:val="0"/>
          <w:numId w:val="2"/>
        </w:numPr>
        <w:spacing w:after="90" w:line="280" w:lineRule="auto"/>
      </w:pPr>
      <w:r>
        <w:rPr>
          <w:sz w:val="22"/>
          <w:szCs w:val="22"/>
        </w:rPr>
        <w:t>Cross-Band Transformer Attention: learns how delta/theta/alpha/beta/gamma bands interact with one another for a given emotional state.</w:t>
      </w:r>
    </w:p>
    <w:p w14:paraId="04194734" w14:textId="77777777" w:rsidR="00136D66" w:rsidRDefault="00000000">
      <w:pPr>
        <w:pStyle w:val="ListParagraph"/>
        <w:numPr>
          <w:ilvl w:val="0"/>
          <w:numId w:val="2"/>
        </w:numPr>
        <w:spacing w:after="90" w:line="280" w:lineRule="auto"/>
      </w:pPr>
      <w:r>
        <w:rPr>
          <w:sz w:val="22"/>
          <w:szCs w:val="22"/>
        </w:rPr>
        <w:t>KAN-based Classification Head: replaces the standard MLP output layer with a Kolmogorov-Arnold Network layer — fewer parameters, learnable and visualisable activation functions, tested via ablation against a standard MLP head.</w:t>
      </w:r>
    </w:p>
    <w:p w14:paraId="58CD52A8" w14:textId="77777777" w:rsidR="00136D66" w:rsidRDefault="00000000">
      <w:pPr>
        <w:pStyle w:val="ListParagraph"/>
        <w:numPr>
          <w:ilvl w:val="0"/>
          <w:numId w:val="2"/>
        </w:numPr>
        <w:spacing w:after="90" w:line="280" w:lineRule="auto"/>
      </w:pPr>
      <w:r>
        <w:rPr>
          <w:sz w:val="22"/>
          <w:szCs w:val="22"/>
        </w:rPr>
        <w:t>Uncertainty Head: evidential deep learning (Dirichlet output) or Monte Carlo dropout to produce a calibrated confidence score alongside every prediction, enabling abstention on low-confidence trials.</w:t>
      </w:r>
    </w:p>
    <w:p w14:paraId="57E8DCC8" w14:textId="77777777" w:rsidR="00136D66" w:rsidRDefault="00000000">
      <w:pPr>
        <w:pStyle w:val="ListParagraph"/>
        <w:numPr>
          <w:ilvl w:val="0"/>
          <w:numId w:val="2"/>
        </w:numPr>
        <w:spacing w:after="90" w:line="280" w:lineRule="auto"/>
      </w:pPr>
      <w:r>
        <w:rPr>
          <w:sz w:val="22"/>
          <w:szCs w:val="22"/>
        </w:rPr>
        <w:t>Explainability Verification Layer: attention maps and Integrated Gradients are validated using perturbation-based deletion/insertion tests — proving the explanation is faithful, not just plausible.</w:t>
      </w:r>
    </w:p>
    <w:p w14:paraId="1B6AD820" w14:textId="77777777" w:rsidR="00136D66" w:rsidRDefault="00000000">
      <w:pPr>
        <w:pStyle w:val="Heading1"/>
        <w:spacing w:before="360" w:after="160"/>
      </w:pPr>
      <w:r>
        <w:t>6. Novel Contributions</w:t>
      </w:r>
    </w:p>
    <w:p w14:paraId="6CF1F394" w14:textId="77777777" w:rsidR="00136D66" w:rsidRDefault="00000000">
      <w:pPr>
        <w:spacing w:after="160" w:line="300" w:lineRule="auto"/>
      </w:pPr>
      <w:r>
        <w:rPr>
          <w:sz w:val="22"/>
          <w:szCs w:val="22"/>
        </w:rPr>
        <w:t>The core narrative of this work: existing EEG emotion models cannot be trusted to know when they are wrong or why. We build a frequency-aware, spatially-graph-informed transformer whose explanations are verified to be faithful, and whose confidence is calibrated so it can abstain rather than guess.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4059"/>
        <w:gridCol w:w="4452"/>
      </w:tblGrid>
      <w:tr w:rsidR="00136D66" w14:paraId="0349607A" w14:textId="77777777">
        <w:tblPrEx>
          <w:tblCellMar>
            <w:top w:w="0" w:type="dxa"/>
            <w:bottom w:w="0" w:type="dxa"/>
          </w:tblCellMar>
        </w:tblPrEx>
        <w:trPr>
          <w:tblHeader/>
        </w:trPr>
        <w:tc>
          <w:tcPr>
            <w:tcW w:w="700" w:type="dxa"/>
            <w:shd w:val="clear" w:color="auto" w:fill="1F4E79"/>
            <w:tcMar>
              <w:top w:w="80" w:type="dxa"/>
              <w:left w:w="100" w:type="dxa"/>
              <w:bottom w:w="80" w:type="dxa"/>
              <w:right w:w="100" w:type="dxa"/>
            </w:tcMar>
          </w:tcPr>
          <w:p w14:paraId="191A5833" w14:textId="77777777" w:rsidR="00136D66" w:rsidRDefault="00000000">
            <w:r>
              <w:rPr>
                <w:b/>
                <w:bCs/>
                <w:color w:val="FFFFFF"/>
              </w:rPr>
              <w:t>#</w:t>
            </w:r>
          </w:p>
        </w:tc>
        <w:tc>
          <w:tcPr>
            <w:tcW w:w="4200" w:type="dxa"/>
            <w:shd w:val="clear" w:color="auto" w:fill="1F4E79"/>
            <w:tcMar>
              <w:top w:w="80" w:type="dxa"/>
              <w:left w:w="100" w:type="dxa"/>
              <w:bottom w:w="80" w:type="dxa"/>
              <w:right w:w="100" w:type="dxa"/>
            </w:tcMar>
          </w:tcPr>
          <w:p w14:paraId="22B65181" w14:textId="77777777" w:rsidR="00136D66" w:rsidRDefault="00000000">
            <w:r>
              <w:rPr>
                <w:b/>
                <w:bCs/>
                <w:color w:val="FFFFFF"/>
              </w:rPr>
              <w:t>Contribution</w:t>
            </w:r>
          </w:p>
        </w:tc>
        <w:tc>
          <w:tcPr>
            <w:tcW w:w="4600" w:type="dxa"/>
            <w:shd w:val="clear" w:color="auto" w:fill="1F4E79"/>
            <w:tcMar>
              <w:top w:w="80" w:type="dxa"/>
              <w:left w:w="100" w:type="dxa"/>
              <w:bottom w:w="80" w:type="dxa"/>
              <w:right w:w="100" w:type="dxa"/>
            </w:tcMar>
          </w:tcPr>
          <w:p w14:paraId="47618573" w14:textId="77777777" w:rsidR="00136D66" w:rsidRDefault="00000000">
            <w:r>
              <w:rPr>
                <w:b/>
                <w:bCs/>
                <w:color w:val="FFFFFF"/>
              </w:rPr>
              <w:t>Why it is novel</w:t>
            </w:r>
          </w:p>
        </w:tc>
      </w:tr>
      <w:tr w:rsidR="00136D66" w14:paraId="2E3823CE" w14:textId="77777777">
        <w:tblPrEx>
          <w:tblCellMar>
            <w:top w:w="0" w:type="dxa"/>
            <w:bottom w:w="0" w:type="dxa"/>
          </w:tblCellMar>
        </w:tblPrEx>
        <w:tc>
          <w:tcPr>
            <w:tcW w:w="700" w:type="dxa"/>
            <w:tcMar>
              <w:top w:w="80" w:type="dxa"/>
              <w:left w:w="100" w:type="dxa"/>
              <w:bottom w:w="80" w:type="dxa"/>
              <w:right w:w="100" w:type="dxa"/>
            </w:tcMar>
          </w:tcPr>
          <w:p w14:paraId="3106D7AD" w14:textId="77777777" w:rsidR="00136D66" w:rsidRDefault="00000000">
            <w:r>
              <w:rPr>
                <w:color w:val="000000"/>
              </w:rPr>
              <w:t>1</w:t>
            </w:r>
          </w:p>
        </w:tc>
        <w:tc>
          <w:tcPr>
            <w:tcW w:w="4200" w:type="dxa"/>
            <w:tcMar>
              <w:top w:w="80" w:type="dxa"/>
              <w:left w:w="100" w:type="dxa"/>
              <w:bottom w:w="80" w:type="dxa"/>
              <w:right w:w="100" w:type="dxa"/>
            </w:tcMar>
          </w:tcPr>
          <w:p w14:paraId="6E8CD9E5" w14:textId="77777777" w:rsidR="00136D66" w:rsidRDefault="00000000">
            <w:r>
              <w:rPr>
                <w:color w:val="000000"/>
              </w:rPr>
              <w:t>Faithfulness-verified explainability</w:t>
            </w:r>
          </w:p>
        </w:tc>
        <w:tc>
          <w:tcPr>
            <w:tcW w:w="4600" w:type="dxa"/>
            <w:tcMar>
              <w:top w:w="80" w:type="dxa"/>
              <w:left w:w="100" w:type="dxa"/>
              <w:bottom w:w="80" w:type="dxa"/>
              <w:right w:w="100" w:type="dxa"/>
            </w:tcMar>
          </w:tcPr>
          <w:p w14:paraId="2C901310" w14:textId="77777777" w:rsidR="00136D66" w:rsidRDefault="00000000">
            <w:r>
              <w:rPr>
                <w:color w:val="000000"/>
              </w:rPr>
              <w:t>Most EEG-XAI work stops at visualising attention/SHAP. We quantitatively prove explanations are causally faithful using deletion/insertion AUC — rarely done in this field.</w:t>
            </w:r>
          </w:p>
        </w:tc>
      </w:tr>
      <w:tr w:rsidR="00136D66" w14:paraId="48391604" w14:textId="77777777">
        <w:tblPrEx>
          <w:tblCellMar>
            <w:top w:w="0" w:type="dxa"/>
            <w:bottom w:w="0" w:type="dxa"/>
          </w:tblCellMar>
        </w:tblPrEx>
        <w:tc>
          <w:tcPr>
            <w:tcW w:w="700" w:type="dxa"/>
            <w:shd w:val="clear" w:color="auto" w:fill="EAF1F8"/>
            <w:tcMar>
              <w:top w:w="80" w:type="dxa"/>
              <w:left w:w="100" w:type="dxa"/>
              <w:bottom w:w="80" w:type="dxa"/>
              <w:right w:w="100" w:type="dxa"/>
            </w:tcMar>
          </w:tcPr>
          <w:p w14:paraId="3AC26B41" w14:textId="77777777" w:rsidR="00136D66" w:rsidRDefault="00000000">
            <w:r>
              <w:rPr>
                <w:color w:val="000000"/>
              </w:rPr>
              <w:t>2</w:t>
            </w:r>
          </w:p>
        </w:tc>
        <w:tc>
          <w:tcPr>
            <w:tcW w:w="4200" w:type="dxa"/>
            <w:shd w:val="clear" w:color="auto" w:fill="EAF1F8"/>
            <w:tcMar>
              <w:top w:w="80" w:type="dxa"/>
              <w:left w:w="100" w:type="dxa"/>
              <w:bottom w:w="80" w:type="dxa"/>
              <w:right w:w="100" w:type="dxa"/>
            </w:tcMar>
          </w:tcPr>
          <w:p w14:paraId="4F997926" w14:textId="77777777" w:rsidR="00136D66" w:rsidRDefault="00000000">
            <w:r>
              <w:rPr>
                <w:color w:val="000000"/>
              </w:rPr>
              <w:t>Calibrated uncertainty &amp; abstention</w:t>
            </w:r>
          </w:p>
        </w:tc>
        <w:tc>
          <w:tcPr>
            <w:tcW w:w="4600" w:type="dxa"/>
            <w:shd w:val="clear" w:color="auto" w:fill="EAF1F8"/>
            <w:tcMar>
              <w:top w:w="80" w:type="dxa"/>
              <w:left w:w="100" w:type="dxa"/>
              <w:bottom w:w="80" w:type="dxa"/>
              <w:right w:w="100" w:type="dxa"/>
            </w:tcMar>
          </w:tcPr>
          <w:p w14:paraId="4DC98D28" w14:textId="77777777" w:rsidR="00136D66" w:rsidRDefault="00000000">
            <w:r>
              <w:rPr>
                <w:color w:val="000000"/>
              </w:rPr>
              <w:t>Reports Expected Calibration Error (ECE) and lets the model abstain on ambiguous trials — a core Responsible AI requirement almost absent from current EEG emotion literature.</w:t>
            </w:r>
          </w:p>
        </w:tc>
      </w:tr>
      <w:tr w:rsidR="00136D66" w14:paraId="6B3CDF22" w14:textId="77777777">
        <w:tblPrEx>
          <w:tblCellMar>
            <w:top w:w="0" w:type="dxa"/>
            <w:bottom w:w="0" w:type="dxa"/>
          </w:tblCellMar>
        </w:tblPrEx>
        <w:tc>
          <w:tcPr>
            <w:tcW w:w="700" w:type="dxa"/>
            <w:tcMar>
              <w:top w:w="80" w:type="dxa"/>
              <w:left w:w="100" w:type="dxa"/>
              <w:bottom w:w="80" w:type="dxa"/>
              <w:right w:w="100" w:type="dxa"/>
            </w:tcMar>
          </w:tcPr>
          <w:p w14:paraId="510E732A" w14:textId="77777777" w:rsidR="00136D66" w:rsidRDefault="00000000">
            <w:r>
              <w:rPr>
                <w:color w:val="000000"/>
              </w:rPr>
              <w:lastRenderedPageBreak/>
              <w:t>3</w:t>
            </w:r>
          </w:p>
        </w:tc>
        <w:tc>
          <w:tcPr>
            <w:tcW w:w="4200" w:type="dxa"/>
            <w:tcMar>
              <w:top w:w="80" w:type="dxa"/>
              <w:left w:w="100" w:type="dxa"/>
              <w:bottom w:w="80" w:type="dxa"/>
              <w:right w:w="100" w:type="dxa"/>
            </w:tcMar>
          </w:tcPr>
          <w:p w14:paraId="3264F8B0" w14:textId="77777777" w:rsidR="00136D66" w:rsidRDefault="00000000">
            <w:r>
              <w:rPr>
                <w:color w:val="000000"/>
              </w:rPr>
              <w:t>Subject-level fairness analysis</w:t>
            </w:r>
          </w:p>
        </w:tc>
        <w:tc>
          <w:tcPr>
            <w:tcW w:w="4600" w:type="dxa"/>
            <w:tcMar>
              <w:top w:w="80" w:type="dxa"/>
              <w:left w:w="100" w:type="dxa"/>
              <w:bottom w:w="80" w:type="dxa"/>
              <w:right w:w="100" w:type="dxa"/>
            </w:tcMar>
          </w:tcPr>
          <w:p w14:paraId="66A53706" w14:textId="77777777" w:rsidR="00136D66" w:rsidRDefault="00000000">
            <w:r>
              <w:rPr>
                <w:color w:val="000000"/>
              </w:rPr>
              <w:t>Reports worst-case / per-subject accuracy and variance, not just the mean — reframes cross-subject generalisation as a fairness question.</w:t>
            </w:r>
          </w:p>
        </w:tc>
      </w:tr>
      <w:tr w:rsidR="00136D66" w14:paraId="721D80A2" w14:textId="77777777">
        <w:tblPrEx>
          <w:tblCellMar>
            <w:top w:w="0" w:type="dxa"/>
            <w:bottom w:w="0" w:type="dxa"/>
          </w:tblCellMar>
        </w:tblPrEx>
        <w:tc>
          <w:tcPr>
            <w:tcW w:w="700" w:type="dxa"/>
            <w:shd w:val="clear" w:color="auto" w:fill="EAF1F8"/>
            <w:tcMar>
              <w:top w:w="80" w:type="dxa"/>
              <w:left w:w="100" w:type="dxa"/>
              <w:bottom w:w="80" w:type="dxa"/>
              <w:right w:w="100" w:type="dxa"/>
            </w:tcMar>
          </w:tcPr>
          <w:p w14:paraId="19490228" w14:textId="77777777" w:rsidR="00136D66" w:rsidRDefault="00000000">
            <w:r>
              <w:rPr>
                <w:color w:val="000000"/>
              </w:rPr>
              <w:t>4</w:t>
            </w:r>
          </w:p>
        </w:tc>
        <w:tc>
          <w:tcPr>
            <w:tcW w:w="4200" w:type="dxa"/>
            <w:shd w:val="clear" w:color="auto" w:fill="EAF1F8"/>
            <w:tcMar>
              <w:top w:w="80" w:type="dxa"/>
              <w:left w:w="100" w:type="dxa"/>
              <w:bottom w:w="80" w:type="dxa"/>
              <w:right w:w="100" w:type="dxa"/>
            </w:tcMar>
          </w:tcPr>
          <w:p w14:paraId="20E4741A" w14:textId="77777777" w:rsidR="00136D66" w:rsidRDefault="00000000">
            <w:r>
              <w:rPr>
                <w:color w:val="000000"/>
              </w:rPr>
              <w:t>Neuroscience-grounded validation of explanations</w:t>
            </w:r>
          </w:p>
        </w:tc>
        <w:tc>
          <w:tcPr>
            <w:tcW w:w="4600" w:type="dxa"/>
            <w:shd w:val="clear" w:color="auto" w:fill="EAF1F8"/>
            <w:tcMar>
              <w:top w:w="80" w:type="dxa"/>
              <w:left w:w="100" w:type="dxa"/>
              <w:bottom w:w="80" w:type="dxa"/>
              <w:right w:w="100" w:type="dxa"/>
            </w:tcMar>
          </w:tcPr>
          <w:p w14:paraId="7746CC6E" w14:textId="77777777" w:rsidR="00136D66" w:rsidRDefault="00000000">
            <w:r>
              <w:rPr>
                <w:color w:val="000000"/>
              </w:rPr>
              <w:t>Cross-checks model-identified important bands/channels against known findings (e.g., frontal alpha asymmetry, gamma-band binding) for external scientific validity.</w:t>
            </w:r>
          </w:p>
        </w:tc>
      </w:tr>
      <w:tr w:rsidR="00136D66" w14:paraId="0D43DF17" w14:textId="77777777">
        <w:tblPrEx>
          <w:tblCellMar>
            <w:top w:w="0" w:type="dxa"/>
            <w:bottom w:w="0" w:type="dxa"/>
          </w:tblCellMar>
        </w:tblPrEx>
        <w:tc>
          <w:tcPr>
            <w:tcW w:w="700" w:type="dxa"/>
            <w:tcMar>
              <w:top w:w="80" w:type="dxa"/>
              <w:left w:w="100" w:type="dxa"/>
              <w:bottom w:w="80" w:type="dxa"/>
              <w:right w:w="100" w:type="dxa"/>
            </w:tcMar>
          </w:tcPr>
          <w:p w14:paraId="70DCBD9C" w14:textId="77777777" w:rsidR="00136D66" w:rsidRDefault="00000000">
            <w:r>
              <w:rPr>
                <w:color w:val="000000"/>
              </w:rPr>
              <w:t>5 (optional)</w:t>
            </w:r>
          </w:p>
        </w:tc>
        <w:tc>
          <w:tcPr>
            <w:tcW w:w="4200" w:type="dxa"/>
            <w:tcMar>
              <w:top w:w="80" w:type="dxa"/>
              <w:left w:w="100" w:type="dxa"/>
              <w:bottom w:w="80" w:type="dxa"/>
              <w:right w:w="100" w:type="dxa"/>
            </w:tcMar>
          </w:tcPr>
          <w:p w14:paraId="5F630620" w14:textId="77777777" w:rsidR="00136D66" w:rsidRDefault="00000000">
            <w:r>
              <w:rPr>
                <w:color w:val="000000"/>
              </w:rPr>
              <w:t>Efficient, interpretable KAN classification head</w:t>
            </w:r>
          </w:p>
        </w:tc>
        <w:tc>
          <w:tcPr>
            <w:tcW w:w="4600" w:type="dxa"/>
            <w:tcMar>
              <w:top w:w="80" w:type="dxa"/>
              <w:left w:w="100" w:type="dxa"/>
              <w:bottom w:w="80" w:type="dxa"/>
              <w:right w:w="100" w:type="dxa"/>
            </w:tcMar>
          </w:tcPr>
          <w:p w14:paraId="74EEEE96" w14:textId="77777777" w:rsidR="00136D66" w:rsidRDefault="00000000">
            <w:r>
              <w:rPr>
                <w:color w:val="000000"/>
              </w:rPr>
              <w:t xml:space="preserve">Ablation of MLP vs. KAN head ties into </w:t>
            </w:r>
            <w:proofErr w:type="spellStart"/>
            <w:r>
              <w:rPr>
                <w:color w:val="000000"/>
              </w:rPr>
              <w:t>deployability</w:t>
            </w:r>
            <w:proofErr w:type="spellEnd"/>
            <w:r>
              <w:rPr>
                <w:color w:val="000000"/>
              </w:rPr>
              <w:t xml:space="preserve"> / efficiency, supporting the responsible-AI, edge-deployment narrative.</w:t>
            </w:r>
          </w:p>
        </w:tc>
      </w:tr>
    </w:tbl>
    <w:p w14:paraId="7FD22CB9" w14:textId="77777777" w:rsidR="00136D66" w:rsidRDefault="00000000">
      <w:r>
        <w:br w:type="page"/>
      </w:r>
    </w:p>
    <w:p w14:paraId="3D0ABE54" w14:textId="77777777" w:rsidR="00136D66" w:rsidRDefault="00000000">
      <w:pPr>
        <w:pStyle w:val="Heading1"/>
        <w:spacing w:before="360" w:after="160"/>
      </w:pPr>
      <w:r>
        <w:lastRenderedPageBreak/>
        <w:t>7. Dataset</w:t>
      </w:r>
    </w:p>
    <w:p w14:paraId="60345F93" w14:textId="77777777" w:rsidR="00136D66" w:rsidRDefault="00000000">
      <w:pPr>
        <w:spacing w:after="160" w:line="300" w:lineRule="auto"/>
      </w:pPr>
      <w:r>
        <w:rPr>
          <w:sz w:val="22"/>
          <w:szCs w:val="22"/>
        </w:rPr>
        <w:t>SEED-IV (SJTU Emotion EEG Dataset – IV), a publicly available, de-identified benchmark dataset for EEG-based emotion recognition, will be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136D66" w14:paraId="1A0C65BD"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54437A0B" w14:textId="77777777" w:rsidR="00136D66" w:rsidRDefault="00000000">
            <w:r>
              <w:rPr>
                <w:b/>
                <w:bCs/>
                <w:color w:val="FFFFFF"/>
              </w:rPr>
              <w:t>Property</w:t>
            </w:r>
          </w:p>
        </w:tc>
        <w:tc>
          <w:tcPr>
            <w:tcW w:w="6500" w:type="dxa"/>
            <w:shd w:val="clear" w:color="auto" w:fill="1F4E79"/>
            <w:tcMar>
              <w:top w:w="80" w:type="dxa"/>
              <w:left w:w="100" w:type="dxa"/>
              <w:bottom w:w="80" w:type="dxa"/>
              <w:right w:w="100" w:type="dxa"/>
            </w:tcMar>
          </w:tcPr>
          <w:p w14:paraId="3BADEA90" w14:textId="77777777" w:rsidR="00136D66" w:rsidRDefault="00000000">
            <w:r>
              <w:rPr>
                <w:b/>
                <w:bCs/>
                <w:color w:val="FFFFFF"/>
              </w:rPr>
              <w:t>Details</w:t>
            </w:r>
          </w:p>
        </w:tc>
      </w:tr>
      <w:tr w:rsidR="00136D66" w14:paraId="09BF582E" w14:textId="77777777">
        <w:tblPrEx>
          <w:tblCellMar>
            <w:top w:w="0" w:type="dxa"/>
            <w:bottom w:w="0" w:type="dxa"/>
          </w:tblCellMar>
        </w:tblPrEx>
        <w:tc>
          <w:tcPr>
            <w:tcW w:w="3000" w:type="dxa"/>
            <w:tcMar>
              <w:top w:w="80" w:type="dxa"/>
              <w:left w:w="100" w:type="dxa"/>
              <w:bottom w:w="80" w:type="dxa"/>
              <w:right w:w="100" w:type="dxa"/>
            </w:tcMar>
          </w:tcPr>
          <w:p w14:paraId="68A7CBD0" w14:textId="77777777" w:rsidR="00136D66" w:rsidRDefault="00000000">
            <w:r>
              <w:rPr>
                <w:color w:val="000000"/>
              </w:rPr>
              <w:t>Subjects</w:t>
            </w:r>
          </w:p>
        </w:tc>
        <w:tc>
          <w:tcPr>
            <w:tcW w:w="6500" w:type="dxa"/>
            <w:tcMar>
              <w:top w:w="80" w:type="dxa"/>
              <w:left w:w="100" w:type="dxa"/>
              <w:bottom w:w="80" w:type="dxa"/>
              <w:right w:w="100" w:type="dxa"/>
            </w:tcMar>
          </w:tcPr>
          <w:p w14:paraId="0842E7B2" w14:textId="77777777" w:rsidR="00136D66" w:rsidRDefault="00000000">
            <w:r>
              <w:rPr>
                <w:color w:val="000000"/>
              </w:rPr>
              <w:t>15 participants, 3 sessions each</w:t>
            </w:r>
          </w:p>
        </w:tc>
      </w:tr>
      <w:tr w:rsidR="00136D66" w14:paraId="56285695" w14:textId="77777777">
        <w:tblPrEx>
          <w:tblCellMar>
            <w:top w:w="0" w:type="dxa"/>
            <w:bottom w:w="0" w:type="dxa"/>
          </w:tblCellMar>
        </w:tblPrEx>
        <w:tc>
          <w:tcPr>
            <w:tcW w:w="3000" w:type="dxa"/>
            <w:shd w:val="clear" w:color="auto" w:fill="EAF1F8"/>
            <w:tcMar>
              <w:top w:w="80" w:type="dxa"/>
              <w:left w:w="100" w:type="dxa"/>
              <w:bottom w:w="80" w:type="dxa"/>
              <w:right w:w="100" w:type="dxa"/>
            </w:tcMar>
          </w:tcPr>
          <w:p w14:paraId="0CA69F40" w14:textId="77777777" w:rsidR="00136D66" w:rsidRDefault="00000000">
            <w:r>
              <w:rPr>
                <w:color w:val="000000"/>
              </w:rPr>
              <w:t>Channels</w:t>
            </w:r>
          </w:p>
        </w:tc>
        <w:tc>
          <w:tcPr>
            <w:tcW w:w="6500" w:type="dxa"/>
            <w:shd w:val="clear" w:color="auto" w:fill="EAF1F8"/>
            <w:tcMar>
              <w:top w:w="80" w:type="dxa"/>
              <w:left w:w="100" w:type="dxa"/>
              <w:bottom w:w="80" w:type="dxa"/>
              <w:right w:w="100" w:type="dxa"/>
            </w:tcMar>
          </w:tcPr>
          <w:p w14:paraId="6F38191D" w14:textId="77777777" w:rsidR="00136D66" w:rsidRDefault="00000000">
            <w:r>
              <w:rPr>
                <w:color w:val="000000"/>
              </w:rPr>
              <w:t>62-channel EEG (10–20 system), positions available via channel_62_</w:t>
            </w:r>
            <w:proofErr w:type="gramStart"/>
            <w:r>
              <w:rPr>
                <w:color w:val="000000"/>
              </w:rPr>
              <w:t>pos.locs</w:t>
            </w:r>
            <w:proofErr w:type="gramEnd"/>
          </w:p>
        </w:tc>
      </w:tr>
      <w:tr w:rsidR="00136D66" w14:paraId="4AEA0D6B" w14:textId="77777777">
        <w:tblPrEx>
          <w:tblCellMar>
            <w:top w:w="0" w:type="dxa"/>
            <w:bottom w:w="0" w:type="dxa"/>
          </w:tblCellMar>
        </w:tblPrEx>
        <w:tc>
          <w:tcPr>
            <w:tcW w:w="3000" w:type="dxa"/>
            <w:tcMar>
              <w:top w:w="80" w:type="dxa"/>
              <w:left w:w="100" w:type="dxa"/>
              <w:bottom w:w="80" w:type="dxa"/>
              <w:right w:w="100" w:type="dxa"/>
            </w:tcMar>
          </w:tcPr>
          <w:p w14:paraId="648E8571" w14:textId="77777777" w:rsidR="00136D66" w:rsidRDefault="00000000">
            <w:r>
              <w:rPr>
                <w:color w:val="000000"/>
              </w:rPr>
              <w:t>Emotion classes</w:t>
            </w:r>
          </w:p>
        </w:tc>
        <w:tc>
          <w:tcPr>
            <w:tcW w:w="6500" w:type="dxa"/>
            <w:tcMar>
              <w:top w:w="80" w:type="dxa"/>
              <w:left w:w="100" w:type="dxa"/>
              <w:bottom w:w="80" w:type="dxa"/>
              <w:right w:w="100" w:type="dxa"/>
            </w:tcMar>
          </w:tcPr>
          <w:p w14:paraId="4AA22ECB" w14:textId="77777777" w:rsidR="00136D66" w:rsidRDefault="00000000">
            <w:r>
              <w:rPr>
                <w:color w:val="000000"/>
              </w:rPr>
              <w:t>Happy, Sad, Fear, Neutral (4-class discrete model)</w:t>
            </w:r>
          </w:p>
        </w:tc>
      </w:tr>
      <w:tr w:rsidR="00136D66" w14:paraId="0EE0E5CB" w14:textId="77777777">
        <w:tblPrEx>
          <w:tblCellMar>
            <w:top w:w="0" w:type="dxa"/>
            <w:bottom w:w="0" w:type="dxa"/>
          </w:tblCellMar>
        </w:tblPrEx>
        <w:tc>
          <w:tcPr>
            <w:tcW w:w="3000" w:type="dxa"/>
            <w:shd w:val="clear" w:color="auto" w:fill="EAF1F8"/>
            <w:tcMar>
              <w:top w:w="80" w:type="dxa"/>
              <w:left w:w="100" w:type="dxa"/>
              <w:bottom w:w="80" w:type="dxa"/>
              <w:right w:w="100" w:type="dxa"/>
            </w:tcMar>
          </w:tcPr>
          <w:p w14:paraId="10119C63" w14:textId="77777777" w:rsidR="00136D66" w:rsidRDefault="00000000">
            <w:r>
              <w:rPr>
                <w:color w:val="000000"/>
              </w:rPr>
              <w:t>Provided features</w:t>
            </w:r>
          </w:p>
        </w:tc>
        <w:tc>
          <w:tcPr>
            <w:tcW w:w="6500" w:type="dxa"/>
            <w:shd w:val="clear" w:color="auto" w:fill="EAF1F8"/>
            <w:tcMar>
              <w:top w:w="80" w:type="dxa"/>
              <w:left w:w="100" w:type="dxa"/>
              <w:bottom w:w="80" w:type="dxa"/>
              <w:right w:w="100" w:type="dxa"/>
            </w:tcMar>
          </w:tcPr>
          <w:p w14:paraId="0EA945A1" w14:textId="77777777" w:rsidR="00136D66" w:rsidRDefault="00000000">
            <w:r>
              <w:rPr>
                <w:color w:val="000000"/>
              </w:rPr>
              <w:t xml:space="preserve">Differential Entropy (DE) features in </w:t>
            </w:r>
            <w:proofErr w:type="spellStart"/>
            <w:r>
              <w:rPr>
                <w:color w:val="000000"/>
              </w:rPr>
              <w:t>eeg_feature_smooth</w:t>
            </w:r>
            <w:proofErr w:type="spellEnd"/>
            <w:r>
              <w:rPr>
                <w:color w:val="000000"/>
              </w:rPr>
              <w:t xml:space="preserve">/ (band-separated); raw signal in </w:t>
            </w:r>
            <w:proofErr w:type="spellStart"/>
            <w:r>
              <w:rPr>
                <w:color w:val="000000"/>
              </w:rPr>
              <w:t>eeg_raw_data</w:t>
            </w:r>
            <w:proofErr w:type="spellEnd"/>
            <w:r>
              <w:rPr>
                <w:color w:val="000000"/>
              </w:rPr>
              <w:t>/</w:t>
            </w:r>
          </w:p>
        </w:tc>
      </w:tr>
      <w:tr w:rsidR="00136D66" w14:paraId="434F1EA8" w14:textId="77777777">
        <w:tblPrEx>
          <w:tblCellMar>
            <w:top w:w="0" w:type="dxa"/>
            <w:bottom w:w="0" w:type="dxa"/>
          </w:tblCellMar>
        </w:tblPrEx>
        <w:tc>
          <w:tcPr>
            <w:tcW w:w="3000" w:type="dxa"/>
            <w:tcMar>
              <w:top w:w="80" w:type="dxa"/>
              <w:left w:w="100" w:type="dxa"/>
              <w:bottom w:w="80" w:type="dxa"/>
              <w:right w:w="100" w:type="dxa"/>
            </w:tcMar>
          </w:tcPr>
          <w:p w14:paraId="64DC47FA" w14:textId="77777777" w:rsidR="00136D66" w:rsidRDefault="00000000">
            <w:r>
              <w:rPr>
                <w:color w:val="000000"/>
              </w:rPr>
              <w:t>Auxiliary data</w:t>
            </w:r>
          </w:p>
        </w:tc>
        <w:tc>
          <w:tcPr>
            <w:tcW w:w="6500" w:type="dxa"/>
            <w:tcMar>
              <w:top w:w="80" w:type="dxa"/>
              <w:left w:w="100" w:type="dxa"/>
              <w:bottom w:w="80" w:type="dxa"/>
              <w:right w:w="100" w:type="dxa"/>
            </w:tcMar>
          </w:tcPr>
          <w:p w14:paraId="71C23A9A" w14:textId="77777777" w:rsidR="00136D66" w:rsidRDefault="00000000">
            <w:r>
              <w:rPr>
                <w:color w:val="000000"/>
              </w:rPr>
              <w:t>Synchronous eye-tracking data (</w:t>
            </w:r>
            <w:proofErr w:type="spellStart"/>
            <w:r>
              <w:rPr>
                <w:color w:val="000000"/>
              </w:rPr>
              <w:t>eye_raw_data</w:t>
            </w:r>
            <w:proofErr w:type="spellEnd"/>
            <w:r>
              <w:rPr>
                <w:color w:val="000000"/>
              </w:rPr>
              <w:t xml:space="preserve">/, </w:t>
            </w:r>
            <w:proofErr w:type="spellStart"/>
            <w:r>
              <w:rPr>
                <w:color w:val="000000"/>
              </w:rPr>
              <w:t>eye_feature_smooth</w:t>
            </w:r>
            <w:proofErr w:type="spellEnd"/>
            <w:r>
              <w:rPr>
                <w:color w:val="000000"/>
              </w:rPr>
              <w:t>/) — optional multimodal extension</w:t>
            </w:r>
          </w:p>
        </w:tc>
      </w:tr>
      <w:tr w:rsidR="00136D66" w14:paraId="5A4FBFF4" w14:textId="77777777">
        <w:tblPrEx>
          <w:tblCellMar>
            <w:top w:w="0" w:type="dxa"/>
            <w:bottom w:w="0" w:type="dxa"/>
          </w:tblCellMar>
        </w:tblPrEx>
        <w:tc>
          <w:tcPr>
            <w:tcW w:w="3000" w:type="dxa"/>
            <w:shd w:val="clear" w:color="auto" w:fill="EAF1F8"/>
            <w:tcMar>
              <w:top w:w="80" w:type="dxa"/>
              <w:left w:w="100" w:type="dxa"/>
              <w:bottom w:w="80" w:type="dxa"/>
              <w:right w:w="100" w:type="dxa"/>
            </w:tcMar>
          </w:tcPr>
          <w:p w14:paraId="4D57DE7C" w14:textId="77777777" w:rsidR="00136D66" w:rsidRDefault="00000000">
            <w:r>
              <w:rPr>
                <w:color w:val="000000"/>
              </w:rPr>
              <w:t>Ethical status</w:t>
            </w:r>
          </w:p>
        </w:tc>
        <w:tc>
          <w:tcPr>
            <w:tcW w:w="6500" w:type="dxa"/>
            <w:shd w:val="clear" w:color="auto" w:fill="EAF1F8"/>
            <w:tcMar>
              <w:top w:w="80" w:type="dxa"/>
              <w:left w:w="100" w:type="dxa"/>
              <w:bottom w:w="80" w:type="dxa"/>
              <w:right w:w="100" w:type="dxa"/>
            </w:tcMar>
          </w:tcPr>
          <w:p w14:paraId="3EFF1184" w14:textId="77777777" w:rsidR="00136D66" w:rsidRDefault="00000000">
            <w:r>
              <w:rPr>
                <w:color w:val="000000"/>
              </w:rPr>
              <w:t>Publicly released, anonymised research dataset; no personally identifiable information used</w:t>
            </w:r>
          </w:p>
        </w:tc>
      </w:tr>
    </w:tbl>
    <w:p w14:paraId="4083ED06" w14:textId="77777777" w:rsidR="00136D66" w:rsidRDefault="00000000">
      <w:pPr>
        <w:pStyle w:val="Heading1"/>
        <w:spacing w:before="360" w:after="160"/>
      </w:pPr>
      <w:r>
        <w:t>8. Baseline Models</w:t>
      </w:r>
    </w:p>
    <w:p w14:paraId="2028E2E9" w14:textId="77777777" w:rsidR="00136D66" w:rsidRDefault="00000000">
      <w:pPr>
        <w:spacing w:after="160" w:line="300" w:lineRule="auto"/>
      </w:pPr>
      <w:r>
        <w:rPr>
          <w:sz w:val="22"/>
          <w:szCs w:val="22"/>
        </w:rPr>
        <w:t>Baselines are chosen to span classical ML, the guide-mandated CNN-LSTM hybrid, graph-based methods, and transformer-based methods — ensuring a complete, defensible comparison rather than beating a single weak baseline.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300"/>
      </w:tblGrid>
      <w:tr w:rsidR="00136D66" w14:paraId="570D8B7C"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5B95D56A" w14:textId="77777777" w:rsidR="00136D66" w:rsidRDefault="00000000">
            <w:r>
              <w:rPr>
                <w:b/>
                <w:bCs/>
                <w:color w:val="FFFFFF"/>
              </w:rPr>
              <w:t>Tier</w:t>
            </w:r>
          </w:p>
        </w:tc>
        <w:tc>
          <w:tcPr>
            <w:tcW w:w="3600" w:type="dxa"/>
            <w:shd w:val="clear" w:color="auto" w:fill="1F4E79"/>
            <w:tcMar>
              <w:top w:w="80" w:type="dxa"/>
              <w:left w:w="100" w:type="dxa"/>
              <w:bottom w:w="80" w:type="dxa"/>
              <w:right w:w="100" w:type="dxa"/>
            </w:tcMar>
          </w:tcPr>
          <w:p w14:paraId="1E293C5F" w14:textId="77777777" w:rsidR="00136D66" w:rsidRDefault="00000000">
            <w:r>
              <w:rPr>
                <w:b/>
                <w:bCs/>
                <w:color w:val="FFFFFF"/>
              </w:rPr>
              <w:t>Model(s)</w:t>
            </w:r>
          </w:p>
        </w:tc>
        <w:tc>
          <w:tcPr>
            <w:tcW w:w="3300" w:type="dxa"/>
            <w:shd w:val="clear" w:color="auto" w:fill="1F4E79"/>
            <w:tcMar>
              <w:top w:w="80" w:type="dxa"/>
              <w:left w:w="100" w:type="dxa"/>
              <w:bottom w:w="80" w:type="dxa"/>
              <w:right w:w="100" w:type="dxa"/>
            </w:tcMar>
          </w:tcPr>
          <w:p w14:paraId="2EFDBB77" w14:textId="77777777" w:rsidR="00136D66" w:rsidRDefault="00000000">
            <w:r>
              <w:rPr>
                <w:b/>
                <w:bCs/>
                <w:color w:val="FFFFFF"/>
              </w:rPr>
              <w:t>Purpose</w:t>
            </w:r>
          </w:p>
        </w:tc>
      </w:tr>
      <w:tr w:rsidR="00136D66" w14:paraId="3C7AF5E2" w14:textId="77777777">
        <w:tblPrEx>
          <w:tblCellMar>
            <w:top w:w="0" w:type="dxa"/>
            <w:bottom w:w="0" w:type="dxa"/>
          </w:tblCellMar>
        </w:tblPrEx>
        <w:tc>
          <w:tcPr>
            <w:tcW w:w="2600" w:type="dxa"/>
            <w:tcMar>
              <w:top w:w="80" w:type="dxa"/>
              <w:left w:w="100" w:type="dxa"/>
              <w:bottom w:w="80" w:type="dxa"/>
              <w:right w:w="100" w:type="dxa"/>
            </w:tcMar>
          </w:tcPr>
          <w:p w14:paraId="3DAD0A49" w14:textId="77777777" w:rsidR="00136D66" w:rsidRDefault="00000000">
            <w:r>
              <w:rPr>
                <w:color w:val="000000"/>
              </w:rPr>
              <w:t>1 – Classical ML</w:t>
            </w:r>
          </w:p>
        </w:tc>
        <w:tc>
          <w:tcPr>
            <w:tcW w:w="3600" w:type="dxa"/>
            <w:tcMar>
              <w:top w:w="80" w:type="dxa"/>
              <w:left w:w="100" w:type="dxa"/>
              <w:bottom w:w="80" w:type="dxa"/>
              <w:right w:w="100" w:type="dxa"/>
            </w:tcMar>
          </w:tcPr>
          <w:p w14:paraId="32705E20" w14:textId="77777777" w:rsidR="00136D66" w:rsidRDefault="00000000">
            <w:r>
              <w:rPr>
                <w:color w:val="000000"/>
              </w:rPr>
              <w:t>SVM (on DE features)</w:t>
            </w:r>
          </w:p>
        </w:tc>
        <w:tc>
          <w:tcPr>
            <w:tcW w:w="3300" w:type="dxa"/>
            <w:tcMar>
              <w:top w:w="80" w:type="dxa"/>
              <w:left w:w="100" w:type="dxa"/>
              <w:bottom w:w="80" w:type="dxa"/>
              <w:right w:w="100" w:type="dxa"/>
            </w:tcMar>
          </w:tcPr>
          <w:p w14:paraId="1BD7AFAB" w14:textId="77777777" w:rsidR="00136D66" w:rsidRDefault="00000000">
            <w:r>
              <w:rPr>
                <w:color w:val="000000"/>
              </w:rPr>
              <w:t>Establishes the performance floor; standard in SEED-IV literature (~75–76% subject-dependent)</w:t>
            </w:r>
          </w:p>
        </w:tc>
      </w:tr>
      <w:tr w:rsidR="00136D66" w14:paraId="333DBFE2" w14:textId="77777777">
        <w:tblPrEx>
          <w:tblCellMar>
            <w:top w:w="0" w:type="dxa"/>
            <w:bottom w:w="0" w:type="dxa"/>
          </w:tblCellMar>
        </w:tblPrEx>
        <w:tc>
          <w:tcPr>
            <w:tcW w:w="2600" w:type="dxa"/>
            <w:shd w:val="clear" w:color="auto" w:fill="EAF1F8"/>
            <w:tcMar>
              <w:top w:w="80" w:type="dxa"/>
              <w:left w:w="100" w:type="dxa"/>
              <w:bottom w:w="80" w:type="dxa"/>
              <w:right w:w="100" w:type="dxa"/>
            </w:tcMar>
          </w:tcPr>
          <w:p w14:paraId="5437B2DF" w14:textId="77777777" w:rsidR="00136D66" w:rsidRDefault="00000000">
            <w:r>
              <w:rPr>
                <w:color w:val="000000"/>
              </w:rPr>
              <w:t>2 – Deep Learning (mandated)</w:t>
            </w:r>
          </w:p>
        </w:tc>
        <w:tc>
          <w:tcPr>
            <w:tcW w:w="3600" w:type="dxa"/>
            <w:shd w:val="clear" w:color="auto" w:fill="EAF1F8"/>
            <w:tcMar>
              <w:top w:w="80" w:type="dxa"/>
              <w:left w:w="100" w:type="dxa"/>
              <w:bottom w:w="80" w:type="dxa"/>
              <w:right w:w="100" w:type="dxa"/>
            </w:tcMar>
          </w:tcPr>
          <w:p w14:paraId="77D5F1B2" w14:textId="77777777" w:rsidR="00136D66" w:rsidRDefault="00000000">
            <w:r>
              <w:rPr>
                <w:color w:val="000000"/>
              </w:rPr>
              <w:t>CNN-LSTM / CNN-</w:t>
            </w:r>
            <w:proofErr w:type="spellStart"/>
            <w:r>
              <w:rPr>
                <w:color w:val="000000"/>
              </w:rPr>
              <w:t>BiLSTM</w:t>
            </w:r>
            <w:proofErr w:type="spellEnd"/>
          </w:p>
        </w:tc>
        <w:tc>
          <w:tcPr>
            <w:tcW w:w="3300" w:type="dxa"/>
            <w:shd w:val="clear" w:color="auto" w:fill="EAF1F8"/>
            <w:tcMar>
              <w:top w:w="80" w:type="dxa"/>
              <w:left w:w="100" w:type="dxa"/>
              <w:bottom w:w="80" w:type="dxa"/>
              <w:right w:w="100" w:type="dxa"/>
            </w:tcMar>
          </w:tcPr>
          <w:p w14:paraId="65A62DF3" w14:textId="77777777" w:rsidR="00136D66" w:rsidRDefault="00000000">
            <w:r>
              <w:rPr>
                <w:color w:val="000000"/>
              </w:rPr>
              <w:t>Required benchmark per guide's instruction; represents the dominant existing approach</w:t>
            </w:r>
          </w:p>
        </w:tc>
      </w:tr>
      <w:tr w:rsidR="00136D66" w14:paraId="461F0167" w14:textId="77777777">
        <w:tblPrEx>
          <w:tblCellMar>
            <w:top w:w="0" w:type="dxa"/>
            <w:bottom w:w="0" w:type="dxa"/>
          </w:tblCellMar>
        </w:tblPrEx>
        <w:tc>
          <w:tcPr>
            <w:tcW w:w="2600" w:type="dxa"/>
            <w:tcMar>
              <w:top w:w="80" w:type="dxa"/>
              <w:left w:w="100" w:type="dxa"/>
              <w:bottom w:w="80" w:type="dxa"/>
              <w:right w:w="100" w:type="dxa"/>
            </w:tcMar>
          </w:tcPr>
          <w:p w14:paraId="62F71D90" w14:textId="77777777" w:rsidR="00136D66" w:rsidRDefault="00000000">
            <w:r>
              <w:rPr>
                <w:color w:val="000000"/>
              </w:rPr>
              <w:t>3 – Graph-based</w:t>
            </w:r>
          </w:p>
        </w:tc>
        <w:tc>
          <w:tcPr>
            <w:tcW w:w="3600" w:type="dxa"/>
            <w:tcMar>
              <w:top w:w="80" w:type="dxa"/>
              <w:left w:w="100" w:type="dxa"/>
              <w:bottom w:w="80" w:type="dxa"/>
              <w:right w:w="100" w:type="dxa"/>
            </w:tcMar>
          </w:tcPr>
          <w:p w14:paraId="3D35FCB2" w14:textId="77777777" w:rsidR="00136D66" w:rsidRDefault="00000000">
            <w:r>
              <w:rPr>
                <w:color w:val="000000"/>
              </w:rPr>
              <w:t>DGCNN, GAT / KAN-GCNN</w:t>
            </w:r>
          </w:p>
        </w:tc>
        <w:tc>
          <w:tcPr>
            <w:tcW w:w="3300" w:type="dxa"/>
            <w:tcMar>
              <w:top w:w="80" w:type="dxa"/>
              <w:left w:w="100" w:type="dxa"/>
              <w:bottom w:w="80" w:type="dxa"/>
              <w:right w:w="100" w:type="dxa"/>
            </w:tcMar>
          </w:tcPr>
          <w:p w14:paraId="5B2C1B45" w14:textId="77777777" w:rsidR="00136D66" w:rsidRDefault="00000000">
            <w:r>
              <w:rPr>
                <w:color w:val="000000"/>
              </w:rPr>
              <w:t>Establishes spatial-graph modelling as a comparison point</w:t>
            </w:r>
          </w:p>
        </w:tc>
      </w:tr>
      <w:tr w:rsidR="00136D66" w14:paraId="0E2A667D" w14:textId="77777777">
        <w:tblPrEx>
          <w:tblCellMar>
            <w:top w:w="0" w:type="dxa"/>
            <w:bottom w:w="0" w:type="dxa"/>
          </w:tblCellMar>
        </w:tblPrEx>
        <w:tc>
          <w:tcPr>
            <w:tcW w:w="2600" w:type="dxa"/>
            <w:shd w:val="clear" w:color="auto" w:fill="EAF1F8"/>
            <w:tcMar>
              <w:top w:w="80" w:type="dxa"/>
              <w:left w:w="100" w:type="dxa"/>
              <w:bottom w:w="80" w:type="dxa"/>
              <w:right w:w="100" w:type="dxa"/>
            </w:tcMar>
          </w:tcPr>
          <w:p w14:paraId="2E85B65E" w14:textId="77777777" w:rsidR="00136D66" w:rsidRDefault="00000000">
            <w:r>
              <w:rPr>
                <w:color w:val="000000"/>
              </w:rPr>
              <w:t>4 – Transformer-based</w:t>
            </w:r>
          </w:p>
        </w:tc>
        <w:tc>
          <w:tcPr>
            <w:tcW w:w="3600" w:type="dxa"/>
            <w:shd w:val="clear" w:color="auto" w:fill="EAF1F8"/>
            <w:tcMar>
              <w:top w:w="80" w:type="dxa"/>
              <w:left w:w="100" w:type="dxa"/>
              <w:bottom w:w="80" w:type="dxa"/>
              <w:right w:w="100" w:type="dxa"/>
            </w:tcMar>
          </w:tcPr>
          <w:p w14:paraId="5AB207D8" w14:textId="77777777" w:rsidR="00136D66" w:rsidRDefault="00000000">
            <w:r>
              <w:rPr>
                <w:color w:val="000000"/>
              </w:rPr>
              <w:t>Plain multi-band transformer (no explainability/uncertainty add-ons)</w:t>
            </w:r>
          </w:p>
        </w:tc>
        <w:tc>
          <w:tcPr>
            <w:tcW w:w="3300" w:type="dxa"/>
            <w:shd w:val="clear" w:color="auto" w:fill="EAF1F8"/>
            <w:tcMar>
              <w:top w:w="80" w:type="dxa"/>
              <w:left w:w="100" w:type="dxa"/>
              <w:bottom w:w="80" w:type="dxa"/>
              <w:right w:w="100" w:type="dxa"/>
            </w:tcMar>
          </w:tcPr>
          <w:p w14:paraId="7AE3BF2F" w14:textId="77777777" w:rsidR="00136D66" w:rsidRDefault="00000000">
            <w:r>
              <w:rPr>
                <w:color w:val="000000"/>
              </w:rPr>
              <w:t>Isolates the exact contribution of our XAI + uncertainty additions</w:t>
            </w:r>
          </w:p>
        </w:tc>
      </w:tr>
      <w:tr w:rsidR="00136D66" w14:paraId="29ABB97E" w14:textId="77777777">
        <w:tblPrEx>
          <w:tblCellMar>
            <w:top w:w="0" w:type="dxa"/>
            <w:bottom w:w="0" w:type="dxa"/>
          </w:tblCellMar>
        </w:tblPrEx>
        <w:tc>
          <w:tcPr>
            <w:tcW w:w="2600" w:type="dxa"/>
            <w:tcMar>
              <w:top w:w="80" w:type="dxa"/>
              <w:left w:w="100" w:type="dxa"/>
              <w:bottom w:w="80" w:type="dxa"/>
              <w:right w:w="100" w:type="dxa"/>
            </w:tcMar>
          </w:tcPr>
          <w:p w14:paraId="0BAA78FE" w14:textId="77777777" w:rsidR="00136D66" w:rsidRDefault="00000000">
            <w:r>
              <w:rPr>
                <w:color w:val="000000"/>
              </w:rPr>
              <w:t>5 – Domain Adaptation (for cross-subject eval)</w:t>
            </w:r>
          </w:p>
        </w:tc>
        <w:tc>
          <w:tcPr>
            <w:tcW w:w="3600" w:type="dxa"/>
            <w:tcMar>
              <w:top w:w="80" w:type="dxa"/>
              <w:left w:w="100" w:type="dxa"/>
              <w:bottom w:w="80" w:type="dxa"/>
              <w:right w:w="100" w:type="dxa"/>
            </w:tcMar>
          </w:tcPr>
          <w:p w14:paraId="25F068DD" w14:textId="77777777" w:rsidR="00136D66" w:rsidRDefault="00000000">
            <w:r>
              <w:rPr>
                <w:color w:val="000000"/>
              </w:rPr>
              <w:t>Cited from literature (not re-implemented) for context</w:t>
            </w:r>
          </w:p>
        </w:tc>
        <w:tc>
          <w:tcPr>
            <w:tcW w:w="3300" w:type="dxa"/>
            <w:tcMar>
              <w:top w:w="80" w:type="dxa"/>
              <w:left w:w="100" w:type="dxa"/>
              <w:bottom w:w="80" w:type="dxa"/>
              <w:right w:w="100" w:type="dxa"/>
            </w:tcMar>
          </w:tcPr>
          <w:p w14:paraId="12F3AFCB" w14:textId="77777777" w:rsidR="00136D66" w:rsidRDefault="00000000">
            <w:r>
              <w:rPr>
                <w:color w:val="000000"/>
              </w:rPr>
              <w:t>Provides fair external reference points for cross-subject/session accuracy</w:t>
            </w:r>
          </w:p>
        </w:tc>
      </w:tr>
    </w:tbl>
    <w:p w14:paraId="3BF7D9D6" w14:textId="77777777" w:rsidR="00136D66" w:rsidRDefault="00000000">
      <w:pPr>
        <w:pStyle w:val="Heading1"/>
        <w:spacing w:before="360" w:after="160"/>
      </w:pPr>
      <w:r>
        <w:t>9. Evaluation Protocol &amp; Metrics</w:t>
      </w:r>
    </w:p>
    <w:p w14:paraId="2E6CB006" w14:textId="77777777" w:rsidR="00136D66" w:rsidRDefault="00000000">
      <w:pPr>
        <w:pStyle w:val="Heading2"/>
        <w:spacing w:before="260" w:after="120"/>
      </w:pPr>
      <w:r>
        <w:t>9.1 Evaluation Protocols</w:t>
      </w:r>
    </w:p>
    <w:p w14:paraId="1AA9A262" w14:textId="77777777" w:rsidR="00136D66" w:rsidRDefault="00000000">
      <w:pPr>
        <w:pStyle w:val="ListParagraph"/>
        <w:numPr>
          <w:ilvl w:val="0"/>
          <w:numId w:val="2"/>
        </w:numPr>
        <w:spacing w:after="90" w:line="280" w:lineRule="auto"/>
      </w:pPr>
      <w:r>
        <w:rPr>
          <w:sz w:val="22"/>
          <w:szCs w:val="22"/>
        </w:rPr>
        <w:t>Subject-dependent evaluation</w:t>
      </w:r>
    </w:p>
    <w:p w14:paraId="78C75906" w14:textId="77777777" w:rsidR="00136D66" w:rsidRDefault="00000000">
      <w:pPr>
        <w:pStyle w:val="ListParagraph"/>
        <w:numPr>
          <w:ilvl w:val="0"/>
          <w:numId w:val="2"/>
        </w:numPr>
        <w:spacing w:after="90" w:line="280" w:lineRule="auto"/>
      </w:pPr>
      <w:r>
        <w:rPr>
          <w:sz w:val="22"/>
          <w:szCs w:val="22"/>
        </w:rPr>
        <w:t>Cross-subject evaluation (leave-N-subjects-out)</w:t>
      </w:r>
    </w:p>
    <w:p w14:paraId="12AF29B4" w14:textId="77777777" w:rsidR="00136D66" w:rsidRDefault="00000000">
      <w:pPr>
        <w:pStyle w:val="ListParagraph"/>
        <w:numPr>
          <w:ilvl w:val="0"/>
          <w:numId w:val="2"/>
        </w:numPr>
        <w:spacing w:after="90" w:line="280" w:lineRule="auto"/>
      </w:pPr>
      <w:r>
        <w:rPr>
          <w:sz w:val="22"/>
          <w:szCs w:val="22"/>
        </w:rPr>
        <w:lastRenderedPageBreak/>
        <w:t>Cross-session evaluation</w:t>
      </w:r>
    </w:p>
    <w:p w14:paraId="64DF8EDE" w14:textId="77777777" w:rsidR="00136D66" w:rsidRDefault="00000000">
      <w:pPr>
        <w:pStyle w:val="Heading2"/>
        <w:spacing w:before="260" w:after="120"/>
      </w:pPr>
      <w:r>
        <w:t>9.2 Metrics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136D66" w14:paraId="168DFCE7"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6F78C87E" w14:textId="77777777" w:rsidR="00136D66" w:rsidRDefault="00000000">
            <w:r>
              <w:rPr>
                <w:b/>
                <w:bCs/>
                <w:color w:val="FFFFFF"/>
              </w:rPr>
              <w:t>Category</w:t>
            </w:r>
          </w:p>
        </w:tc>
        <w:tc>
          <w:tcPr>
            <w:tcW w:w="6300" w:type="dxa"/>
            <w:shd w:val="clear" w:color="auto" w:fill="1F4E79"/>
            <w:tcMar>
              <w:top w:w="80" w:type="dxa"/>
              <w:left w:w="100" w:type="dxa"/>
              <w:bottom w:w="80" w:type="dxa"/>
              <w:right w:w="100" w:type="dxa"/>
            </w:tcMar>
          </w:tcPr>
          <w:p w14:paraId="07B06E8E" w14:textId="77777777" w:rsidR="00136D66" w:rsidRDefault="00000000">
            <w:r>
              <w:rPr>
                <w:b/>
                <w:bCs/>
                <w:color w:val="FFFFFF"/>
              </w:rPr>
              <w:t>Metrics</w:t>
            </w:r>
          </w:p>
        </w:tc>
      </w:tr>
      <w:tr w:rsidR="00136D66" w14:paraId="2490F0F4" w14:textId="77777777">
        <w:tblPrEx>
          <w:tblCellMar>
            <w:top w:w="0" w:type="dxa"/>
            <w:bottom w:w="0" w:type="dxa"/>
          </w:tblCellMar>
        </w:tblPrEx>
        <w:tc>
          <w:tcPr>
            <w:tcW w:w="3200" w:type="dxa"/>
            <w:tcMar>
              <w:top w:w="80" w:type="dxa"/>
              <w:left w:w="100" w:type="dxa"/>
              <w:bottom w:w="80" w:type="dxa"/>
              <w:right w:w="100" w:type="dxa"/>
            </w:tcMar>
          </w:tcPr>
          <w:p w14:paraId="602BF00D" w14:textId="77777777" w:rsidR="00136D66" w:rsidRDefault="00000000">
            <w:r>
              <w:rPr>
                <w:color w:val="000000"/>
              </w:rPr>
              <w:t>Standard performance</w:t>
            </w:r>
          </w:p>
        </w:tc>
        <w:tc>
          <w:tcPr>
            <w:tcW w:w="6300" w:type="dxa"/>
            <w:tcMar>
              <w:top w:w="80" w:type="dxa"/>
              <w:left w:w="100" w:type="dxa"/>
              <w:bottom w:w="80" w:type="dxa"/>
              <w:right w:w="100" w:type="dxa"/>
            </w:tcMar>
          </w:tcPr>
          <w:p w14:paraId="10A4FD2A" w14:textId="77777777" w:rsidR="00136D66" w:rsidRDefault="00000000">
            <w:r>
              <w:rPr>
                <w:color w:val="000000"/>
              </w:rPr>
              <w:t>Accuracy, Macro-F1, Cohen's Kappa, Confusion Matrix, Mean ± Std across subjects</w:t>
            </w:r>
          </w:p>
        </w:tc>
      </w:tr>
      <w:tr w:rsidR="00136D66" w14:paraId="27AB2B37" w14:textId="77777777">
        <w:tblPrEx>
          <w:tblCellMar>
            <w:top w:w="0" w:type="dxa"/>
            <w:bottom w:w="0" w:type="dxa"/>
          </w:tblCellMar>
        </w:tblPrEx>
        <w:tc>
          <w:tcPr>
            <w:tcW w:w="3200" w:type="dxa"/>
            <w:shd w:val="clear" w:color="auto" w:fill="EAF1F8"/>
            <w:tcMar>
              <w:top w:w="80" w:type="dxa"/>
              <w:left w:w="100" w:type="dxa"/>
              <w:bottom w:w="80" w:type="dxa"/>
              <w:right w:w="100" w:type="dxa"/>
            </w:tcMar>
          </w:tcPr>
          <w:p w14:paraId="6778790F" w14:textId="77777777" w:rsidR="00136D66" w:rsidRDefault="00000000">
            <w:r>
              <w:rPr>
                <w:color w:val="000000"/>
              </w:rPr>
              <w:t>Responsible AI / calibration</w:t>
            </w:r>
          </w:p>
        </w:tc>
        <w:tc>
          <w:tcPr>
            <w:tcW w:w="6300" w:type="dxa"/>
            <w:shd w:val="clear" w:color="auto" w:fill="EAF1F8"/>
            <w:tcMar>
              <w:top w:w="80" w:type="dxa"/>
              <w:left w:w="100" w:type="dxa"/>
              <w:bottom w:w="80" w:type="dxa"/>
              <w:right w:w="100" w:type="dxa"/>
            </w:tcMar>
          </w:tcPr>
          <w:p w14:paraId="13C92C0A" w14:textId="77777777" w:rsidR="00136D66" w:rsidRDefault="00000000">
            <w:r>
              <w:rPr>
                <w:color w:val="000000"/>
              </w:rPr>
              <w:t>Expected Calibration Error (ECE), Reliability diagrams, Accuracy-vs-rejection curve</w:t>
            </w:r>
          </w:p>
        </w:tc>
      </w:tr>
      <w:tr w:rsidR="00136D66" w14:paraId="51E6BCAD" w14:textId="77777777">
        <w:tblPrEx>
          <w:tblCellMar>
            <w:top w:w="0" w:type="dxa"/>
            <w:bottom w:w="0" w:type="dxa"/>
          </w:tblCellMar>
        </w:tblPrEx>
        <w:tc>
          <w:tcPr>
            <w:tcW w:w="3200" w:type="dxa"/>
            <w:tcMar>
              <w:top w:w="80" w:type="dxa"/>
              <w:left w:w="100" w:type="dxa"/>
              <w:bottom w:w="80" w:type="dxa"/>
              <w:right w:w="100" w:type="dxa"/>
            </w:tcMar>
          </w:tcPr>
          <w:p w14:paraId="6CA59D91" w14:textId="77777777" w:rsidR="00136D66" w:rsidRDefault="00000000">
            <w:r>
              <w:rPr>
                <w:color w:val="000000"/>
              </w:rPr>
              <w:t>Explainability faithfulness</w:t>
            </w:r>
          </w:p>
        </w:tc>
        <w:tc>
          <w:tcPr>
            <w:tcW w:w="6300" w:type="dxa"/>
            <w:tcMar>
              <w:top w:w="80" w:type="dxa"/>
              <w:left w:w="100" w:type="dxa"/>
              <w:bottom w:w="80" w:type="dxa"/>
              <w:right w:w="100" w:type="dxa"/>
            </w:tcMar>
          </w:tcPr>
          <w:p w14:paraId="289AB38C" w14:textId="77777777" w:rsidR="00136D66" w:rsidRDefault="00000000">
            <w:r>
              <w:rPr>
                <w:color w:val="000000"/>
              </w:rPr>
              <w:t>Deletion AUC, Insertion AUC, Comprehensiveness, Sufficiency</w:t>
            </w:r>
          </w:p>
        </w:tc>
      </w:tr>
      <w:tr w:rsidR="00136D66" w14:paraId="6E72AA26" w14:textId="77777777">
        <w:tblPrEx>
          <w:tblCellMar>
            <w:top w:w="0" w:type="dxa"/>
            <w:bottom w:w="0" w:type="dxa"/>
          </w:tblCellMar>
        </w:tblPrEx>
        <w:tc>
          <w:tcPr>
            <w:tcW w:w="3200" w:type="dxa"/>
            <w:shd w:val="clear" w:color="auto" w:fill="EAF1F8"/>
            <w:tcMar>
              <w:top w:w="80" w:type="dxa"/>
              <w:left w:w="100" w:type="dxa"/>
              <w:bottom w:w="80" w:type="dxa"/>
              <w:right w:w="100" w:type="dxa"/>
            </w:tcMar>
          </w:tcPr>
          <w:p w14:paraId="1BE1293E" w14:textId="77777777" w:rsidR="00136D66" w:rsidRDefault="00000000">
            <w:r>
              <w:rPr>
                <w:color w:val="000000"/>
              </w:rPr>
              <w:t xml:space="preserve">Efficiency / </w:t>
            </w:r>
            <w:proofErr w:type="spellStart"/>
            <w:r>
              <w:rPr>
                <w:color w:val="000000"/>
              </w:rPr>
              <w:t>deployability</w:t>
            </w:r>
            <w:proofErr w:type="spellEnd"/>
          </w:p>
        </w:tc>
        <w:tc>
          <w:tcPr>
            <w:tcW w:w="6300" w:type="dxa"/>
            <w:shd w:val="clear" w:color="auto" w:fill="EAF1F8"/>
            <w:tcMar>
              <w:top w:w="80" w:type="dxa"/>
              <w:left w:w="100" w:type="dxa"/>
              <w:bottom w:w="80" w:type="dxa"/>
              <w:right w:w="100" w:type="dxa"/>
            </w:tcMar>
          </w:tcPr>
          <w:p w14:paraId="27F7F4AF" w14:textId="77777777" w:rsidR="00136D66" w:rsidRDefault="00000000">
            <w:r>
              <w:rPr>
                <w:color w:val="000000"/>
              </w:rPr>
              <w:t>Parameter count, Inference time (supports responsible/edge-deployable AI narrative)</w:t>
            </w:r>
          </w:p>
        </w:tc>
      </w:tr>
    </w:tbl>
    <w:p w14:paraId="3FF66612" w14:textId="77777777" w:rsidR="00136D66" w:rsidRDefault="00000000">
      <w:pPr>
        <w:pStyle w:val="Heading2"/>
        <w:spacing w:before="260" w:after="120"/>
      </w:pPr>
      <w:r>
        <w:t>9.3 Ablation Studies Planned</w:t>
      </w:r>
    </w:p>
    <w:p w14:paraId="6AB69A87" w14:textId="77777777" w:rsidR="00136D66" w:rsidRDefault="00000000">
      <w:pPr>
        <w:pStyle w:val="ListParagraph"/>
        <w:numPr>
          <w:ilvl w:val="0"/>
          <w:numId w:val="2"/>
        </w:numPr>
        <w:spacing w:after="90" w:line="280" w:lineRule="auto"/>
      </w:pPr>
      <w:r>
        <w:rPr>
          <w:sz w:val="22"/>
          <w:szCs w:val="22"/>
        </w:rPr>
        <w:t>With vs. without cross-band attention</w:t>
      </w:r>
    </w:p>
    <w:p w14:paraId="7A530CA6" w14:textId="77777777" w:rsidR="00136D66" w:rsidRDefault="00000000">
      <w:pPr>
        <w:pStyle w:val="ListParagraph"/>
        <w:numPr>
          <w:ilvl w:val="0"/>
          <w:numId w:val="2"/>
        </w:numPr>
        <w:spacing w:after="90" w:line="280" w:lineRule="auto"/>
      </w:pPr>
      <w:r>
        <w:rPr>
          <w:sz w:val="22"/>
          <w:szCs w:val="22"/>
        </w:rPr>
        <w:t>With vs. without GAT spatial modelling</w:t>
      </w:r>
    </w:p>
    <w:p w14:paraId="5F1933D0" w14:textId="77777777" w:rsidR="00136D66" w:rsidRDefault="00000000">
      <w:pPr>
        <w:pStyle w:val="ListParagraph"/>
        <w:numPr>
          <w:ilvl w:val="0"/>
          <w:numId w:val="2"/>
        </w:numPr>
        <w:spacing w:after="90" w:line="280" w:lineRule="auto"/>
      </w:pPr>
      <w:r>
        <w:rPr>
          <w:sz w:val="22"/>
          <w:szCs w:val="22"/>
        </w:rPr>
        <w:t>MLP vs. KAN classification head</w:t>
      </w:r>
    </w:p>
    <w:p w14:paraId="64E5A7F9" w14:textId="77777777" w:rsidR="00136D66" w:rsidRDefault="00000000">
      <w:pPr>
        <w:pStyle w:val="ListParagraph"/>
        <w:numPr>
          <w:ilvl w:val="0"/>
          <w:numId w:val="2"/>
        </w:numPr>
        <w:spacing w:after="90" w:line="280" w:lineRule="auto"/>
      </w:pPr>
      <w:r>
        <w:rPr>
          <w:sz w:val="22"/>
          <w:szCs w:val="22"/>
        </w:rPr>
        <w:t>With vs. without uncertainty/calibration head</w:t>
      </w:r>
    </w:p>
    <w:p w14:paraId="5969ED7F" w14:textId="77777777" w:rsidR="00136D66" w:rsidRDefault="00000000">
      <w:pPr>
        <w:pStyle w:val="ListParagraph"/>
        <w:numPr>
          <w:ilvl w:val="0"/>
          <w:numId w:val="2"/>
        </w:numPr>
        <w:spacing w:after="90" w:line="280" w:lineRule="auto"/>
      </w:pPr>
      <w:r>
        <w:rPr>
          <w:sz w:val="22"/>
          <w:szCs w:val="22"/>
        </w:rPr>
        <w:t>With vs. without faithfulness-guided explainability training</w:t>
      </w:r>
    </w:p>
    <w:p w14:paraId="4FC90C82" w14:textId="77777777" w:rsidR="00136D66" w:rsidRDefault="00000000">
      <w:r>
        <w:br w:type="page"/>
      </w:r>
    </w:p>
    <w:p w14:paraId="6EF1BC3A" w14:textId="77777777" w:rsidR="00136D66" w:rsidRDefault="00000000">
      <w:pPr>
        <w:pStyle w:val="Heading1"/>
        <w:spacing w:before="360" w:after="160"/>
      </w:pPr>
      <w:r>
        <w:lastRenderedPageBreak/>
        <w:t>10. Ethical AI and Responsible AI Considerations</w:t>
      </w:r>
    </w:p>
    <w:p w14:paraId="4ACEF794" w14:textId="77777777" w:rsidR="00136D66" w:rsidRDefault="00000000">
      <w:pPr>
        <w:spacing w:after="160" w:line="300" w:lineRule="auto"/>
      </w:pPr>
      <w:r>
        <w:rPr>
          <w:sz w:val="22"/>
          <w:szCs w:val="22"/>
        </w:rPr>
        <w:t>Because EEG is sensitive biometric data and the end application relates to human emotional states, this project explicitly incorporates Ethical AI and Responsible AI principles at every stage — not as an afterthought, but as a core research contribution.</w:t>
      </w:r>
    </w:p>
    <w:p w14:paraId="00FCC202" w14:textId="77777777" w:rsidR="00136D66" w:rsidRDefault="00000000">
      <w:pPr>
        <w:pStyle w:val="Heading2"/>
        <w:spacing w:before="260" w:after="120"/>
      </w:pPr>
      <w:r>
        <w:t>10.1 Data Ethics</w:t>
      </w:r>
    </w:p>
    <w:p w14:paraId="7BAB8703" w14:textId="77777777" w:rsidR="00136D66" w:rsidRDefault="00000000">
      <w:pPr>
        <w:pStyle w:val="ListParagraph"/>
        <w:numPr>
          <w:ilvl w:val="0"/>
          <w:numId w:val="2"/>
        </w:numPr>
        <w:spacing w:after="90" w:line="280" w:lineRule="auto"/>
      </w:pPr>
      <w:r>
        <w:rPr>
          <w:sz w:val="22"/>
          <w:szCs w:val="22"/>
        </w:rPr>
        <w:t>SEED-IV is a publicly released, de-identified academic dataset; no personally identifiable information is collected, stored, or inferred.</w:t>
      </w:r>
    </w:p>
    <w:p w14:paraId="7E677872" w14:textId="77777777" w:rsidR="00136D66" w:rsidRDefault="00000000">
      <w:pPr>
        <w:pStyle w:val="ListParagraph"/>
        <w:numPr>
          <w:ilvl w:val="0"/>
          <w:numId w:val="2"/>
        </w:numPr>
        <w:spacing w:after="90" w:line="280" w:lineRule="auto"/>
      </w:pPr>
      <w:r>
        <w:rPr>
          <w:sz w:val="22"/>
          <w:szCs w:val="22"/>
        </w:rPr>
        <w:t>Data will be used strictly for the stated academic research purpose, consistent with the dataset's original release terms.</w:t>
      </w:r>
    </w:p>
    <w:p w14:paraId="6284AA9E" w14:textId="77777777" w:rsidR="00136D66" w:rsidRDefault="00000000">
      <w:pPr>
        <w:pStyle w:val="Heading2"/>
        <w:spacing w:before="260" w:after="120"/>
      </w:pPr>
      <w:r>
        <w:t>10.2 Transparency &amp; Explainability</w:t>
      </w:r>
    </w:p>
    <w:p w14:paraId="16925D52" w14:textId="77777777" w:rsidR="00136D66" w:rsidRDefault="00000000">
      <w:pPr>
        <w:pStyle w:val="ListParagraph"/>
        <w:numPr>
          <w:ilvl w:val="0"/>
          <w:numId w:val="2"/>
        </w:numPr>
        <w:spacing w:after="90" w:line="280" w:lineRule="auto"/>
      </w:pPr>
      <w:r>
        <w:rPr>
          <w:sz w:val="22"/>
          <w:szCs w:val="22"/>
        </w:rPr>
        <w:t>Every prediction is accompanied by a verified explanation (which bands / channels drove the decision), not a black-box label.</w:t>
      </w:r>
    </w:p>
    <w:p w14:paraId="0812D82D" w14:textId="77777777" w:rsidR="00136D66" w:rsidRDefault="00000000">
      <w:pPr>
        <w:pStyle w:val="ListParagraph"/>
        <w:numPr>
          <w:ilvl w:val="0"/>
          <w:numId w:val="2"/>
        </w:numPr>
        <w:spacing w:after="90" w:line="280" w:lineRule="auto"/>
      </w:pPr>
      <w:r>
        <w:rPr>
          <w:sz w:val="22"/>
          <w:szCs w:val="22"/>
        </w:rPr>
        <w:t>Explanations are quantitatively validated for faithfulness rather than only visually plausible.</w:t>
      </w:r>
    </w:p>
    <w:p w14:paraId="55FBF177" w14:textId="77777777" w:rsidR="00136D66" w:rsidRDefault="00000000">
      <w:pPr>
        <w:pStyle w:val="Heading2"/>
        <w:spacing w:before="260" w:after="120"/>
      </w:pPr>
      <w:r>
        <w:t>10.3 Fairness</w:t>
      </w:r>
    </w:p>
    <w:p w14:paraId="3D6B4822" w14:textId="77777777" w:rsidR="00136D66" w:rsidRDefault="00000000">
      <w:pPr>
        <w:pStyle w:val="ListParagraph"/>
        <w:numPr>
          <w:ilvl w:val="0"/>
          <w:numId w:val="2"/>
        </w:numPr>
        <w:spacing w:after="90" w:line="280" w:lineRule="auto"/>
      </w:pPr>
      <w:r>
        <w:rPr>
          <w:sz w:val="22"/>
          <w:szCs w:val="22"/>
        </w:rPr>
        <w:t>Performance is reported and analysed per-subject, not only as an aggregate average, to surface and report any unfair disparity in model reliability across individuals.</w:t>
      </w:r>
    </w:p>
    <w:p w14:paraId="57BB1B63" w14:textId="77777777" w:rsidR="00136D66" w:rsidRDefault="00000000">
      <w:pPr>
        <w:pStyle w:val="Heading2"/>
        <w:spacing w:before="260" w:after="120"/>
      </w:pPr>
      <w:r>
        <w:t>10.4 Reliability &amp; Safety</w:t>
      </w:r>
    </w:p>
    <w:p w14:paraId="40169967" w14:textId="77777777" w:rsidR="00136D66" w:rsidRDefault="00000000">
      <w:pPr>
        <w:pStyle w:val="ListParagraph"/>
        <w:numPr>
          <w:ilvl w:val="0"/>
          <w:numId w:val="2"/>
        </w:numPr>
        <w:spacing w:after="90" w:line="280" w:lineRule="auto"/>
      </w:pPr>
      <w:r>
        <w:rPr>
          <w:sz w:val="22"/>
          <w:szCs w:val="22"/>
        </w:rPr>
        <w:t>The model outputs a calibrated confidence score and can abstain from predicting on highly uncertain trials rather than force a possibly wrong label — critical for any future clinical or well-being-adjacent application.</w:t>
      </w:r>
    </w:p>
    <w:p w14:paraId="3E07E899" w14:textId="77777777" w:rsidR="00136D66" w:rsidRDefault="00000000">
      <w:pPr>
        <w:pStyle w:val="Heading2"/>
        <w:spacing w:before="260" w:after="120"/>
      </w:pPr>
      <w:r>
        <w:t>10.5 Accountability &amp; Reproducibility</w:t>
      </w:r>
    </w:p>
    <w:p w14:paraId="507309CD" w14:textId="77777777" w:rsidR="00136D66" w:rsidRDefault="00000000">
      <w:pPr>
        <w:pStyle w:val="ListParagraph"/>
        <w:numPr>
          <w:ilvl w:val="0"/>
          <w:numId w:val="2"/>
        </w:numPr>
        <w:spacing w:after="90" w:line="280" w:lineRule="auto"/>
      </w:pPr>
      <w:r>
        <w:rPr>
          <w:sz w:val="22"/>
          <w:szCs w:val="22"/>
        </w:rPr>
        <w:t>Code, trained model weights, and evaluation scripts will be released publicly to allow independent verification of all claims.</w:t>
      </w:r>
    </w:p>
    <w:p w14:paraId="684BDD9B" w14:textId="77777777" w:rsidR="00136D66" w:rsidRDefault="00000000">
      <w:pPr>
        <w:pStyle w:val="ListParagraph"/>
        <w:numPr>
          <w:ilvl w:val="0"/>
          <w:numId w:val="2"/>
        </w:numPr>
        <w:spacing w:after="90" w:line="280" w:lineRule="auto"/>
      </w:pPr>
      <w:r>
        <w:rPr>
          <w:sz w:val="22"/>
          <w:szCs w:val="22"/>
        </w:rPr>
        <w:t>All limitations — including subjects, emotions, or conditions where the model underperforms — will be explicitly documented in the paper, rather than omitted.</w:t>
      </w:r>
    </w:p>
    <w:p w14:paraId="41815EDF" w14:textId="77777777" w:rsidR="00136D66" w:rsidRDefault="00000000">
      <w:pPr>
        <w:pStyle w:val="Heading2"/>
        <w:spacing w:before="260" w:after="120"/>
      </w:pPr>
      <w:r>
        <w:t>10.6 Intended Use &amp; Misuse Statement</w:t>
      </w:r>
    </w:p>
    <w:p w14:paraId="1B216981" w14:textId="77777777" w:rsidR="00136D66" w:rsidRDefault="00000000">
      <w:pPr>
        <w:pStyle w:val="ListParagraph"/>
        <w:numPr>
          <w:ilvl w:val="0"/>
          <w:numId w:val="2"/>
        </w:numPr>
        <w:spacing w:after="90" w:line="280" w:lineRule="auto"/>
      </w:pPr>
      <w:r>
        <w:rPr>
          <w:sz w:val="22"/>
          <w:szCs w:val="22"/>
        </w:rPr>
        <w:t>The system is intended strictly for research purposes in affective computing; it is not a diagnostic or clinical decision-making tool.</w:t>
      </w:r>
    </w:p>
    <w:p w14:paraId="6BD94131" w14:textId="77777777" w:rsidR="00136D66" w:rsidRDefault="00000000">
      <w:pPr>
        <w:pStyle w:val="ListParagraph"/>
        <w:numPr>
          <w:ilvl w:val="0"/>
          <w:numId w:val="2"/>
        </w:numPr>
        <w:spacing w:after="90" w:line="280" w:lineRule="auto"/>
      </w:pPr>
      <w:r>
        <w:rPr>
          <w:sz w:val="22"/>
          <w:szCs w:val="22"/>
        </w:rPr>
        <w:t>Potential misuse (e.g., covert emotion surveillance) will be explicitly acknowledged and discouraged in the paper's ethical statement, consistent with responsible AI publication norms.</w:t>
      </w:r>
    </w:p>
    <w:p w14:paraId="08A6F202" w14:textId="77777777" w:rsidR="00136D66" w:rsidRDefault="00000000">
      <w:pPr>
        <w:pStyle w:val="Heading2"/>
        <w:spacing w:before="260" w:after="120"/>
      </w:pPr>
      <w:r>
        <w:t>10.7 Implementation Roadmap — How We Will Achieve This</w:t>
      </w:r>
    </w:p>
    <w:p w14:paraId="079EFE49" w14:textId="77777777" w:rsidR="00136D66" w:rsidRDefault="00000000">
      <w:pPr>
        <w:spacing w:after="160" w:line="300" w:lineRule="auto"/>
      </w:pPr>
      <w:r>
        <w:rPr>
          <w:sz w:val="22"/>
          <w:szCs w:val="22"/>
        </w:rPr>
        <w:lastRenderedPageBreak/>
        <w:t>Ethical and Responsible AI is not treated as a written statement alone; each principle above is mapped to a concrete, implementable technique in the pipeline, with a specific metric or artifact that proves it was actually done.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00"/>
        <w:gridCol w:w="2700"/>
      </w:tblGrid>
      <w:tr w:rsidR="00136D66" w14:paraId="7A30C5E9"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798DFBE6" w14:textId="77777777" w:rsidR="00136D66" w:rsidRDefault="00000000">
            <w:r>
              <w:rPr>
                <w:b/>
                <w:bCs/>
                <w:color w:val="FFFFFF"/>
              </w:rPr>
              <w:t>Principle</w:t>
            </w:r>
          </w:p>
        </w:tc>
        <w:tc>
          <w:tcPr>
            <w:tcW w:w="4300" w:type="dxa"/>
            <w:shd w:val="clear" w:color="auto" w:fill="1F4E79"/>
            <w:tcMar>
              <w:top w:w="80" w:type="dxa"/>
              <w:left w:w="100" w:type="dxa"/>
              <w:bottom w:w="80" w:type="dxa"/>
              <w:right w:w="100" w:type="dxa"/>
            </w:tcMar>
          </w:tcPr>
          <w:p w14:paraId="5705AE66" w14:textId="77777777" w:rsidR="00136D66" w:rsidRDefault="00000000">
            <w:r>
              <w:rPr>
                <w:b/>
                <w:bCs/>
                <w:color w:val="FFFFFF"/>
              </w:rPr>
              <w:t>Concrete technique used</w:t>
            </w:r>
          </w:p>
        </w:tc>
        <w:tc>
          <w:tcPr>
            <w:tcW w:w="2700" w:type="dxa"/>
            <w:shd w:val="clear" w:color="auto" w:fill="1F4E79"/>
            <w:tcMar>
              <w:top w:w="80" w:type="dxa"/>
              <w:left w:w="100" w:type="dxa"/>
              <w:bottom w:w="80" w:type="dxa"/>
              <w:right w:w="100" w:type="dxa"/>
            </w:tcMar>
          </w:tcPr>
          <w:p w14:paraId="10006509" w14:textId="77777777" w:rsidR="00136D66" w:rsidRDefault="00000000">
            <w:r>
              <w:rPr>
                <w:b/>
                <w:bCs/>
                <w:color w:val="FFFFFF"/>
              </w:rPr>
              <w:t>Proof / metric produced</w:t>
            </w:r>
          </w:p>
        </w:tc>
      </w:tr>
      <w:tr w:rsidR="00136D66" w14:paraId="3E992DBF" w14:textId="77777777">
        <w:tblPrEx>
          <w:tblCellMar>
            <w:top w:w="0" w:type="dxa"/>
            <w:bottom w:w="0" w:type="dxa"/>
          </w:tblCellMar>
        </w:tblPrEx>
        <w:tc>
          <w:tcPr>
            <w:tcW w:w="2500" w:type="dxa"/>
            <w:tcMar>
              <w:top w:w="80" w:type="dxa"/>
              <w:left w:w="100" w:type="dxa"/>
              <w:bottom w:w="80" w:type="dxa"/>
              <w:right w:w="100" w:type="dxa"/>
            </w:tcMar>
          </w:tcPr>
          <w:p w14:paraId="3C256BF6" w14:textId="77777777" w:rsidR="00136D66" w:rsidRDefault="00000000">
            <w:r>
              <w:rPr>
                <w:color w:val="000000"/>
              </w:rPr>
              <w:t>Privacy &amp; data ethics</w:t>
            </w:r>
          </w:p>
        </w:tc>
        <w:tc>
          <w:tcPr>
            <w:tcW w:w="4300" w:type="dxa"/>
            <w:tcMar>
              <w:top w:w="80" w:type="dxa"/>
              <w:left w:w="100" w:type="dxa"/>
              <w:bottom w:w="80" w:type="dxa"/>
              <w:right w:w="100" w:type="dxa"/>
            </w:tcMar>
          </w:tcPr>
          <w:p w14:paraId="02ABA100" w14:textId="77777777" w:rsidR="00136D66" w:rsidRDefault="00000000">
            <w:r>
              <w:rPr>
                <w:color w:val="000000"/>
              </w:rPr>
              <w:t>Use only the public, de-identified SEED-IV release; no re-identification attempts; no external data merging that could re-identify subjects; subject IDs anonymised in all logs/outputs</w:t>
            </w:r>
          </w:p>
        </w:tc>
        <w:tc>
          <w:tcPr>
            <w:tcW w:w="2700" w:type="dxa"/>
            <w:tcMar>
              <w:top w:w="80" w:type="dxa"/>
              <w:left w:w="100" w:type="dxa"/>
              <w:bottom w:w="80" w:type="dxa"/>
              <w:right w:w="100" w:type="dxa"/>
            </w:tcMar>
          </w:tcPr>
          <w:p w14:paraId="0D4C2E4E" w14:textId="77777777" w:rsidR="00136D66" w:rsidRDefault="00000000">
            <w:r>
              <w:rPr>
                <w:color w:val="000000"/>
              </w:rPr>
              <w:t>Data-handling statement + anonymisation checklist in the paper's Ethics section</w:t>
            </w:r>
          </w:p>
        </w:tc>
      </w:tr>
      <w:tr w:rsidR="00136D66" w14:paraId="54951641" w14:textId="77777777">
        <w:tblPrEx>
          <w:tblCellMar>
            <w:top w:w="0" w:type="dxa"/>
            <w:bottom w:w="0" w:type="dxa"/>
          </w:tblCellMar>
        </w:tblPrEx>
        <w:tc>
          <w:tcPr>
            <w:tcW w:w="2500" w:type="dxa"/>
            <w:shd w:val="clear" w:color="auto" w:fill="EAF1F8"/>
            <w:tcMar>
              <w:top w:w="80" w:type="dxa"/>
              <w:left w:w="100" w:type="dxa"/>
              <w:bottom w:w="80" w:type="dxa"/>
              <w:right w:w="100" w:type="dxa"/>
            </w:tcMar>
          </w:tcPr>
          <w:p w14:paraId="157CC6D5" w14:textId="77777777" w:rsidR="00136D66" w:rsidRDefault="00000000">
            <w:r>
              <w:rPr>
                <w:color w:val="000000"/>
              </w:rPr>
              <w:t>Transparency / explainability</w:t>
            </w:r>
          </w:p>
        </w:tc>
        <w:tc>
          <w:tcPr>
            <w:tcW w:w="4300" w:type="dxa"/>
            <w:shd w:val="clear" w:color="auto" w:fill="EAF1F8"/>
            <w:tcMar>
              <w:top w:w="80" w:type="dxa"/>
              <w:left w:w="100" w:type="dxa"/>
              <w:bottom w:w="80" w:type="dxa"/>
              <w:right w:w="100" w:type="dxa"/>
            </w:tcMar>
          </w:tcPr>
          <w:p w14:paraId="6EE48463" w14:textId="77777777" w:rsidR="00136D66" w:rsidRDefault="00000000">
            <w:r>
              <w:rPr>
                <w:color w:val="000000"/>
              </w:rPr>
              <w:t>Integrated Gradients + GAT / cross-band attention weights extracted for every prediction; explanation is a first-class model output, not a separate post-hoc script</w:t>
            </w:r>
          </w:p>
        </w:tc>
        <w:tc>
          <w:tcPr>
            <w:tcW w:w="2700" w:type="dxa"/>
            <w:shd w:val="clear" w:color="auto" w:fill="EAF1F8"/>
            <w:tcMar>
              <w:top w:w="80" w:type="dxa"/>
              <w:left w:w="100" w:type="dxa"/>
              <w:bottom w:w="80" w:type="dxa"/>
              <w:right w:w="100" w:type="dxa"/>
            </w:tcMar>
          </w:tcPr>
          <w:p w14:paraId="4FB7ADD8" w14:textId="77777777" w:rsidR="00136D66" w:rsidRDefault="00000000">
            <w:r>
              <w:rPr>
                <w:color w:val="000000"/>
              </w:rPr>
              <w:t>Per-sample explanation artifact (heatmap over channels × bands) attached to results</w:t>
            </w:r>
          </w:p>
        </w:tc>
      </w:tr>
      <w:tr w:rsidR="00136D66" w14:paraId="16D89F6C" w14:textId="77777777">
        <w:tblPrEx>
          <w:tblCellMar>
            <w:top w:w="0" w:type="dxa"/>
            <w:bottom w:w="0" w:type="dxa"/>
          </w:tblCellMar>
        </w:tblPrEx>
        <w:tc>
          <w:tcPr>
            <w:tcW w:w="2500" w:type="dxa"/>
            <w:tcMar>
              <w:top w:w="80" w:type="dxa"/>
              <w:left w:w="100" w:type="dxa"/>
              <w:bottom w:w="80" w:type="dxa"/>
              <w:right w:w="100" w:type="dxa"/>
            </w:tcMar>
          </w:tcPr>
          <w:p w14:paraId="76838CD5" w14:textId="77777777" w:rsidR="00136D66" w:rsidRDefault="00000000">
            <w:r>
              <w:rPr>
                <w:color w:val="000000"/>
              </w:rPr>
              <w:t>Faithfulness of explanations</w:t>
            </w:r>
          </w:p>
        </w:tc>
        <w:tc>
          <w:tcPr>
            <w:tcW w:w="4300" w:type="dxa"/>
            <w:tcMar>
              <w:top w:w="80" w:type="dxa"/>
              <w:left w:w="100" w:type="dxa"/>
              <w:bottom w:w="80" w:type="dxa"/>
              <w:right w:w="100" w:type="dxa"/>
            </w:tcMar>
          </w:tcPr>
          <w:p w14:paraId="2FBEC3B0" w14:textId="77777777" w:rsidR="00136D66" w:rsidRDefault="00000000">
            <w:r>
              <w:rPr>
                <w:color w:val="000000"/>
              </w:rPr>
              <w:t>Perturbation-based deletion &amp; insertion tests: progressively mask the channels/bands the model marks important and measure the resulting accuracy drop; repeat with random masking as a control</w:t>
            </w:r>
          </w:p>
        </w:tc>
        <w:tc>
          <w:tcPr>
            <w:tcW w:w="2700" w:type="dxa"/>
            <w:tcMar>
              <w:top w:w="80" w:type="dxa"/>
              <w:left w:w="100" w:type="dxa"/>
              <w:bottom w:w="80" w:type="dxa"/>
              <w:right w:w="100" w:type="dxa"/>
            </w:tcMar>
          </w:tcPr>
          <w:p w14:paraId="4465F79A" w14:textId="77777777" w:rsidR="00136D66" w:rsidRDefault="00000000">
            <w:r>
              <w:rPr>
                <w:color w:val="000000"/>
              </w:rPr>
              <w:t>Deletion-AUC, Insertion-AUC, Comprehensiveness &amp; Sufficiency scores reported per class</w:t>
            </w:r>
          </w:p>
        </w:tc>
      </w:tr>
      <w:tr w:rsidR="00136D66" w14:paraId="0C35D0AD" w14:textId="77777777">
        <w:tblPrEx>
          <w:tblCellMar>
            <w:top w:w="0" w:type="dxa"/>
            <w:bottom w:w="0" w:type="dxa"/>
          </w:tblCellMar>
        </w:tblPrEx>
        <w:tc>
          <w:tcPr>
            <w:tcW w:w="2500" w:type="dxa"/>
            <w:shd w:val="clear" w:color="auto" w:fill="EAF1F8"/>
            <w:tcMar>
              <w:top w:w="80" w:type="dxa"/>
              <w:left w:w="100" w:type="dxa"/>
              <w:bottom w:w="80" w:type="dxa"/>
              <w:right w:w="100" w:type="dxa"/>
            </w:tcMar>
          </w:tcPr>
          <w:p w14:paraId="0F68A8DC" w14:textId="77777777" w:rsidR="00136D66" w:rsidRDefault="00000000">
            <w:r>
              <w:rPr>
                <w:color w:val="000000"/>
              </w:rPr>
              <w:t>Calibrated confidence</w:t>
            </w:r>
          </w:p>
        </w:tc>
        <w:tc>
          <w:tcPr>
            <w:tcW w:w="4300" w:type="dxa"/>
            <w:shd w:val="clear" w:color="auto" w:fill="EAF1F8"/>
            <w:tcMar>
              <w:top w:w="80" w:type="dxa"/>
              <w:left w:w="100" w:type="dxa"/>
              <w:bottom w:w="80" w:type="dxa"/>
              <w:right w:w="100" w:type="dxa"/>
            </w:tcMar>
          </w:tcPr>
          <w:p w14:paraId="3D22C35C" w14:textId="77777777" w:rsidR="00136D66" w:rsidRDefault="00000000">
            <w:r>
              <w:rPr>
                <w:color w:val="000000"/>
              </w:rPr>
              <w:t>Evidential deep learning (Dirichlet output layer) or Monte-Carlo Dropout at inference; temperature scaling as a calibration baseline</w:t>
            </w:r>
          </w:p>
        </w:tc>
        <w:tc>
          <w:tcPr>
            <w:tcW w:w="2700" w:type="dxa"/>
            <w:shd w:val="clear" w:color="auto" w:fill="EAF1F8"/>
            <w:tcMar>
              <w:top w:w="80" w:type="dxa"/>
              <w:left w:w="100" w:type="dxa"/>
              <w:bottom w:w="80" w:type="dxa"/>
              <w:right w:w="100" w:type="dxa"/>
            </w:tcMar>
          </w:tcPr>
          <w:p w14:paraId="79AD662D" w14:textId="77777777" w:rsidR="00136D66" w:rsidRDefault="00000000">
            <w:r>
              <w:rPr>
                <w:color w:val="000000"/>
              </w:rPr>
              <w:t>Expected Calibration Error (ECE), reliability diagrams, accuracy-vs-confidence curve</w:t>
            </w:r>
          </w:p>
        </w:tc>
      </w:tr>
      <w:tr w:rsidR="00136D66" w14:paraId="40D3EE83" w14:textId="77777777">
        <w:tblPrEx>
          <w:tblCellMar>
            <w:top w:w="0" w:type="dxa"/>
            <w:bottom w:w="0" w:type="dxa"/>
          </w:tblCellMar>
        </w:tblPrEx>
        <w:tc>
          <w:tcPr>
            <w:tcW w:w="2500" w:type="dxa"/>
            <w:tcMar>
              <w:top w:w="80" w:type="dxa"/>
              <w:left w:w="100" w:type="dxa"/>
              <w:bottom w:w="80" w:type="dxa"/>
              <w:right w:w="100" w:type="dxa"/>
            </w:tcMar>
          </w:tcPr>
          <w:p w14:paraId="079327EF" w14:textId="77777777" w:rsidR="00136D66" w:rsidRDefault="00000000">
            <w:r>
              <w:rPr>
                <w:color w:val="000000"/>
              </w:rPr>
              <w:t>Safe abstention</w:t>
            </w:r>
          </w:p>
        </w:tc>
        <w:tc>
          <w:tcPr>
            <w:tcW w:w="4300" w:type="dxa"/>
            <w:tcMar>
              <w:top w:w="80" w:type="dxa"/>
              <w:left w:w="100" w:type="dxa"/>
              <w:bottom w:w="80" w:type="dxa"/>
              <w:right w:w="100" w:type="dxa"/>
            </w:tcMar>
          </w:tcPr>
          <w:p w14:paraId="336FC04F" w14:textId="77777777" w:rsidR="00136D66" w:rsidRDefault="00000000">
            <w:r>
              <w:rPr>
                <w:color w:val="000000"/>
              </w:rPr>
              <w:t xml:space="preserve">A confidence threshold is learned/tuned on a validation split; predictions below it </w:t>
            </w:r>
            <w:proofErr w:type="gramStart"/>
            <w:r>
              <w:rPr>
                <w:color w:val="000000"/>
              </w:rPr>
              <w:t>are</w:t>
            </w:r>
            <w:proofErr w:type="gramEnd"/>
            <w:r>
              <w:rPr>
                <w:color w:val="000000"/>
              </w:rPr>
              <w:t xml:space="preserve"> flagged ‘uncertain’ instead of forced into a class</w:t>
            </w:r>
          </w:p>
        </w:tc>
        <w:tc>
          <w:tcPr>
            <w:tcW w:w="2700" w:type="dxa"/>
            <w:tcMar>
              <w:top w:w="80" w:type="dxa"/>
              <w:left w:w="100" w:type="dxa"/>
              <w:bottom w:w="80" w:type="dxa"/>
              <w:right w:w="100" w:type="dxa"/>
            </w:tcMar>
          </w:tcPr>
          <w:p w14:paraId="61317149" w14:textId="77777777" w:rsidR="00136D66" w:rsidRDefault="00000000">
            <w:r>
              <w:rPr>
                <w:color w:val="000000"/>
              </w:rPr>
              <w:t>Accuracy-vs-rejection curve; % of trials abstained vs. accuracy gained</w:t>
            </w:r>
          </w:p>
        </w:tc>
      </w:tr>
      <w:tr w:rsidR="00136D66" w14:paraId="029119D5" w14:textId="77777777">
        <w:tblPrEx>
          <w:tblCellMar>
            <w:top w:w="0" w:type="dxa"/>
            <w:bottom w:w="0" w:type="dxa"/>
          </w:tblCellMar>
        </w:tblPrEx>
        <w:tc>
          <w:tcPr>
            <w:tcW w:w="2500" w:type="dxa"/>
            <w:shd w:val="clear" w:color="auto" w:fill="EAF1F8"/>
            <w:tcMar>
              <w:top w:w="80" w:type="dxa"/>
              <w:left w:w="100" w:type="dxa"/>
              <w:bottom w:w="80" w:type="dxa"/>
              <w:right w:w="100" w:type="dxa"/>
            </w:tcMar>
          </w:tcPr>
          <w:p w14:paraId="1D71EE22" w14:textId="77777777" w:rsidR="00136D66" w:rsidRDefault="00000000">
            <w:r>
              <w:rPr>
                <w:color w:val="000000"/>
              </w:rPr>
              <w:t>Fairness across subjects</w:t>
            </w:r>
          </w:p>
        </w:tc>
        <w:tc>
          <w:tcPr>
            <w:tcW w:w="4300" w:type="dxa"/>
            <w:shd w:val="clear" w:color="auto" w:fill="EAF1F8"/>
            <w:tcMar>
              <w:top w:w="80" w:type="dxa"/>
              <w:left w:w="100" w:type="dxa"/>
              <w:bottom w:w="80" w:type="dxa"/>
              <w:right w:w="100" w:type="dxa"/>
            </w:tcMar>
          </w:tcPr>
          <w:p w14:paraId="36C96053" w14:textId="77777777" w:rsidR="00136D66" w:rsidRDefault="00000000">
            <w:r>
              <w:rPr>
                <w:color w:val="000000"/>
              </w:rPr>
              <w:t>Leave-N-subjects-out cross-validation; per-subject accuracy, F1, and calibration are logged individually, not just averaged</w:t>
            </w:r>
          </w:p>
        </w:tc>
        <w:tc>
          <w:tcPr>
            <w:tcW w:w="2700" w:type="dxa"/>
            <w:shd w:val="clear" w:color="auto" w:fill="EAF1F8"/>
            <w:tcMar>
              <w:top w:w="80" w:type="dxa"/>
              <w:left w:w="100" w:type="dxa"/>
              <w:bottom w:w="80" w:type="dxa"/>
              <w:right w:w="100" w:type="dxa"/>
            </w:tcMar>
          </w:tcPr>
          <w:p w14:paraId="66811F0D" w14:textId="77777777" w:rsidR="00136D66" w:rsidRDefault="00000000">
            <w:r>
              <w:rPr>
                <w:color w:val="000000"/>
              </w:rPr>
              <w:t>Per-subject results table + worst-case / min-max accuracy spread reported alongside the mean</w:t>
            </w:r>
          </w:p>
        </w:tc>
      </w:tr>
      <w:tr w:rsidR="00136D66" w14:paraId="5F8AAD1C" w14:textId="77777777">
        <w:tblPrEx>
          <w:tblCellMar>
            <w:top w:w="0" w:type="dxa"/>
            <w:bottom w:w="0" w:type="dxa"/>
          </w:tblCellMar>
        </w:tblPrEx>
        <w:tc>
          <w:tcPr>
            <w:tcW w:w="2500" w:type="dxa"/>
            <w:tcMar>
              <w:top w:w="80" w:type="dxa"/>
              <w:left w:w="100" w:type="dxa"/>
              <w:bottom w:w="80" w:type="dxa"/>
              <w:right w:w="100" w:type="dxa"/>
            </w:tcMar>
          </w:tcPr>
          <w:p w14:paraId="1398A745" w14:textId="77777777" w:rsidR="00136D66" w:rsidRDefault="00000000">
            <w:r>
              <w:rPr>
                <w:color w:val="000000"/>
              </w:rPr>
              <w:t>Bias / robustness checks</w:t>
            </w:r>
          </w:p>
        </w:tc>
        <w:tc>
          <w:tcPr>
            <w:tcW w:w="4300" w:type="dxa"/>
            <w:tcMar>
              <w:top w:w="80" w:type="dxa"/>
              <w:left w:w="100" w:type="dxa"/>
              <w:bottom w:w="80" w:type="dxa"/>
              <w:right w:w="100" w:type="dxa"/>
            </w:tcMar>
          </w:tcPr>
          <w:p w14:paraId="6255BFF5" w14:textId="77777777" w:rsidR="00136D66" w:rsidRDefault="00000000">
            <w:r>
              <w:rPr>
                <w:color w:val="000000"/>
              </w:rPr>
              <w:t>Stratify results by session and by emotion class to check no single class or session is silently underperforming</w:t>
            </w:r>
          </w:p>
        </w:tc>
        <w:tc>
          <w:tcPr>
            <w:tcW w:w="2700" w:type="dxa"/>
            <w:tcMar>
              <w:top w:w="80" w:type="dxa"/>
              <w:left w:w="100" w:type="dxa"/>
              <w:bottom w:w="80" w:type="dxa"/>
              <w:right w:w="100" w:type="dxa"/>
            </w:tcMar>
          </w:tcPr>
          <w:p w14:paraId="0EB20C33" w14:textId="77777777" w:rsidR="00136D66" w:rsidRDefault="00000000">
            <w:r>
              <w:rPr>
                <w:color w:val="000000"/>
              </w:rPr>
              <w:t>Per-class / per-session confusion matrices and F1 breakdown</w:t>
            </w:r>
          </w:p>
        </w:tc>
      </w:tr>
      <w:tr w:rsidR="00136D66" w14:paraId="25D04492" w14:textId="77777777">
        <w:tblPrEx>
          <w:tblCellMar>
            <w:top w:w="0" w:type="dxa"/>
            <w:bottom w:w="0" w:type="dxa"/>
          </w:tblCellMar>
        </w:tblPrEx>
        <w:tc>
          <w:tcPr>
            <w:tcW w:w="2500" w:type="dxa"/>
            <w:shd w:val="clear" w:color="auto" w:fill="EAF1F8"/>
            <w:tcMar>
              <w:top w:w="80" w:type="dxa"/>
              <w:left w:w="100" w:type="dxa"/>
              <w:bottom w:w="80" w:type="dxa"/>
              <w:right w:w="100" w:type="dxa"/>
            </w:tcMar>
          </w:tcPr>
          <w:p w14:paraId="661FE7EE" w14:textId="77777777" w:rsidR="00136D66" w:rsidRDefault="00000000">
            <w:r>
              <w:rPr>
                <w:color w:val="000000"/>
              </w:rPr>
              <w:t>Neuroscientific validity</w:t>
            </w:r>
          </w:p>
        </w:tc>
        <w:tc>
          <w:tcPr>
            <w:tcW w:w="4300" w:type="dxa"/>
            <w:shd w:val="clear" w:color="auto" w:fill="EAF1F8"/>
            <w:tcMar>
              <w:top w:w="80" w:type="dxa"/>
              <w:left w:w="100" w:type="dxa"/>
              <w:bottom w:w="80" w:type="dxa"/>
              <w:right w:w="100" w:type="dxa"/>
            </w:tcMar>
          </w:tcPr>
          <w:p w14:paraId="711190B7" w14:textId="77777777" w:rsidR="00136D66" w:rsidRDefault="00000000">
            <w:r>
              <w:rPr>
                <w:color w:val="000000"/>
              </w:rPr>
              <w:t>Compare model-attended bands/channels against established EEG-emotion findings (e.g., frontal alpha asymmetry for valence, gamma-band engagement for arousal)</w:t>
            </w:r>
          </w:p>
        </w:tc>
        <w:tc>
          <w:tcPr>
            <w:tcW w:w="2700" w:type="dxa"/>
            <w:shd w:val="clear" w:color="auto" w:fill="EAF1F8"/>
            <w:tcMar>
              <w:top w:w="80" w:type="dxa"/>
              <w:left w:w="100" w:type="dxa"/>
              <w:bottom w:w="80" w:type="dxa"/>
              <w:right w:w="100" w:type="dxa"/>
            </w:tcMar>
          </w:tcPr>
          <w:p w14:paraId="49E9B4F7" w14:textId="77777777" w:rsidR="00136D66" w:rsidRDefault="00000000">
            <w:r>
              <w:rPr>
                <w:color w:val="000000"/>
              </w:rPr>
              <w:t xml:space="preserve">Qualitative + statistical agreement </w:t>
            </w:r>
            <w:proofErr w:type="gramStart"/>
            <w:r>
              <w:rPr>
                <w:color w:val="000000"/>
              </w:rPr>
              <w:t>check</w:t>
            </w:r>
            <w:proofErr w:type="gramEnd"/>
            <w:r>
              <w:rPr>
                <w:color w:val="000000"/>
              </w:rPr>
              <w:t xml:space="preserve"> between attention maps and literature-reported regions</w:t>
            </w:r>
          </w:p>
        </w:tc>
      </w:tr>
      <w:tr w:rsidR="00136D66" w14:paraId="7E1D3BA6" w14:textId="77777777">
        <w:tblPrEx>
          <w:tblCellMar>
            <w:top w:w="0" w:type="dxa"/>
            <w:bottom w:w="0" w:type="dxa"/>
          </w:tblCellMar>
        </w:tblPrEx>
        <w:tc>
          <w:tcPr>
            <w:tcW w:w="2500" w:type="dxa"/>
            <w:tcMar>
              <w:top w:w="80" w:type="dxa"/>
              <w:left w:w="100" w:type="dxa"/>
              <w:bottom w:w="80" w:type="dxa"/>
              <w:right w:w="100" w:type="dxa"/>
            </w:tcMar>
          </w:tcPr>
          <w:p w14:paraId="41E34A8A" w14:textId="77777777" w:rsidR="00136D66" w:rsidRDefault="00000000">
            <w:r>
              <w:rPr>
                <w:color w:val="000000"/>
              </w:rPr>
              <w:t>Reproducibility &amp; accountability</w:t>
            </w:r>
          </w:p>
        </w:tc>
        <w:tc>
          <w:tcPr>
            <w:tcW w:w="4300" w:type="dxa"/>
            <w:tcMar>
              <w:top w:w="80" w:type="dxa"/>
              <w:left w:w="100" w:type="dxa"/>
              <w:bottom w:w="80" w:type="dxa"/>
              <w:right w:w="100" w:type="dxa"/>
            </w:tcMar>
          </w:tcPr>
          <w:p w14:paraId="47AF5E22" w14:textId="77777777" w:rsidR="00136D66" w:rsidRDefault="00000000">
            <w:r>
              <w:rPr>
                <w:color w:val="000000"/>
              </w:rPr>
              <w:t>Fixed random seeds, versioned config files, environment file (requirements.txt), and full training logs kept for every reported result</w:t>
            </w:r>
          </w:p>
        </w:tc>
        <w:tc>
          <w:tcPr>
            <w:tcW w:w="2700" w:type="dxa"/>
            <w:tcMar>
              <w:top w:w="80" w:type="dxa"/>
              <w:left w:w="100" w:type="dxa"/>
              <w:bottom w:w="80" w:type="dxa"/>
              <w:right w:w="100" w:type="dxa"/>
            </w:tcMar>
          </w:tcPr>
          <w:p w14:paraId="2DBB1B90" w14:textId="77777777" w:rsidR="00136D66" w:rsidRDefault="00000000">
            <w:r>
              <w:rPr>
                <w:color w:val="000000"/>
              </w:rPr>
              <w:t>Public GitHub repository with code, trained weights, and a README describing exact re-run steps</w:t>
            </w:r>
          </w:p>
        </w:tc>
      </w:tr>
      <w:tr w:rsidR="00136D66" w14:paraId="1229ECF1" w14:textId="77777777">
        <w:tblPrEx>
          <w:tblCellMar>
            <w:top w:w="0" w:type="dxa"/>
            <w:bottom w:w="0" w:type="dxa"/>
          </w:tblCellMar>
        </w:tblPrEx>
        <w:tc>
          <w:tcPr>
            <w:tcW w:w="2500" w:type="dxa"/>
            <w:shd w:val="clear" w:color="auto" w:fill="EAF1F8"/>
            <w:tcMar>
              <w:top w:w="80" w:type="dxa"/>
              <w:left w:w="100" w:type="dxa"/>
              <w:bottom w:w="80" w:type="dxa"/>
              <w:right w:w="100" w:type="dxa"/>
            </w:tcMar>
          </w:tcPr>
          <w:p w14:paraId="4286556D" w14:textId="77777777" w:rsidR="00136D66" w:rsidRDefault="00000000">
            <w:r>
              <w:rPr>
                <w:color w:val="000000"/>
              </w:rPr>
              <w:t xml:space="preserve">Efficiency / </w:t>
            </w:r>
            <w:proofErr w:type="spellStart"/>
            <w:r>
              <w:rPr>
                <w:color w:val="000000"/>
              </w:rPr>
              <w:t>deployability</w:t>
            </w:r>
            <w:proofErr w:type="spellEnd"/>
          </w:p>
        </w:tc>
        <w:tc>
          <w:tcPr>
            <w:tcW w:w="4300" w:type="dxa"/>
            <w:shd w:val="clear" w:color="auto" w:fill="EAF1F8"/>
            <w:tcMar>
              <w:top w:w="80" w:type="dxa"/>
              <w:left w:w="100" w:type="dxa"/>
              <w:bottom w:w="80" w:type="dxa"/>
              <w:right w:w="100" w:type="dxa"/>
            </w:tcMar>
          </w:tcPr>
          <w:p w14:paraId="368815D5" w14:textId="77777777" w:rsidR="00136D66" w:rsidRDefault="00000000">
            <w:r>
              <w:rPr>
                <w:color w:val="000000"/>
              </w:rPr>
              <w:t xml:space="preserve">Report parameter </w:t>
            </w:r>
            <w:proofErr w:type="gramStart"/>
            <w:r>
              <w:rPr>
                <w:color w:val="000000"/>
              </w:rPr>
              <w:t>count</w:t>
            </w:r>
            <w:proofErr w:type="gramEnd"/>
            <w:r>
              <w:rPr>
                <w:color w:val="000000"/>
              </w:rPr>
              <w:t xml:space="preserve"> and inference latency for the final model and each ablation variant (incl. MLP vs. KAN head)</w:t>
            </w:r>
          </w:p>
        </w:tc>
        <w:tc>
          <w:tcPr>
            <w:tcW w:w="2700" w:type="dxa"/>
            <w:shd w:val="clear" w:color="auto" w:fill="EAF1F8"/>
            <w:tcMar>
              <w:top w:w="80" w:type="dxa"/>
              <w:left w:w="100" w:type="dxa"/>
              <w:bottom w:w="80" w:type="dxa"/>
              <w:right w:w="100" w:type="dxa"/>
            </w:tcMar>
          </w:tcPr>
          <w:p w14:paraId="1DBA610D" w14:textId="77777777" w:rsidR="00136D66" w:rsidRDefault="00000000">
            <w:r>
              <w:rPr>
                <w:color w:val="000000"/>
              </w:rPr>
              <w:t>Parameter-count and latency table alongside the accuracy table</w:t>
            </w:r>
          </w:p>
        </w:tc>
      </w:tr>
      <w:tr w:rsidR="00136D66" w14:paraId="74808E2C" w14:textId="77777777">
        <w:tblPrEx>
          <w:tblCellMar>
            <w:top w:w="0" w:type="dxa"/>
            <w:bottom w:w="0" w:type="dxa"/>
          </w:tblCellMar>
        </w:tblPrEx>
        <w:tc>
          <w:tcPr>
            <w:tcW w:w="2500" w:type="dxa"/>
            <w:tcMar>
              <w:top w:w="80" w:type="dxa"/>
              <w:left w:w="100" w:type="dxa"/>
              <w:bottom w:w="80" w:type="dxa"/>
              <w:right w:w="100" w:type="dxa"/>
            </w:tcMar>
          </w:tcPr>
          <w:p w14:paraId="6D739C62" w14:textId="77777777" w:rsidR="00136D66" w:rsidRDefault="00000000">
            <w:r>
              <w:rPr>
                <w:color w:val="000000"/>
              </w:rPr>
              <w:t>Responsible scope statement</w:t>
            </w:r>
          </w:p>
        </w:tc>
        <w:tc>
          <w:tcPr>
            <w:tcW w:w="4300" w:type="dxa"/>
            <w:tcMar>
              <w:top w:w="80" w:type="dxa"/>
              <w:left w:w="100" w:type="dxa"/>
              <w:bottom w:w="80" w:type="dxa"/>
              <w:right w:w="100" w:type="dxa"/>
            </w:tcMar>
          </w:tcPr>
          <w:p w14:paraId="07435CB5" w14:textId="77777777" w:rsidR="00136D66" w:rsidRDefault="00000000">
            <w:r>
              <w:rPr>
                <w:color w:val="000000"/>
              </w:rPr>
              <w:t>Explicit ‘Limitations &amp; Responsible Use’ subsection in the final paper stating what the model was not tested for and should not be used for</w:t>
            </w:r>
          </w:p>
        </w:tc>
        <w:tc>
          <w:tcPr>
            <w:tcW w:w="2700" w:type="dxa"/>
            <w:tcMar>
              <w:top w:w="80" w:type="dxa"/>
              <w:left w:w="100" w:type="dxa"/>
              <w:bottom w:w="80" w:type="dxa"/>
              <w:right w:w="100" w:type="dxa"/>
            </w:tcMar>
          </w:tcPr>
          <w:p w14:paraId="3E483E08" w14:textId="77777777" w:rsidR="00136D66" w:rsidRDefault="00000000">
            <w:r>
              <w:rPr>
                <w:color w:val="000000"/>
              </w:rPr>
              <w:t>Dedicated paragraph in the paper's Discussion/Ethics section</w:t>
            </w:r>
          </w:p>
        </w:tc>
      </w:tr>
      <w:tr w:rsidR="00136D66" w14:paraId="71AA2503" w14:textId="77777777">
        <w:tblPrEx>
          <w:tblCellMar>
            <w:top w:w="0" w:type="dxa"/>
            <w:bottom w:w="0" w:type="dxa"/>
          </w:tblCellMar>
        </w:tblPrEx>
        <w:tc>
          <w:tcPr>
            <w:tcW w:w="2500" w:type="dxa"/>
            <w:shd w:val="clear" w:color="auto" w:fill="EAF1F8"/>
            <w:tcMar>
              <w:top w:w="80" w:type="dxa"/>
              <w:left w:w="100" w:type="dxa"/>
              <w:bottom w:w="80" w:type="dxa"/>
              <w:right w:w="100" w:type="dxa"/>
            </w:tcMar>
          </w:tcPr>
          <w:p w14:paraId="02DB22F4" w14:textId="77777777" w:rsidR="00136D66" w:rsidRDefault="00000000">
            <w:r>
              <w:rPr>
                <w:color w:val="000000"/>
              </w:rPr>
              <w:lastRenderedPageBreak/>
              <w:t>Comparative validation against baselines</w:t>
            </w:r>
          </w:p>
        </w:tc>
        <w:tc>
          <w:tcPr>
            <w:tcW w:w="4300" w:type="dxa"/>
            <w:shd w:val="clear" w:color="auto" w:fill="EAF1F8"/>
            <w:tcMar>
              <w:top w:w="80" w:type="dxa"/>
              <w:left w:w="100" w:type="dxa"/>
              <w:bottom w:w="80" w:type="dxa"/>
              <w:right w:w="100" w:type="dxa"/>
            </w:tcMar>
          </w:tcPr>
          <w:p w14:paraId="2BD88C96" w14:textId="77777777" w:rsidR="00136D66" w:rsidRDefault="00000000">
            <w:r>
              <w:rPr>
                <w:color w:val="000000"/>
              </w:rPr>
              <w:t>Every baseline (SVM, CNN-LSTM, DGCNN/GAT, plain Transformer) is run through the exact same faithfulness, calibration, and per-subject fairness tests as the proposed model — not just accuracy</w:t>
            </w:r>
          </w:p>
        </w:tc>
        <w:tc>
          <w:tcPr>
            <w:tcW w:w="2700" w:type="dxa"/>
            <w:shd w:val="clear" w:color="auto" w:fill="EAF1F8"/>
            <w:tcMar>
              <w:top w:w="80" w:type="dxa"/>
              <w:left w:w="100" w:type="dxa"/>
              <w:bottom w:w="80" w:type="dxa"/>
              <w:right w:w="100" w:type="dxa"/>
            </w:tcMar>
          </w:tcPr>
          <w:p w14:paraId="2D9614D6" w14:textId="77777777" w:rsidR="00136D66" w:rsidRDefault="00000000">
            <w:r>
              <w:rPr>
                <w:color w:val="000000"/>
              </w:rPr>
              <w:t>Single combined comparison table: Accuracy, F1, ECE, Deletion/Insertion-AUC, and worst-case subject accuracy for every baseline vs. the proposed model</w:t>
            </w:r>
          </w:p>
        </w:tc>
      </w:tr>
    </w:tbl>
    <w:p w14:paraId="275AEB0A" w14:textId="77777777" w:rsidR="00136D66" w:rsidRDefault="00000000">
      <w:pPr>
        <w:spacing w:after="160" w:line="300" w:lineRule="auto"/>
      </w:pPr>
      <w:r>
        <w:rPr>
          <w:sz w:val="22"/>
          <w:szCs w:val="22"/>
        </w:rPr>
        <w:t>This roadmap is what will actually be executed and reported in the Experiments section — giving the Ethical AI / Responsible AI claim measurable evidence rather than being a one-paragraph disclaimer.</w:t>
      </w:r>
    </w:p>
    <w:p w14:paraId="65F7975A" w14:textId="77777777" w:rsidR="00136D66" w:rsidRDefault="00000000">
      <w:pPr>
        <w:spacing w:after="140" w:line="300" w:lineRule="auto"/>
      </w:pPr>
      <w:r>
        <w:rPr>
          <w:b/>
          <w:bCs/>
          <w:color w:val="1F4E79"/>
          <w:sz w:val="22"/>
          <w:szCs w:val="22"/>
        </w:rPr>
        <w:t xml:space="preserve">Why baselines matter here: </w:t>
      </w:r>
      <w:r>
        <w:rPr>
          <w:sz w:val="22"/>
          <w:szCs w:val="22"/>
        </w:rPr>
        <w:t>Responsible AI claims are only convincing if shown as an improvement over existing methods, not as a property of our model in isolation. CNN-LSTM, DGCNN/GAT, and the plain multi-band Transformer are therefore evaluated under identical protocols and identical Responsible AI metrics (not just accuracy) — so the paper can state, with evidence, that our model is not only competitive in accuracy but measurably more trustworthy (better calibrated, more faithfully explainable, and fairer across subjects) than the baselines it is compared against.</w:t>
      </w:r>
    </w:p>
    <w:p w14:paraId="2C240B90" w14:textId="6AF5C191" w:rsidR="00136D66" w:rsidRDefault="00136D66">
      <w:pPr>
        <w:shd w:val="clear" w:color="auto" w:fill="EAF1F8"/>
        <w:spacing w:before="100" w:after="200"/>
      </w:pPr>
    </w:p>
    <w:sectPr w:rsidR="00136D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21B3F"/>
    <w:multiLevelType w:val="hybridMultilevel"/>
    <w:tmpl w:val="F0D82E5E"/>
    <w:lvl w:ilvl="0" w:tplc="227C785C">
      <w:start w:val="1"/>
      <w:numFmt w:val="bullet"/>
      <w:lvlText w:val="●"/>
      <w:lvlJc w:val="left"/>
      <w:pPr>
        <w:ind w:left="720" w:hanging="360"/>
      </w:pPr>
    </w:lvl>
    <w:lvl w:ilvl="1" w:tplc="D3AE7B0C">
      <w:start w:val="1"/>
      <w:numFmt w:val="bullet"/>
      <w:lvlText w:val="○"/>
      <w:lvlJc w:val="left"/>
      <w:pPr>
        <w:ind w:left="1440" w:hanging="360"/>
      </w:pPr>
    </w:lvl>
    <w:lvl w:ilvl="2" w:tplc="DDCC724C">
      <w:start w:val="1"/>
      <w:numFmt w:val="bullet"/>
      <w:lvlText w:val="■"/>
      <w:lvlJc w:val="left"/>
      <w:pPr>
        <w:ind w:left="2160" w:hanging="360"/>
      </w:pPr>
    </w:lvl>
    <w:lvl w:ilvl="3" w:tplc="6F86E078">
      <w:start w:val="1"/>
      <w:numFmt w:val="bullet"/>
      <w:lvlText w:val="●"/>
      <w:lvlJc w:val="left"/>
      <w:pPr>
        <w:ind w:left="2880" w:hanging="360"/>
      </w:pPr>
    </w:lvl>
    <w:lvl w:ilvl="4" w:tplc="D4FEA0E6">
      <w:start w:val="1"/>
      <w:numFmt w:val="bullet"/>
      <w:lvlText w:val="○"/>
      <w:lvlJc w:val="left"/>
      <w:pPr>
        <w:ind w:left="3600" w:hanging="360"/>
      </w:pPr>
    </w:lvl>
    <w:lvl w:ilvl="5" w:tplc="292E454E">
      <w:start w:val="1"/>
      <w:numFmt w:val="bullet"/>
      <w:lvlText w:val="■"/>
      <w:lvlJc w:val="left"/>
      <w:pPr>
        <w:ind w:left="4320" w:hanging="360"/>
      </w:pPr>
    </w:lvl>
    <w:lvl w:ilvl="6" w:tplc="15500AD2">
      <w:start w:val="1"/>
      <w:numFmt w:val="bullet"/>
      <w:lvlText w:val="●"/>
      <w:lvlJc w:val="left"/>
      <w:pPr>
        <w:ind w:left="5040" w:hanging="360"/>
      </w:pPr>
    </w:lvl>
    <w:lvl w:ilvl="7" w:tplc="6792E430">
      <w:start w:val="1"/>
      <w:numFmt w:val="bullet"/>
      <w:lvlText w:val="●"/>
      <w:lvlJc w:val="left"/>
      <w:pPr>
        <w:ind w:left="5760" w:hanging="360"/>
      </w:pPr>
    </w:lvl>
    <w:lvl w:ilvl="8" w:tplc="9BBE5AC0">
      <w:start w:val="1"/>
      <w:numFmt w:val="bullet"/>
      <w:lvlText w:val="●"/>
      <w:lvlJc w:val="left"/>
      <w:pPr>
        <w:ind w:left="6480" w:hanging="360"/>
      </w:pPr>
    </w:lvl>
  </w:abstractNum>
  <w:abstractNum w:abstractNumId="1" w15:restartNumberingAfterBreak="0">
    <w:nsid w:val="4CA358C2"/>
    <w:multiLevelType w:val="hybridMultilevel"/>
    <w:tmpl w:val="996894AE"/>
    <w:lvl w:ilvl="0" w:tplc="4BE26E8A">
      <w:start w:val="1"/>
      <w:numFmt w:val="decimal"/>
      <w:lvlText w:val="%1."/>
      <w:lvlJc w:val="left"/>
      <w:pPr>
        <w:ind w:left="460" w:hanging="260"/>
      </w:pPr>
    </w:lvl>
    <w:lvl w:ilvl="1" w:tplc="0A4A1732">
      <w:numFmt w:val="decimal"/>
      <w:lvlText w:val=""/>
      <w:lvlJc w:val="left"/>
    </w:lvl>
    <w:lvl w:ilvl="2" w:tplc="5AE80978">
      <w:numFmt w:val="decimal"/>
      <w:lvlText w:val=""/>
      <w:lvlJc w:val="left"/>
    </w:lvl>
    <w:lvl w:ilvl="3" w:tplc="7B143362">
      <w:numFmt w:val="decimal"/>
      <w:lvlText w:val=""/>
      <w:lvlJc w:val="left"/>
    </w:lvl>
    <w:lvl w:ilvl="4" w:tplc="B3D0A5C4">
      <w:numFmt w:val="decimal"/>
      <w:lvlText w:val=""/>
      <w:lvlJc w:val="left"/>
    </w:lvl>
    <w:lvl w:ilvl="5" w:tplc="EE2A6BBE">
      <w:numFmt w:val="decimal"/>
      <w:lvlText w:val=""/>
      <w:lvlJc w:val="left"/>
    </w:lvl>
    <w:lvl w:ilvl="6" w:tplc="B38E00E2">
      <w:numFmt w:val="decimal"/>
      <w:lvlText w:val=""/>
      <w:lvlJc w:val="left"/>
    </w:lvl>
    <w:lvl w:ilvl="7" w:tplc="19FE7EAA">
      <w:numFmt w:val="decimal"/>
      <w:lvlText w:val=""/>
      <w:lvlJc w:val="left"/>
    </w:lvl>
    <w:lvl w:ilvl="8" w:tplc="CABC2854">
      <w:numFmt w:val="decimal"/>
      <w:lvlText w:val=""/>
      <w:lvlJc w:val="left"/>
    </w:lvl>
  </w:abstractNum>
  <w:abstractNum w:abstractNumId="2" w15:restartNumberingAfterBreak="0">
    <w:nsid w:val="4EC40920"/>
    <w:multiLevelType w:val="hybridMultilevel"/>
    <w:tmpl w:val="6102F022"/>
    <w:lvl w:ilvl="0" w:tplc="0A26A7EC">
      <w:start w:val="1"/>
      <w:numFmt w:val="bullet"/>
      <w:lvlText w:val="•"/>
      <w:lvlJc w:val="left"/>
      <w:pPr>
        <w:ind w:left="460" w:hanging="260"/>
      </w:pPr>
    </w:lvl>
    <w:lvl w:ilvl="1" w:tplc="7B760520">
      <w:start w:val="1"/>
      <w:numFmt w:val="bullet"/>
      <w:lvlText w:val="–"/>
      <w:lvlJc w:val="left"/>
      <w:pPr>
        <w:ind w:left="820" w:hanging="260"/>
      </w:pPr>
    </w:lvl>
    <w:lvl w:ilvl="2" w:tplc="F6ACDFEA">
      <w:numFmt w:val="decimal"/>
      <w:lvlText w:val=""/>
      <w:lvlJc w:val="left"/>
    </w:lvl>
    <w:lvl w:ilvl="3" w:tplc="A4F24D2A">
      <w:numFmt w:val="decimal"/>
      <w:lvlText w:val=""/>
      <w:lvlJc w:val="left"/>
    </w:lvl>
    <w:lvl w:ilvl="4" w:tplc="DDB4BE22">
      <w:numFmt w:val="decimal"/>
      <w:lvlText w:val=""/>
      <w:lvlJc w:val="left"/>
    </w:lvl>
    <w:lvl w:ilvl="5" w:tplc="D428BC6E">
      <w:numFmt w:val="decimal"/>
      <w:lvlText w:val=""/>
      <w:lvlJc w:val="left"/>
    </w:lvl>
    <w:lvl w:ilvl="6" w:tplc="73529822">
      <w:numFmt w:val="decimal"/>
      <w:lvlText w:val=""/>
      <w:lvlJc w:val="left"/>
    </w:lvl>
    <w:lvl w:ilvl="7" w:tplc="D8A60284">
      <w:numFmt w:val="decimal"/>
      <w:lvlText w:val=""/>
      <w:lvlJc w:val="left"/>
    </w:lvl>
    <w:lvl w:ilvl="8" w:tplc="CF628990">
      <w:numFmt w:val="decimal"/>
      <w:lvlText w:val=""/>
      <w:lvlJc w:val="left"/>
    </w:lvl>
  </w:abstractNum>
  <w:num w:numId="1" w16cid:durableId="1006857940">
    <w:abstractNumId w:val="0"/>
    <w:lvlOverride w:ilvl="0">
      <w:startOverride w:val="1"/>
    </w:lvlOverride>
  </w:num>
  <w:num w:numId="2" w16cid:durableId="687759314">
    <w:abstractNumId w:val="2"/>
    <w:lvlOverride w:ilvl="0">
      <w:startOverride w:val="1"/>
    </w:lvlOverride>
  </w:num>
  <w:num w:numId="3" w16cid:durableId="1014957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D66"/>
    <w:rsid w:val="00136D66"/>
    <w:rsid w:val="003023EB"/>
    <w:rsid w:val="003E4E7B"/>
    <w:rsid w:val="008B2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F6C"/>
  <w15:docId w15:val="{3A1E3704-A8DD-4958-91CF-B1D0EFEA3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2424</Words>
  <Characters>13822</Characters>
  <Application>Microsoft Office Word</Application>
  <DocSecurity>0</DocSecurity>
  <Lines>115</Lines>
  <Paragraphs>32</Paragraphs>
  <ScaleCrop>false</ScaleCrop>
  <Company/>
  <LinksUpToDate>false</LinksUpToDate>
  <CharactersWithSpaces>16214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 Bhardwaj</cp:lastModifiedBy>
  <cp:revision>2</cp:revision>
  <dcterms:created xsi:type="dcterms:W3CDTF">2026-08-05T13:46:00Z</dcterms:created>
  <dcterms:modified xsi:type="dcterms:W3CDTF">2026-08-05T13:46:00Z</dcterms:modified>
</cp:coreProperties>
</file>