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A981" w14:textId="77777777" w:rsidR="00780D9D" w:rsidRPr="00E00DD0" w:rsidRDefault="00000000" w:rsidP="00E00DD0">
      <w:pPr>
        <w:spacing w:before="1200" w:after="200"/>
        <w:rPr>
          <w:color w:val="1F3864" w:themeColor="accent1" w:themeShade="80"/>
        </w:rPr>
      </w:pPr>
      <w:r w:rsidRPr="00E00DD0">
        <w:rPr>
          <w:b/>
          <w:bCs/>
          <w:color w:val="1F3864" w:themeColor="accent1" w:themeShade="80"/>
          <w:sz w:val="52"/>
          <w:szCs w:val="52"/>
        </w:rPr>
        <w:t>HEALTHCARE BUSINESS ANALYSIS</w:t>
      </w:r>
    </w:p>
    <w:p w14:paraId="2058ADA1" w14:textId="77777777" w:rsidR="00780D9D" w:rsidRDefault="00000000">
      <w:pPr>
        <w:spacing w:after="100"/>
        <w:jc w:val="center"/>
      </w:pPr>
      <w:r>
        <w:rPr>
          <w:color w:val="2E75B6"/>
          <w:sz w:val="32"/>
          <w:szCs w:val="32"/>
        </w:rPr>
        <w:t>Multi-Hospital Patient Performance Report</w:t>
      </w:r>
    </w:p>
    <w:p w14:paraId="0509C565" w14:textId="77777777" w:rsidR="00780D9D" w:rsidRDefault="00780D9D" w:rsidP="001C7AA1">
      <w:pPr>
        <w:pBdr>
          <w:bottom w:val="single" w:sz="4" w:space="1" w:color="2E75B6"/>
        </w:pBdr>
        <w:spacing w:before="120" w:after="120" w:line="360" w:lineRule="auto"/>
      </w:pPr>
    </w:p>
    <w:p w14:paraId="62E6673E" w14:textId="77777777" w:rsidR="00780D9D" w:rsidRPr="00E00DD0" w:rsidRDefault="00000000" w:rsidP="001C7AA1">
      <w:pPr>
        <w:spacing w:before="200" w:after="80" w:line="360" w:lineRule="auto"/>
        <w:jc w:val="center"/>
        <w:rPr>
          <w:sz w:val="24"/>
          <w:szCs w:val="24"/>
        </w:rPr>
      </w:pPr>
      <w:r w:rsidRPr="00E00DD0">
        <w:rPr>
          <w:color w:val="1A1A2E"/>
          <w:sz w:val="28"/>
          <w:szCs w:val="28"/>
        </w:rPr>
        <w:t>Prepared by: Data Analytics Consultant</w:t>
      </w:r>
    </w:p>
    <w:p w14:paraId="3C138E2A" w14:textId="77777777" w:rsidR="00780D9D" w:rsidRPr="00E00DD0" w:rsidRDefault="00000000" w:rsidP="001C7AA1">
      <w:pPr>
        <w:spacing w:after="80" w:line="480" w:lineRule="auto"/>
        <w:jc w:val="center"/>
        <w:rPr>
          <w:sz w:val="24"/>
          <w:szCs w:val="24"/>
        </w:rPr>
      </w:pPr>
      <w:r w:rsidRPr="00E00DD0">
        <w:rPr>
          <w:color w:val="1A1A2E"/>
          <w:sz w:val="28"/>
          <w:szCs w:val="28"/>
        </w:rPr>
        <w:t>Project Date: December 2025</w:t>
      </w:r>
    </w:p>
    <w:p w14:paraId="5541B686" w14:textId="77777777" w:rsidR="00780D9D" w:rsidRPr="00E00DD0" w:rsidRDefault="00000000" w:rsidP="001C7AA1">
      <w:pPr>
        <w:spacing w:after="80" w:line="480" w:lineRule="auto"/>
        <w:jc w:val="center"/>
        <w:rPr>
          <w:sz w:val="24"/>
          <w:szCs w:val="24"/>
        </w:rPr>
      </w:pPr>
      <w:r w:rsidRPr="00E00DD0">
        <w:rPr>
          <w:color w:val="1A1A2E"/>
          <w:sz w:val="28"/>
          <w:szCs w:val="28"/>
        </w:rPr>
        <w:t>Tool Used: Microsoft Excel</w:t>
      </w:r>
    </w:p>
    <w:p w14:paraId="550427A4" w14:textId="4BCC2CDB" w:rsidR="00780D9D" w:rsidRPr="00E00DD0" w:rsidRDefault="00000000" w:rsidP="001C7AA1">
      <w:pPr>
        <w:spacing w:after="80" w:line="480" w:lineRule="auto"/>
        <w:jc w:val="center"/>
        <w:rPr>
          <w:sz w:val="24"/>
          <w:szCs w:val="24"/>
        </w:rPr>
      </w:pPr>
      <w:r w:rsidRPr="00E00DD0">
        <w:rPr>
          <w:color w:val="1A1A2E"/>
          <w:sz w:val="28"/>
          <w:szCs w:val="28"/>
        </w:rPr>
        <w:t>Dataset: 55,500 Patient Records|</w:t>
      </w:r>
      <w:r w:rsidR="00E00DD0" w:rsidRPr="00E00DD0">
        <w:rPr>
          <w:color w:val="1A1A2E"/>
          <w:sz w:val="28"/>
          <w:szCs w:val="28"/>
        </w:rPr>
        <w:t xml:space="preserve"> </w:t>
      </w:r>
      <w:r w:rsidRPr="00E00DD0">
        <w:rPr>
          <w:color w:val="1A1A2E"/>
          <w:sz w:val="28"/>
          <w:szCs w:val="28"/>
        </w:rPr>
        <w:t>2019-2024</w:t>
      </w:r>
    </w:p>
    <w:p w14:paraId="1B71AD2D" w14:textId="77777777" w:rsidR="00780D9D" w:rsidRDefault="00000000" w:rsidP="001C7AA1">
      <w:pPr>
        <w:spacing w:line="480" w:lineRule="auto"/>
      </w:pPr>
      <w:r w:rsidRPr="00E00DD0">
        <w:rPr>
          <w:sz w:val="24"/>
          <w:szCs w:val="24"/>
        </w:rPr>
        <w:br w:type="page"/>
      </w:r>
    </w:p>
    <w:p w14:paraId="730D4EB8" w14:textId="34AFF6EF" w:rsidR="00780D9D" w:rsidRPr="00E00DD0" w:rsidRDefault="00000000">
      <w:pPr>
        <w:pStyle w:val="Heading1"/>
        <w:rPr>
          <w:rFonts w:ascii="Cambria" w:hAnsi="Cambria"/>
          <w:color w:val="1F3864" w:themeColor="accent1" w:themeShade="80"/>
          <w:sz w:val="36"/>
          <w:szCs w:val="36"/>
        </w:rPr>
      </w:pPr>
      <w:r w:rsidRPr="00E00DD0">
        <w:rPr>
          <w:rFonts w:ascii="Cambria" w:hAnsi="Cambria"/>
          <w:color w:val="1F3864" w:themeColor="accent1" w:themeShade="80"/>
          <w:sz w:val="36"/>
          <w:szCs w:val="36"/>
        </w:rPr>
        <w:lastRenderedPageBreak/>
        <w:t>1. Project Overview</w:t>
      </w:r>
    </w:p>
    <w:p w14:paraId="6091CB99" w14:textId="77777777" w:rsidR="00780D9D" w:rsidRDefault="00780D9D">
      <w:pPr>
        <w:pBdr>
          <w:bottom w:val="single" w:sz="4" w:space="1" w:color="2E75B6"/>
        </w:pBdr>
        <w:spacing w:before="120" w:after="120"/>
      </w:pPr>
    </w:p>
    <w:p w14:paraId="543C9601" w14:textId="11F7EEA4" w:rsidR="00780D9D" w:rsidRPr="00E00DD0" w:rsidRDefault="00000000" w:rsidP="00E00DD0">
      <w:pPr>
        <w:spacing w:before="80" w:after="80" w:line="360" w:lineRule="auto"/>
        <w:jc w:val="both"/>
        <w:rPr>
          <w:sz w:val="20"/>
          <w:szCs w:val="20"/>
        </w:rPr>
      </w:pPr>
      <w:r w:rsidRPr="00E00DD0">
        <w:rPr>
          <w:sz w:val="20"/>
          <w:szCs w:val="20"/>
        </w:rPr>
        <w:t>This report presents findings from a comprehensive data analytics engagement for a large U.S. healthcare network. The objective was to analy</w:t>
      </w:r>
      <w:r w:rsidR="00E00DD0">
        <w:rPr>
          <w:sz w:val="20"/>
          <w:szCs w:val="20"/>
        </w:rPr>
        <w:t>s</w:t>
      </w:r>
      <w:r w:rsidRPr="00E00DD0">
        <w:rPr>
          <w:sz w:val="20"/>
          <w:szCs w:val="20"/>
        </w:rPr>
        <w:t>e patient performance data across multiple hospitals and generate actionable insights for executive decision-making.</w:t>
      </w:r>
    </w:p>
    <w:p w14:paraId="33539402" w14:textId="77777777" w:rsidR="00780D9D" w:rsidRPr="00E00DD0" w:rsidRDefault="00000000" w:rsidP="00E00DD0">
      <w:pPr>
        <w:spacing w:before="80" w:after="80" w:line="360" w:lineRule="auto"/>
        <w:jc w:val="both"/>
        <w:rPr>
          <w:sz w:val="20"/>
          <w:szCs w:val="20"/>
        </w:rPr>
      </w:pPr>
      <w:r w:rsidRPr="00E00DD0">
        <w:rPr>
          <w:sz w:val="20"/>
          <w:szCs w:val="20"/>
        </w:rPr>
        <w:t>The entire analysis was performed in Microsoft Excel using Pivot Tables, Pivot Charts, and an interactive Dashboard with Slicers. The dataset comprised 55,500 patient records spanning six years (2019-2024).</w:t>
      </w:r>
    </w:p>
    <w:p w14:paraId="2861DCEE" w14:textId="77777777" w:rsidR="00780D9D" w:rsidRPr="00E00DD0" w:rsidRDefault="00000000">
      <w:pPr>
        <w:spacing w:before="140" w:after="80"/>
        <w:rPr>
          <w:rFonts w:ascii="Cambria" w:hAnsi="Cambria"/>
          <w:color w:val="2F5496" w:themeColor="accent1" w:themeShade="BF"/>
          <w:sz w:val="24"/>
          <w:szCs w:val="24"/>
        </w:rPr>
      </w:pPr>
      <w:r w:rsidRPr="00E00DD0">
        <w:rPr>
          <w:rFonts w:ascii="Cambria" w:hAnsi="Cambria"/>
          <w:b/>
          <w:bCs/>
          <w:color w:val="2F5496" w:themeColor="accent1" w:themeShade="BF"/>
          <w:sz w:val="28"/>
          <w:szCs w:val="28"/>
        </w:rPr>
        <w:t>Key Deliverables</w:t>
      </w:r>
    </w:p>
    <w:p w14:paraId="4D6565E2" w14:textId="365DD542" w:rsidR="00780D9D" w:rsidRPr="00E00DD0" w:rsidRDefault="00000000" w:rsidP="00E00DD0">
      <w:pPr>
        <w:pStyle w:val="ListParagraph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E00DD0">
        <w:rPr>
          <w:sz w:val="20"/>
          <w:szCs w:val="20"/>
        </w:rPr>
        <w:t xml:space="preserve">Cleaned and structured </w:t>
      </w:r>
      <w:r w:rsidR="00E00DD0" w:rsidRPr="00E00DD0">
        <w:rPr>
          <w:sz w:val="20"/>
          <w:szCs w:val="20"/>
        </w:rPr>
        <w:t xml:space="preserve">the </w:t>
      </w:r>
      <w:r w:rsidRPr="00E00DD0">
        <w:rPr>
          <w:sz w:val="20"/>
          <w:szCs w:val="20"/>
        </w:rPr>
        <w:t>dataset with derived columns</w:t>
      </w:r>
    </w:p>
    <w:p w14:paraId="46027D9F" w14:textId="77777777" w:rsidR="00780D9D" w:rsidRPr="00E00DD0" w:rsidRDefault="00000000" w:rsidP="00E00DD0">
      <w:pPr>
        <w:pStyle w:val="ListParagraph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E00DD0">
        <w:rPr>
          <w:sz w:val="20"/>
          <w:szCs w:val="20"/>
        </w:rPr>
        <w:t>10 Pivot Tables and Pivot Charts covering all six business questions</w:t>
      </w:r>
    </w:p>
    <w:p w14:paraId="689A1387" w14:textId="77777777" w:rsidR="00780D9D" w:rsidRPr="00E00DD0" w:rsidRDefault="00000000" w:rsidP="00E00DD0">
      <w:pPr>
        <w:pStyle w:val="ListParagraph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E00DD0">
        <w:rPr>
          <w:sz w:val="20"/>
          <w:szCs w:val="20"/>
        </w:rPr>
        <w:t>Fully interactive Excel Dashboard with Gender and Age Group slicers</w:t>
      </w:r>
    </w:p>
    <w:p w14:paraId="79EC08EB" w14:textId="77777777" w:rsidR="00780D9D" w:rsidRPr="00E00DD0" w:rsidRDefault="00000000" w:rsidP="00E00DD0">
      <w:pPr>
        <w:pStyle w:val="ListParagraph"/>
        <w:numPr>
          <w:ilvl w:val="0"/>
          <w:numId w:val="2"/>
        </w:numPr>
        <w:spacing w:before="60" w:after="60" w:line="360" w:lineRule="auto"/>
        <w:rPr>
          <w:sz w:val="20"/>
          <w:szCs w:val="20"/>
        </w:rPr>
      </w:pPr>
      <w:r w:rsidRPr="00E00DD0">
        <w:rPr>
          <w:sz w:val="20"/>
          <w:szCs w:val="20"/>
        </w:rPr>
        <w:t>Executive summary with key insights and strategic recommendations</w:t>
      </w:r>
    </w:p>
    <w:p w14:paraId="6F1F0845" w14:textId="77777777" w:rsidR="00780D9D" w:rsidRDefault="00780D9D">
      <w:pPr>
        <w:spacing w:before="200"/>
      </w:pPr>
    </w:p>
    <w:p w14:paraId="148D244C" w14:textId="77777777" w:rsidR="00780D9D" w:rsidRPr="00E00DD0" w:rsidRDefault="00000000">
      <w:pPr>
        <w:pStyle w:val="Heading1"/>
        <w:rPr>
          <w:rFonts w:ascii="Cambria" w:hAnsi="Cambria"/>
          <w:color w:val="1F3864" w:themeColor="accent1" w:themeShade="80"/>
          <w:sz w:val="36"/>
          <w:szCs w:val="36"/>
        </w:rPr>
      </w:pPr>
      <w:r w:rsidRPr="00E00DD0">
        <w:rPr>
          <w:rFonts w:ascii="Cambria" w:hAnsi="Cambria"/>
          <w:color w:val="1F3864" w:themeColor="accent1" w:themeShade="80"/>
          <w:sz w:val="36"/>
          <w:szCs w:val="36"/>
        </w:rPr>
        <w:t>2. Business Problem Statement</w:t>
      </w:r>
    </w:p>
    <w:p w14:paraId="05B63A60" w14:textId="77777777" w:rsidR="00780D9D" w:rsidRDefault="00780D9D">
      <w:pPr>
        <w:pBdr>
          <w:bottom w:val="single" w:sz="4" w:space="1" w:color="2E75B6"/>
        </w:pBdr>
        <w:spacing w:before="120" w:after="120"/>
      </w:pPr>
    </w:p>
    <w:p w14:paraId="3AEA2248" w14:textId="77777777" w:rsidR="00780D9D" w:rsidRPr="00E00DD0" w:rsidRDefault="00000000" w:rsidP="00E00DD0">
      <w:pPr>
        <w:spacing w:before="80" w:after="80"/>
        <w:jc w:val="both"/>
        <w:rPr>
          <w:sz w:val="20"/>
          <w:szCs w:val="20"/>
        </w:rPr>
      </w:pPr>
      <w:r w:rsidRPr="00E00DD0">
        <w:rPr>
          <w:sz w:val="20"/>
          <w:szCs w:val="20"/>
        </w:rPr>
        <w:t>The executive team identified six core analytical questions requiring data-driven answers:</w:t>
      </w:r>
    </w:p>
    <w:p w14:paraId="433200D8" w14:textId="77777777" w:rsidR="00780D9D" w:rsidRDefault="00780D9D">
      <w:pPr>
        <w:spacing w:before="120"/>
      </w:pPr>
    </w:p>
    <w:tbl>
      <w:tblPr>
        <w:tblW w:w="9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"/>
        <w:gridCol w:w="5767"/>
        <w:gridCol w:w="3675"/>
      </w:tblGrid>
      <w:tr w:rsidR="00780D9D" w14:paraId="3C991CC6" w14:textId="77777777" w:rsidTr="00053297">
        <w:tblPrEx>
          <w:tblCellMar>
            <w:top w:w="0" w:type="dxa"/>
            <w:bottom w:w="0" w:type="dxa"/>
          </w:tblCellMar>
        </w:tblPrEx>
        <w:trPr>
          <w:trHeight w:val="259"/>
          <w:tblHeader/>
        </w:trPr>
        <w:tc>
          <w:tcPr>
            <w:tcW w:w="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2C64" w14:textId="77777777" w:rsidR="00780D9D" w:rsidRPr="00053297" w:rsidRDefault="00000000">
            <w:pPr>
              <w:jc w:val="center"/>
              <w:rPr>
                <w:color w:val="1F3864" w:themeColor="accent1" w:themeShade="80"/>
              </w:rPr>
            </w:pPr>
            <w:r w:rsidRPr="00053297">
              <w:rPr>
                <w:b/>
                <w:bCs/>
                <w:color w:val="1F3864" w:themeColor="accent1" w:themeShade="80"/>
              </w:rPr>
              <w:t>#</w:t>
            </w:r>
          </w:p>
        </w:tc>
        <w:tc>
          <w:tcPr>
            <w:tcW w:w="57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F4EF" w14:textId="77777777" w:rsidR="00780D9D" w:rsidRPr="00053297" w:rsidRDefault="00000000">
            <w:pPr>
              <w:jc w:val="center"/>
              <w:rPr>
                <w:color w:val="1F3864" w:themeColor="accent1" w:themeShade="80"/>
              </w:rPr>
            </w:pPr>
            <w:r w:rsidRPr="00053297">
              <w:rPr>
                <w:b/>
                <w:bCs/>
                <w:color w:val="1F3864" w:themeColor="accent1" w:themeShade="80"/>
              </w:rPr>
              <w:t>Business Question</w:t>
            </w:r>
          </w:p>
        </w:tc>
        <w:tc>
          <w:tcPr>
            <w:tcW w:w="36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515B" w14:textId="77777777" w:rsidR="00780D9D" w:rsidRPr="00053297" w:rsidRDefault="00000000">
            <w:pPr>
              <w:jc w:val="center"/>
              <w:rPr>
                <w:color w:val="1F3864" w:themeColor="accent1" w:themeShade="80"/>
              </w:rPr>
            </w:pPr>
            <w:r w:rsidRPr="00053297">
              <w:rPr>
                <w:b/>
                <w:bCs/>
                <w:color w:val="1F3864" w:themeColor="accent1" w:themeShade="80"/>
              </w:rPr>
              <w:t>Category</w:t>
            </w:r>
          </w:p>
        </w:tc>
      </w:tr>
      <w:tr w:rsidR="00780D9D" w14:paraId="7A3AA96C" w14:textId="77777777" w:rsidTr="00053297">
        <w:tblPrEx>
          <w:tblCellMar>
            <w:top w:w="0" w:type="dxa"/>
            <w:bottom w:w="0" w:type="dxa"/>
          </w:tblCellMar>
        </w:tblPrEx>
        <w:trPr>
          <w:trHeight w:val="778"/>
        </w:trPr>
        <w:tc>
          <w:tcPr>
            <w:tcW w:w="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B690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7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9BF6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How are patient numbers changing over time, by age group, gender, admission type, and hospital?</w:t>
            </w:r>
          </w:p>
        </w:tc>
        <w:tc>
          <w:tcPr>
            <w:tcW w:w="36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0A8E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Patient Volume Trends</w:t>
            </w:r>
          </w:p>
        </w:tc>
      </w:tr>
      <w:tr w:rsidR="00780D9D" w14:paraId="5D513289" w14:textId="77777777" w:rsidTr="00053297">
        <w:tblPrEx>
          <w:tblCellMar>
            <w:top w:w="0" w:type="dxa"/>
            <w:bottom w:w="0" w:type="dxa"/>
          </w:tblCellMar>
        </w:tblPrEx>
        <w:trPr>
          <w:trHeight w:val="789"/>
        </w:trPr>
        <w:tc>
          <w:tcPr>
            <w:tcW w:w="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8B25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7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EE79" w14:textId="0C23CA3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 xml:space="preserve">What is driving </w:t>
            </w:r>
            <w:r w:rsidR="00053297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>average treatment cost and hospital stay duration?</w:t>
            </w:r>
          </w:p>
        </w:tc>
        <w:tc>
          <w:tcPr>
            <w:tcW w:w="36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5E3D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Cost &amp; Stay Analysis</w:t>
            </w:r>
          </w:p>
        </w:tc>
      </w:tr>
      <w:tr w:rsidR="00780D9D" w14:paraId="7AF1E86E" w14:textId="77777777" w:rsidTr="00053297">
        <w:tblPrEx>
          <w:tblCellMar>
            <w:top w:w="0" w:type="dxa"/>
            <w:bottom w:w="0" w:type="dxa"/>
          </w:tblCellMar>
        </w:tblPrEx>
        <w:trPr>
          <w:trHeight w:val="778"/>
        </w:trPr>
        <w:tc>
          <w:tcPr>
            <w:tcW w:w="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8C96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7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0FA9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Which hospitals have the highest or lowest patient volumes, and why?</w:t>
            </w:r>
          </w:p>
        </w:tc>
        <w:tc>
          <w:tcPr>
            <w:tcW w:w="36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B6F0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Hospital Performance</w:t>
            </w:r>
          </w:p>
        </w:tc>
      </w:tr>
      <w:tr w:rsidR="00780D9D" w14:paraId="78A70FB8" w14:textId="77777777" w:rsidTr="00053297">
        <w:tblPrEx>
          <w:tblCellMar>
            <w:top w:w="0" w:type="dxa"/>
            <w:bottom w:w="0" w:type="dxa"/>
          </w:tblCellMar>
        </w:tblPrEx>
        <w:trPr>
          <w:trHeight w:val="778"/>
        </w:trPr>
        <w:tc>
          <w:tcPr>
            <w:tcW w:w="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BC99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7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FE25" w14:textId="3937D09D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What medications are commonly administered</w:t>
            </w:r>
            <w:r w:rsidR="00053297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and what are </w:t>
            </w:r>
            <w:r w:rsidR="00053297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>test result distributions?</w:t>
            </w:r>
          </w:p>
        </w:tc>
        <w:tc>
          <w:tcPr>
            <w:tcW w:w="36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8CA2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Medication &amp; Test Patterns</w:t>
            </w:r>
          </w:p>
        </w:tc>
      </w:tr>
      <w:tr w:rsidR="00780D9D" w14:paraId="5C1C3C05" w14:textId="77777777" w:rsidTr="00053297">
        <w:tblPrEx>
          <w:tblCellMar>
            <w:top w:w="0" w:type="dxa"/>
            <w:bottom w:w="0" w:type="dxa"/>
          </w:tblCellMar>
        </w:tblPrEx>
        <w:trPr>
          <w:trHeight w:val="394"/>
        </w:trPr>
        <w:tc>
          <w:tcPr>
            <w:tcW w:w="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0333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7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9105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How does patient volume break down by insurance provider?</w:t>
            </w:r>
          </w:p>
        </w:tc>
        <w:tc>
          <w:tcPr>
            <w:tcW w:w="36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5052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Insurance Impact</w:t>
            </w:r>
          </w:p>
        </w:tc>
      </w:tr>
      <w:tr w:rsidR="00780D9D" w14:paraId="726AC5AB" w14:textId="77777777" w:rsidTr="00053297">
        <w:tblPrEx>
          <w:tblCellMar>
            <w:top w:w="0" w:type="dxa"/>
            <w:bottom w:w="0" w:type="dxa"/>
          </w:tblCellMar>
        </w:tblPrEx>
        <w:trPr>
          <w:trHeight w:val="778"/>
        </w:trPr>
        <w:tc>
          <w:tcPr>
            <w:tcW w:w="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6AC0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7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26E8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Are there seasonal patterns in admissions affecting staffing and resources?</w:t>
            </w:r>
          </w:p>
        </w:tc>
        <w:tc>
          <w:tcPr>
            <w:tcW w:w="36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8659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Seasonality Analysis</w:t>
            </w:r>
          </w:p>
        </w:tc>
      </w:tr>
    </w:tbl>
    <w:p w14:paraId="052E19F3" w14:textId="77777777" w:rsidR="00780D9D" w:rsidRDefault="00780D9D">
      <w:pPr>
        <w:spacing w:before="200"/>
      </w:pPr>
    </w:p>
    <w:p w14:paraId="54A6373F" w14:textId="77777777" w:rsidR="00780D9D" w:rsidRPr="00053297" w:rsidRDefault="00000000">
      <w:pPr>
        <w:pStyle w:val="Heading1"/>
        <w:rPr>
          <w:rFonts w:ascii="Cambria" w:hAnsi="Cambria"/>
          <w:color w:val="1F3864" w:themeColor="accent1" w:themeShade="80"/>
          <w:sz w:val="36"/>
          <w:szCs w:val="36"/>
        </w:rPr>
      </w:pPr>
      <w:r w:rsidRPr="00053297">
        <w:rPr>
          <w:rFonts w:ascii="Cambria" w:hAnsi="Cambria"/>
          <w:color w:val="1F3864" w:themeColor="accent1" w:themeShade="80"/>
          <w:sz w:val="36"/>
          <w:szCs w:val="36"/>
        </w:rPr>
        <w:t>3. Dataset Description</w:t>
      </w:r>
    </w:p>
    <w:p w14:paraId="07A26008" w14:textId="77777777" w:rsidR="00780D9D" w:rsidRPr="00053297" w:rsidRDefault="00780D9D" w:rsidP="00053297">
      <w:pPr>
        <w:pBdr>
          <w:bottom w:val="single" w:sz="4" w:space="1" w:color="2E75B6"/>
        </w:pBdr>
        <w:spacing w:before="120" w:after="120" w:line="360" w:lineRule="auto"/>
        <w:jc w:val="both"/>
        <w:rPr>
          <w:sz w:val="20"/>
          <w:szCs w:val="20"/>
        </w:rPr>
      </w:pPr>
    </w:p>
    <w:p w14:paraId="7B4AB4D8" w14:textId="25FFBDA4" w:rsidR="00780D9D" w:rsidRPr="00053297" w:rsidRDefault="00000000" w:rsidP="00053297">
      <w:pPr>
        <w:spacing w:before="80" w:after="80" w:line="360" w:lineRule="auto"/>
        <w:jc w:val="both"/>
        <w:rPr>
          <w:sz w:val="20"/>
          <w:szCs w:val="20"/>
        </w:rPr>
      </w:pPr>
      <w:r w:rsidRPr="00053297">
        <w:rPr>
          <w:sz w:val="20"/>
          <w:szCs w:val="20"/>
        </w:rPr>
        <w:t>The raw dataset contained 55,500 rows and 15 columns</w:t>
      </w:r>
      <w:r w:rsidR="00053297">
        <w:rPr>
          <w:sz w:val="20"/>
          <w:szCs w:val="20"/>
        </w:rPr>
        <w:t>, representing anonymised patient records from</w:t>
      </w:r>
      <w:r w:rsidRPr="00053297">
        <w:rPr>
          <w:sz w:val="20"/>
          <w:szCs w:val="20"/>
        </w:rPr>
        <w:t xml:space="preserve"> multiple U.S. hospitals from 2019 to 2024.</w:t>
      </w:r>
    </w:p>
    <w:p w14:paraId="7C08CD88" w14:textId="77777777" w:rsidR="00780D9D" w:rsidRDefault="00780D9D">
      <w:pPr>
        <w:spacing w:before="120"/>
      </w:pPr>
    </w:p>
    <w:tbl>
      <w:tblPr>
        <w:tblW w:w="10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2"/>
        <w:gridCol w:w="2190"/>
        <w:gridCol w:w="5528"/>
      </w:tblGrid>
      <w:tr w:rsidR="00780D9D" w14:paraId="64B1B762" w14:textId="77777777" w:rsidTr="00053297">
        <w:tblPrEx>
          <w:tblCellMar>
            <w:top w:w="0" w:type="dxa"/>
            <w:bottom w:w="0" w:type="dxa"/>
          </w:tblCellMar>
        </w:tblPrEx>
        <w:trPr>
          <w:trHeight w:val="254"/>
          <w:tblHeader/>
        </w:trPr>
        <w:tc>
          <w:tcPr>
            <w:tcW w:w="24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DF67" w14:textId="77777777" w:rsidR="00780D9D" w:rsidRPr="00053297" w:rsidRDefault="00000000" w:rsidP="00053297">
            <w:pPr>
              <w:spacing w:line="360" w:lineRule="auto"/>
              <w:jc w:val="center"/>
              <w:rPr>
                <w:color w:val="1F3864" w:themeColor="accent1" w:themeShade="80"/>
              </w:rPr>
            </w:pPr>
            <w:r w:rsidRPr="00053297">
              <w:rPr>
                <w:b/>
                <w:bCs/>
                <w:color w:val="1F3864" w:themeColor="accent1" w:themeShade="80"/>
              </w:rPr>
              <w:t>Column Name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5C24" w14:textId="77777777" w:rsidR="00780D9D" w:rsidRPr="00053297" w:rsidRDefault="00000000" w:rsidP="00053297">
            <w:pPr>
              <w:spacing w:line="360" w:lineRule="auto"/>
              <w:jc w:val="center"/>
              <w:rPr>
                <w:color w:val="1F3864" w:themeColor="accent1" w:themeShade="80"/>
              </w:rPr>
            </w:pPr>
            <w:r w:rsidRPr="00053297">
              <w:rPr>
                <w:b/>
                <w:bCs/>
                <w:color w:val="1F3864" w:themeColor="accent1" w:themeShade="80"/>
              </w:rPr>
              <w:t>Data Type</w:t>
            </w:r>
          </w:p>
        </w:tc>
        <w:tc>
          <w:tcPr>
            <w:tcW w:w="55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B64E" w14:textId="77777777" w:rsidR="00780D9D" w:rsidRPr="00053297" w:rsidRDefault="00000000" w:rsidP="00053297">
            <w:pPr>
              <w:spacing w:line="360" w:lineRule="auto"/>
              <w:jc w:val="center"/>
              <w:rPr>
                <w:color w:val="1F3864" w:themeColor="accent1" w:themeShade="80"/>
              </w:rPr>
            </w:pPr>
            <w:r w:rsidRPr="00053297">
              <w:rPr>
                <w:b/>
                <w:bCs/>
                <w:color w:val="1F3864" w:themeColor="accent1" w:themeShade="80"/>
              </w:rPr>
              <w:t>Description</w:t>
            </w:r>
          </w:p>
        </w:tc>
      </w:tr>
      <w:tr w:rsidR="00780D9D" w14:paraId="6C4C1EBF" w14:textId="77777777" w:rsidTr="00053297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4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51DEB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88C0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5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196C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Patient full name (anonymized)</w:t>
            </w:r>
          </w:p>
        </w:tc>
      </w:tr>
      <w:tr w:rsidR="00780D9D" w14:paraId="68607D6B" w14:textId="77777777" w:rsidTr="00053297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4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6F69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Age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E9E2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55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5BAB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Patient age in years</w:t>
            </w:r>
          </w:p>
        </w:tc>
      </w:tr>
      <w:tr w:rsidR="00780D9D" w14:paraId="5B3D8AB5" w14:textId="77777777" w:rsidTr="0005329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24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86AF4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Gender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00DC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5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D92E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Male / Female</w:t>
            </w:r>
          </w:p>
        </w:tc>
      </w:tr>
      <w:tr w:rsidR="00780D9D" w14:paraId="45F43A6B" w14:textId="77777777" w:rsidTr="00053297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4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2927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Blood Type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B07B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5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4D6D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Patient blood group (A+, A-, B+, etc.)</w:t>
            </w:r>
          </w:p>
        </w:tc>
      </w:tr>
      <w:tr w:rsidR="00780D9D" w14:paraId="79049AE5" w14:textId="77777777" w:rsidTr="00053297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4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0365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Medical Condition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2271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5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2058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Primary diagnosis</w:t>
            </w:r>
          </w:p>
        </w:tc>
      </w:tr>
      <w:tr w:rsidR="00780D9D" w14:paraId="1E143928" w14:textId="77777777" w:rsidTr="0005329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24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359B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Date of Admission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633C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5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CC29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Hospital admission date</w:t>
            </w:r>
          </w:p>
        </w:tc>
      </w:tr>
      <w:tr w:rsidR="00780D9D" w14:paraId="2161A633" w14:textId="77777777" w:rsidTr="00053297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4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7B8B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25F6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5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3D7D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Attending physician name</w:t>
            </w:r>
          </w:p>
        </w:tc>
      </w:tr>
      <w:tr w:rsidR="00780D9D" w14:paraId="4CFE5380" w14:textId="77777777" w:rsidTr="00053297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4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B870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Hospital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6639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5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61C4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Hospital name</w:t>
            </w:r>
          </w:p>
        </w:tc>
      </w:tr>
      <w:tr w:rsidR="00780D9D" w14:paraId="3CCD4592" w14:textId="77777777" w:rsidTr="0005329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24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3149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Insurance Provider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AAEA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5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B458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Insurance company name</w:t>
            </w:r>
          </w:p>
        </w:tc>
      </w:tr>
      <w:tr w:rsidR="00780D9D" w14:paraId="4BA674FA" w14:textId="77777777" w:rsidTr="00053297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4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D553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Billing Amount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8F1E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55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540E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Total treatment cost in USD</w:t>
            </w:r>
          </w:p>
        </w:tc>
      </w:tr>
      <w:tr w:rsidR="00780D9D" w14:paraId="3CDEE198" w14:textId="77777777" w:rsidTr="00053297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4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7722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Room Number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24CC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55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90F5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Assigned room number</w:t>
            </w:r>
          </w:p>
        </w:tc>
      </w:tr>
      <w:tr w:rsidR="00780D9D" w14:paraId="080930E3" w14:textId="77777777" w:rsidTr="00053297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4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4ED9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Admission Type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B15F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5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81D9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Emergency / Urgent / Elective</w:t>
            </w:r>
          </w:p>
        </w:tc>
      </w:tr>
      <w:tr w:rsidR="00780D9D" w14:paraId="17E714FD" w14:textId="77777777" w:rsidTr="0005329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24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19C7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Discharge Date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D2AA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5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0A8C4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Patient discharge date</w:t>
            </w:r>
          </w:p>
        </w:tc>
      </w:tr>
      <w:tr w:rsidR="00780D9D" w14:paraId="24BD28B6" w14:textId="77777777" w:rsidTr="00053297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4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E0B7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Medication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85CD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5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E198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Primary medication administered</w:t>
            </w:r>
          </w:p>
        </w:tc>
      </w:tr>
      <w:tr w:rsidR="00780D9D" w14:paraId="11CF2339" w14:textId="77777777" w:rsidTr="00053297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4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9334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Test Results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EF780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5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B987" w14:textId="77777777" w:rsidR="00780D9D" w:rsidRDefault="00000000" w:rsidP="00053297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Normal / Abnormal / Inconclusive</w:t>
            </w:r>
          </w:p>
        </w:tc>
      </w:tr>
    </w:tbl>
    <w:p w14:paraId="5286F781" w14:textId="77777777" w:rsidR="00780D9D" w:rsidRDefault="00780D9D" w:rsidP="00053297">
      <w:pPr>
        <w:spacing w:before="200"/>
        <w:jc w:val="center"/>
      </w:pPr>
    </w:p>
    <w:p w14:paraId="6C54B6AF" w14:textId="77777777" w:rsidR="00053297" w:rsidRDefault="00053297">
      <w:pPr>
        <w:pStyle w:val="Heading1"/>
      </w:pPr>
    </w:p>
    <w:p w14:paraId="1ED1F9BD" w14:textId="3005DF4F" w:rsidR="00780D9D" w:rsidRPr="00053297" w:rsidRDefault="00000000">
      <w:pPr>
        <w:pStyle w:val="Heading1"/>
        <w:rPr>
          <w:rFonts w:ascii="Cambria" w:hAnsi="Cambria"/>
          <w:color w:val="1F3864" w:themeColor="accent1" w:themeShade="80"/>
          <w:sz w:val="36"/>
          <w:szCs w:val="36"/>
        </w:rPr>
      </w:pPr>
      <w:r w:rsidRPr="00053297">
        <w:rPr>
          <w:rFonts w:ascii="Cambria" w:hAnsi="Cambria"/>
          <w:color w:val="1F3864" w:themeColor="accent1" w:themeShade="80"/>
          <w:sz w:val="36"/>
          <w:szCs w:val="36"/>
        </w:rPr>
        <w:lastRenderedPageBreak/>
        <w:t>4. Data Cleaning Process</w:t>
      </w:r>
    </w:p>
    <w:p w14:paraId="78669462" w14:textId="77777777" w:rsidR="00780D9D" w:rsidRDefault="00780D9D">
      <w:pPr>
        <w:pBdr>
          <w:bottom w:val="single" w:sz="4" w:space="1" w:color="2E75B6"/>
        </w:pBdr>
        <w:spacing w:before="120" w:after="120"/>
      </w:pPr>
    </w:p>
    <w:p w14:paraId="125773CF" w14:textId="77777777" w:rsidR="00780D9D" w:rsidRPr="00053297" w:rsidRDefault="00000000" w:rsidP="00053297">
      <w:pPr>
        <w:spacing w:before="80" w:after="80" w:line="360" w:lineRule="auto"/>
        <w:jc w:val="both"/>
        <w:rPr>
          <w:sz w:val="20"/>
          <w:szCs w:val="20"/>
        </w:rPr>
      </w:pPr>
      <w:r w:rsidRPr="00053297">
        <w:rPr>
          <w:sz w:val="20"/>
          <w:szCs w:val="20"/>
        </w:rPr>
        <w:t>All data cleaning was performed in Microsoft Excel before creating Pivot Tables.</w:t>
      </w:r>
    </w:p>
    <w:p w14:paraId="40027795" w14:textId="2229C250" w:rsidR="00780D9D" w:rsidRPr="00053297" w:rsidRDefault="00000000" w:rsidP="00053297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053297">
        <w:rPr>
          <w:rFonts w:ascii="Cambria" w:hAnsi="Cambria"/>
          <w:color w:val="2F5496" w:themeColor="accent1" w:themeShade="BF"/>
          <w:sz w:val="28"/>
          <w:szCs w:val="28"/>
        </w:rPr>
        <w:t xml:space="preserve">4.1 Text </w:t>
      </w:r>
      <w:r w:rsidR="00053297">
        <w:rPr>
          <w:rFonts w:ascii="Cambria" w:hAnsi="Cambria"/>
          <w:color w:val="2F5496" w:themeColor="accent1" w:themeShade="BF"/>
          <w:sz w:val="28"/>
          <w:szCs w:val="28"/>
        </w:rPr>
        <w:t>Standardisation</w:t>
      </w:r>
    </w:p>
    <w:p w14:paraId="39B26F7D" w14:textId="4BB8B9A2" w:rsidR="00780D9D" w:rsidRPr="00053297" w:rsidRDefault="00000000" w:rsidP="0005329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0"/>
          <w:szCs w:val="20"/>
        </w:rPr>
      </w:pPr>
      <w:r w:rsidRPr="00053297">
        <w:rPr>
          <w:sz w:val="20"/>
          <w:szCs w:val="20"/>
        </w:rPr>
        <w:t xml:space="preserve">Patient names, hospital names, and doctor names had inconsistent </w:t>
      </w:r>
      <w:r w:rsidR="00053297">
        <w:rPr>
          <w:sz w:val="20"/>
          <w:szCs w:val="20"/>
        </w:rPr>
        <w:t>capitalisation</w:t>
      </w:r>
      <w:r w:rsidRPr="00053297">
        <w:rPr>
          <w:sz w:val="20"/>
          <w:szCs w:val="20"/>
        </w:rPr>
        <w:t xml:space="preserve">. </w:t>
      </w:r>
      <w:proofErr w:type="gramStart"/>
      <w:r w:rsidRPr="00053297">
        <w:rPr>
          <w:sz w:val="20"/>
          <w:szCs w:val="20"/>
        </w:rPr>
        <w:t>PROPER(</w:t>
      </w:r>
      <w:proofErr w:type="gramEnd"/>
      <w:r w:rsidRPr="00053297">
        <w:rPr>
          <w:sz w:val="20"/>
          <w:szCs w:val="20"/>
        </w:rPr>
        <w:t xml:space="preserve">) function was applied to </w:t>
      </w:r>
      <w:r w:rsidR="00053297">
        <w:rPr>
          <w:sz w:val="20"/>
          <w:szCs w:val="20"/>
        </w:rPr>
        <w:t>standardise</w:t>
      </w:r>
      <w:r w:rsidRPr="00053297">
        <w:rPr>
          <w:sz w:val="20"/>
          <w:szCs w:val="20"/>
        </w:rPr>
        <w:t xml:space="preserve"> all text fields.</w:t>
      </w:r>
    </w:p>
    <w:p w14:paraId="0D6BD885" w14:textId="77777777" w:rsidR="00780D9D" w:rsidRPr="00053297" w:rsidRDefault="00000000" w:rsidP="00053297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053297">
        <w:rPr>
          <w:rFonts w:ascii="Cambria" w:hAnsi="Cambria"/>
          <w:color w:val="2F5496" w:themeColor="accent1" w:themeShade="BF"/>
          <w:sz w:val="28"/>
          <w:szCs w:val="28"/>
        </w:rPr>
        <w:t>4.2 Date Validation</w:t>
      </w:r>
    </w:p>
    <w:p w14:paraId="7D5E0C14" w14:textId="77777777" w:rsidR="00780D9D" w:rsidRPr="00053297" w:rsidRDefault="00000000" w:rsidP="0005329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0"/>
          <w:szCs w:val="20"/>
        </w:rPr>
      </w:pPr>
      <w:r w:rsidRPr="00053297">
        <w:rPr>
          <w:sz w:val="20"/>
          <w:szCs w:val="20"/>
        </w:rPr>
        <w:t>Date of Admission and Discharge Date columns were verified and formatted consistently in YYYY-MM-DD format.</w:t>
      </w:r>
    </w:p>
    <w:p w14:paraId="1C024A16" w14:textId="77777777" w:rsidR="00780D9D" w:rsidRPr="00053297" w:rsidRDefault="00000000" w:rsidP="00053297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053297">
        <w:rPr>
          <w:rFonts w:ascii="Cambria" w:hAnsi="Cambria"/>
          <w:color w:val="2F5496" w:themeColor="accent1" w:themeShade="BF"/>
          <w:sz w:val="28"/>
          <w:szCs w:val="28"/>
        </w:rPr>
        <w:t>4.3 Derived Columns Created</w:t>
      </w:r>
    </w:p>
    <w:p w14:paraId="1EE0FA59" w14:textId="77777777" w:rsidR="00780D9D" w:rsidRPr="00053297" w:rsidRDefault="00000000" w:rsidP="0005329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0"/>
          <w:szCs w:val="20"/>
        </w:rPr>
      </w:pPr>
      <w:r w:rsidRPr="00053297">
        <w:rPr>
          <w:sz w:val="20"/>
          <w:szCs w:val="20"/>
        </w:rPr>
        <w:t xml:space="preserve">Length of Stay (Days) - calculated as Discharge Date minus Date of Admission using </w:t>
      </w:r>
      <w:proofErr w:type="gramStart"/>
      <w:r w:rsidRPr="00053297">
        <w:rPr>
          <w:sz w:val="20"/>
          <w:szCs w:val="20"/>
        </w:rPr>
        <w:t>DATEDIF(</w:t>
      </w:r>
      <w:proofErr w:type="gramEnd"/>
      <w:r w:rsidRPr="00053297">
        <w:rPr>
          <w:sz w:val="20"/>
          <w:szCs w:val="20"/>
        </w:rPr>
        <w:t>)</w:t>
      </w:r>
    </w:p>
    <w:p w14:paraId="37F0DF55" w14:textId="77777777" w:rsidR="00780D9D" w:rsidRPr="00053297" w:rsidRDefault="00000000" w:rsidP="0005329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0"/>
          <w:szCs w:val="20"/>
        </w:rPr>
      </w:pPr>
      <w:r w:rsidRPr="00053297">
        <w:rPr>
          <w:sz w:val="20"/>
          <w:szCs w:val="20"/>
        </w:rPr>
        <w:t xml:space="preserve">Year - extracted from Date of Admission using </w:t>
      </w:r>
      <w:proofErr w:type="gramStart"/>
      <w:r w:rsidRPr="00053297">
        <w:rPr>
          <w:sz w:val="20"/>
          <w:szCs w:val="20"/>
        </w:rPr>
        <w:t>YEAR(</w:t>
      </w:r>
      <w:proofErr w:type="gramEnd"/>
      <w:r w:rsidRPr="00053297">
        <w:rPr>
          <w:sz w:val="20"/>
          <w:szCs w:val="20"/>
        </w:rPr>
        <w:t>) for trend analysis</w:t>
      </w:r>
    </w:p>
    <w:p w14:paraId="2EB47FCB" w14:textId="77777777" w:rsidR="00780D9D" w:rsidRPr="00053297" w:rsidRDefault="00000000" w:rsidP="0005329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0"/>
          <w:szCs w:val="20"/>
        </w:rPr>
      </w:pPr>
      <w:r w:rsidRPr="00053297">
        <w:rPr>
          <w:sz w:val="20"/>
          <w:szCs w:val="20"/>
        </w:rPr>
        <w:t xml:space="preserve">Month - extracted using </w:t>
      </w:r>
      <w:proofErr w:type="gramStart"/>
      <w:r w:rsidRPr="00053297">
        <w:rPr>
          <w:sz w:val="20"/>
          <w:szCs w:val="20"/>
        </w:rPr>
        <w:t>MONTH(</w:t>
      </w:r>
      <w:proofErr w:type="gramEnd"/>
      <w:r w:rsidRPr="00053297">
        <w:rPr>
          <w:sz w:val="20"/>
          <w:szCs w:val="20"/>
        </w:rPr>
        <w:t>) for seasonality analysis</w:t>
      </w:r>
    </w:p>
    <w:p w14:paraId="5D976643" w14:textId="77777777" w:rsidR="00780D9D" w:rsidRPr="00053297" w:rsidRDefault="00000000" w:rsidP="0005329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0"/>
          <w:szCs w:val="20"/>
        </w:rPr>
      </w:pPr>
      <w:r w:rsidRPr="00053297">
        <w:rPr>
          <w:sz w:val="20"/>
          <w:szCs w:val="20"/>
        </w:rPr>
        <w:t xml:space="preserve">Age Group - binned into 7 categories (0-20, 21-30, 31-40, 41-50, 51-60, 61-70, 71+) using nested </w:t>
      </w:r>
      <w:proofErr w:type="gramStart"/>
      <w:r w:rsidRPr="00053297">
        <w:rPr>
          <w:sz w:val="20"/>
          <w:szCs w:val="20"/>
        </w:rPr>
        <w:t>IF(</w:t>
      </w:r>
      <w:proofErr w:type="gramEnd"/>
      <w:r w:rsidRPr="00053297">
        <w:rPr>
          <w:sz w:val="20"/>
          <w:szCs w:val="20"/>
        </w:rPr>
        <w:t>) formulas</w:t>
      </w:r>
    </w:p>
    <w:p w14:paraId="143AF82D" w14:textId="77777777" w:rsidR="00780D9D" w:rsidRPr="00053297" w:rsidRDefault="00000000" w:rsidP="00053297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053297">
        <w:rPr>
          <w:rFonts w:ascii="Cambria" w:hAnsi="Cambria"/>
          <w:color w:val="2F5496" w:themeColor="accent1" w:themeShade="BF"/>
          <w:sz w:val="28"/>
          <w:szCs w:val="28"/>
        </w:rPr>
        <w:t>4.4 Duplicate and Null Check</w:t>
      </w:r>
    </w:p>
    <w:p w14:paraId="354F960A" w14:textId="77777777" w:rsidR="00780D9D" w:rsidRPr="00053297" w:rsidRDefault="00000000" w:rsidP="0005329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0"/>
          <w:szCs w:val="20"/>
        </w:rPr>
      </w:pPr>
      <w:r w:rsidRPr="00053297">
        <w:rPr>
          <w:sz w:val="20"/>
          <w:szCs w:val="20"/>
        </w:rPr>
        <w:t>Excel's Remove Duplicates feature confirmed no duplicate records existed.</w:t>
      </w:r>
    </w:p>
    <w:p w14:paraId="493BC03E" w14:textId="77777777" w:rsidR="00780D9D" w:rsidRPr="00053297" w:rsidRDefault="00000000" w:rsidP="0005329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0"/>
          <w:szCs w:val="20"/>
        </w:rPr>
      </w:pPr>
      <w:r w:rsidRPr="00053297">
        <w:rPr>
          <w:sz w:val="20"/>
          <w:szCs w:val="20"/>
        </w:rPr>
        <w:t>No blank values were found in critical columns: Gender, Admission Type, Insurance Provider, or Medical Condition.</w:t>
      </w:r>
    </w:p>
    <w:p w14:paraId="144AF6B9" w14:textId="77777777" w:rsidR="00780D9D" w:rsidRDefault="00780D9D">
      <w:pPr>
        <w:spacing w:before="200"/>
      </w:pPr>
    </w:p>
    <w:p w14:paraId="1BD6410F" w14:textId="77777777" w:rsidR="00971E2C" w:rsidRDefault="00971E2C">
      <w:pPr>
        <w:spacing w:before="200"/>
      </w:pPr>
    </w:p>
    <w:p w14:paraId="338BDD0F" w14:textId="77777777" w:rsidR="00971E2C" w:rsidRDefault="00971E2C">
      <w:pPr>
        <w:spacing w:before="200"/>
      </w:pPr>
    </w:p>
    <w:p w14:paraId="496C17C4" w14:textId="77777777" w:rsidR="00971E2C" w:rsidRDefault="00971E2C">
      <w:pPr>
        <w:spacing w:before="200"/>
      </w:pPr>
    </w:p>
    <w:p w14:paraId="576F95CA" w14:textId="77777777" w:rsidR="00971E2C" w:rsidRDefault="00971E2C">
      <w:pPr>
        <w:spacing w:before="200"/>
      </w:pPr>
    </w:p>
    <w:p w14:paraId="16EA6EDC" w14:textId="77777777" w:rsidR="00971E2C" w:rsidRDefault="00971E2C">
      <w:pPr>
        <w:spacing w:before="200"/>
      </w:pPr>
    </w:p>
    <w:p w14:paraId="66640BD4" w14:textId="77777777" w:rsidR="00971E2C" w:rsidRDefault="00971E2C">
      <w:pPr>
        <w:spacing w:before="200"/>
      </w:pPr>
    </w:p>
    <w:p w14:paraId="101DE540" w14:textId="77777777" w:rsidR="00971E2C" w:rsidRDefault="00971E2C">
      <w:pPr>
        <w:spacing w:before="200"/>
      </w:pPr>
    </w:p>
    <w:p w14:paraId="1AE7D5C6" w14:textId="77777777" w:rsidR="00780D9D" w:rsidRPr="00971E2C" w:rsidRDefault="00000000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  <w:r w:rsidRPr="00971E2C">
        <w:rPr>
          <w:rFonts w:ascii="Cambria" w:hAnsi="Cambria"/>
          <w:color w:val="1F3864" w:themeColor="accent1" w:themeShade="80"/>
          <w:sz w:val="36"/>
          <w:szCs w:val="36"/>
        </w:rPr>
        <w:lastRenderedPageBreak/>
        <w:t>5. Dashboard and KPI Summary</w:t>
      </w:r>
    </w:p>
    <w:p w14:paraId="4B00DA1B" w14:textId="77777777" w:rsidR="00780D9D" w:rsidRDefault="00780D9D" w:rsidP="00971E2C">
      <w:pPr>
        <w:pBdr>
          <w:bottom w:val="single" w:sz="4" w:space="1" w:color="2E75B6"/>
        </w:pBdr>
        <w:spacing w:after="120"/>
      </w:pPr>
    </w:p>
    <w:p w14:paraId="7ABC1B17" w14:textId="032D3F03" w:rsidR="00780D9D" w:rsidRPr="00971E2C" w:rsidRDefault="00000000" w:rsidP="00971E2C">
      <w:pPr>
        <w:spacing w:before="80" w:after="80" w:line="360" w:lineRule="auto"/>
        <w:jc w:val="both"/>
        <w:rPr>
          <w:sz w:val="20"/>
          <w:szCs w:val="20"/>
        </w:rPr>
      </w:pPr>
      <w:r w:rsidRPr="00971E2C">
        <w:rPr>
          <w:sz w:val="20"/>
          <w:szCs w:val="20"/>
        </w:rPr>
        <w:t xml:space="preserve">An interactive Excel Dashboard was created on a dedicated sheet, displaying all key metrics and charts in a single view with KPI cards at the top and 9 </w:t>
      </w:r>
      <w:r w:rsidR="00971E2C">
        <w:rPr>
          <w:sz w:val="20"/>
          <w:szCs w:val="20"/>
        </w:rPr>
        <w:t>visualisations</w:t>
      </w:r>
      <w:r w:rsidRPr="00971E2C">
        <w:rPr>
          <w:sz w:val="20"/>
          <w:szCs w:val="20"/>
        </w:rPr>
        <w:t xml:space="preserve"> below.</w:t>
      </w:r>
    </w:p>
    <w:p w14:paraId="4479B32E" w14:textId="0D5A1EC0" w:rsidR="00780D9D" w:rsidRPr="00971E2C" w:rsidRDefault="00000000" w:rsidP="00971E2C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971E2C">
        <w:rPr>
          <w:rFonts w:ascii="Cambria" w:hAnsi="Cambria"/>
          <w:color w:val="2F5496" w:themeColor="accent1" w:themeShade="BF"/>
          <w:sz w:val="28"/>
          <w:szCs w:val="28"/>
        </w:rPr>
        <w:t>5.1 Key Performance Indicators (KPIs)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2282"/>
        <w:gridCol w:w="4522"/>
      </w:tblGrid>
      <w:tr w:rsidR="00780D9D" w14:paraId="2A60BE90" w14:textId="77777777" w:rsidTr="00971E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CB2C" w14:textId="77777777" w:rsidR="00780D9D" w:rsidRPr="00971E2C" w:rsidRDefault="00000000">
            <w:pPr>
              <w:jc w:val="center"/>
              <w:rPr>
                <w:color w:val="1F3864" w:themeColor="accent1" w:themeShade="80"/>
              </w:rPr>
            </w:pPr>
            <w:r w:rsidRPr="00971E2C">
              <w:rPr>
                <w:b/>
                <w:bCs/>
                <w:color w:val="1F3864" w:themeColor="accent1" w:themeShade="80"/>
              </w:rPr>
              <w:t>KPI Metric</w:t>
            </w:r>
          </w:p>
        </w:tc>
        <w:tc>
          <w:tcPr>
            <w:tcW w:w="22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1A33" w14:textId="77777777" w:rsidR="00780D9D" w:rsidRPr="00971E2C" w:rsidRDefault="00000000">
            <w:pPr>
              <w:jc w:val="center"/>
              <w:rPr>
                <w:color w:val="1F3864" w:themeColor="accent1" w:themeShade="80"/>
              </w:rPr>
            </w:pPr>
            <w:r w:rsidRPr="00971E2C">
              <w:rPr>
                <w:b/>
                <w:bCs/>
                <w:color w:val="1F3864" w:themeColor="accent1" w:themeShade="80"/>
              </w:rPr>
              <w:t>Value</w:t>
            </w:r>
          </w:p>
        </w:tc>
        <w:tc>
          <w:tcPr>
            <w:tcW w:w="45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C761" w14:textId="77777777" w:rsidR="00780D9D" w:rsidRPr="00971E2C" w:rsidRDefault="00000000">
            <w:pPr>
              <w:jc w:val="center"/>
              <w:rPr>
                <w:color w:val="1F3864" w:themeColor="accent1" w:themeShade="80"/>
              </w:rPr>
            </w:pPr>
            <w:r w:rsidRPr="00971E2C">
              <w:rPr>
                <w:b/>
                <w:bCs/>
                <w:color w:val="1F3864" w:themeColor="accent1" w:themeShade="80"/>
              </w:rPr>
              <w:t>Significance</w:t>
            </w:r>
          </w:p>
        </w:tc>
      </w:tr>
      <w:tr w:rsidR="00780D9D" w14:paraId="7E058E34" w14:textId="77777777" w:rsidTr="00971E2C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1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6A7C" w14:textId="77777777" w:rsidR="00780D9D" w:rsidRDefault="00000000" w:rsidP="00971E2C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Total Patients</w:t>
            </w:r>
          </w:p>
        </w:tc>
        <w:tc>
          <w:tcPr>
            <w:tcW w:w="22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0FE87" w14:textId="77777777" w:rsidR="00780D9D" w:rsidRDefault="00000000" w:rsidP="00971E2C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55,500</w:t>
            </w:r>
          </w:p>
        </w:tc>
        <w:tc>
          <w:tcPr>
            <w:tcW w:w="45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2E99" w14:textId="77777777" w:rsidR="00780D9D" w:rsidRDefault="00000000" w:rsidP="00971E2C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Complete patient volume across all hospitals and years</w:t>
            </w:r>
          </w:p>
        </w:tc>
      </w:tr>
      <w:tr w:rsidR="00780D9D" w14:paraId="7A15549E" w14:textId="77777777" w:rsidTr="00971E2C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4D03" w14:textId="77777777" w:rsidR="00780D9D" w:rsidRDefault="00000000" w:rsidP="00971E2C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Total Treatment Cost</w:t>
            </w:r>
          </w:p>
        </w:tc>
        <w:tc>
          <w:tcPr>
            <w:tcW w:w="22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4A21" w14:textId="77777777" w:rsidR="00780D9D" w:rsidRDefault="00000000" w:rsidP="00971E2C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$1,41,74,32,043.4</w:t>
            </w:r>
          </w:p>
        </w:tc>
        <w:tc>
          <w:tcPr>
            <w:tcW w:w="45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85E4" w14:textId="77777777" w:rsidR="00780D9D" w:rsidRDefault="00000000" w:rsidP="00971E2C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Cumulative billing across the entire network</w:t>
            </w:r>
          </w:p>
        </w:tc>
      </w:tr>
      <w:tr w:rsidR="00780D9D" w14:paraId="7A15DD46" w14:textId="77777777" w:rsidTr="00971E2C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2B9C" w14:textId="77777777" w:rsidR="00780D9D" w:rsidRDefault="00000000" w:rsidP="00971E2C">
            <w:pPr>
              <w:spacing w:line="3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Treatment Cost per Patient</w:t>
            </w:r>
          </w:p>
        </w:tc>
        <w:tc>
          <w:tcPr>
            <w:tcW w:w="22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BD0A" w14:textId="77777777" w:rsidR="00780D9D" w:rsidRDefault="00000000" w:rsidP="00971E2C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$25,539.32</w:t>
            </w:r>
          </w:p>
        </w:tc>
        <w:tc>
          <w:tcPr>
            <w:tcW w:w="45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F969" w14:textId="77777777" w:rsidR="00780D9D" w:rsidRDefault="00000000" w:rsidP="00971E2C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Benchmark for cost efficiency analysis</w:t>
            </w:r>
          </w:p>
        </w:tc>
      </w:tr>
      <w:tr w:rsidR="00780D9D" w14:paraId="5CFD7B58" w14:textId="77777777" w:rsidTr="00971E2C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C61C" w14:textId="77777777" w:rsidR="00780D9D" w:rsidRDefault="00000000" w:rsidP="00971E2C">
            <w:pPr>
              <w:spacing w:line="3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Length of Stay</w:t>
            </w:r>
          </w:p>
        </w:tc>
        <w:tc>
          <w:tcPr>
            <w:tcW w:w="22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E76E" w14:textId="77777777" w:rsidR="00780D9D" w:rsidRDefault="00000000" w:rsidP="00971E2C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16 Days</w:t>
            </w:r>
          </w:p>
        </w:tc>
        <w:tc>
          <w:tcPr>
            <w:tcW w:w="45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36D5" w14:textId="77777777" w:rsidR="00780D9D" w:rsidRDefault="00000000" w:rsidP="00971E2C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Operational efficiency and bed utilization metric</w:t>
            </w:r>
          </w:p>
        </w:tc>
      </w:tr>
    </w:tbl>
    <w:p w14:paraId="0371C374" w14:textId="77777777" w:rsidR="00780D9D" w:rsidRDefault="00780D9D">
      <w:pPr>
        <w:spacing w:before="140" w:after="60"/>
      </w:pPr>
    </w:p>
    <w:p w14:paraId="3E63DC82" w14:textId="77777777" w:rsidR="00780D9D" w:rsidRPr="00971E2C" w:rsidRDefault="00000000" w:rsidP="00971E2C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971E2C">
        <w:rPr>
          <w:rFonts w:ascii="Cambria" w:hAnsi="Cambria"/>
          <w:color w:val="2F5496" w:themeColor="accent1" w:themeShade="BF"/>
          <w:sz w:val="28"/>
          <w:szCs w:val="28"/>
        </w:rPr>
        <w:t>5.2 Interactive Slicers</w:t>
      </w:r>
    </w:p>
    <w:p w14:paraId="180F36E1" w14:textId="77777777" w:rsidR="00780D9D" w:rsidRPr="00971E2C" w:rsidRDefault="00000000" w:rsidP="00971E2C">
      <w:pPr>
        <w:spacing w:before="80" w:after="80" w:line="360" w:lineRule="auto"/>
        <w:jc w:val="both"/>
        <w:rPr>
          <w:sz w:val="20"/>
          <w:szCs w:val="20"/>
        </w:rPr>
      </w:pPr>
      <w:r w:rsidRPr="00971E2C">
        <w:rPr>
          <w:sz w:val="20"/>
          <w:szCs w:val="20"/>
        </w:rPr>
        <w:t>Two slicers provide dynamic filtering across all charts and KPI cards:</w:t>
      </w:r>
    </w:p>
    <w:p w14:paraId="1AB90C70" w14:textId="33101E12" w:rsidR="00780D9D" w:rsidRPr="00971E2C" w:rsidRDefault="00000000" w:rsidP="00971E2C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0"/>
          <w:szCs w:val="20"/>
        </w:rPr>
      </w:pPr>
      <w:r w:rsidRPr="00971E2C">
        <w:rPr>
          <w:sz w:val="20"/>
          <w:szCs w:val="20"/>
        </w:rPr>
        <w:t xml:space="preserve">Gender Slicer - filter all </w:t>
      </w:r>
      <w:r w:rsidR="00971E2C">
        <w:rPr>
          <w:sz w:val="20"/>
          <w:szCs w:val="20"/>
        </w:rPr>
        <w:t>visualisations</w:t>
      </w:r>
      <w:r w:rsidRPr="00971E2C">
        <w:rPr>
          <w:sz w:val="20"/>
          <w:szCs w:val="20"/>
        </w:rPr>
        <w:t xml:space="preserve"> by Male or Female patients</w:t>
      </w:r>
      <w:r w:rsidR="00971E2C">
        <w:rPr>
          <w:sz w:val="20"/>
          <w:szCs w:val="20"/>
        </w:rPr>
        <w:t>.</w:t>
      </w:r>
    </w:p>
    <w:p w14:paraId="481EEF17" w14:textId="0C5E7501" w:rsidR="00780D9D" w:rsidRPr="00971E2C" w:rsidRDefault="00000000" w:rsidP="00971E2C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0"/>
          <w:szCs w:val="20"/>
        </w:rPr>
      </w:pPr>
      <w:r w:rsidRPr="00971E2C">
        <w:rPr>
          <w:sz w:val="20"/>
          <w:szCs w:val="20"/>
        </w:rPr>
        <w:t>Age Group Slicer - filter by age bracket from 0-20 through 71+</w:t>
      </w:r>
      <w:r w:rsidR="00971E2C">
        <w:rPr>
          <w:sz w:val="20"/>
          <w:szCs w:val="20"/>
        </w:rPr>
        <w:t>.</w:t>
      </w:r>
    </w:p>
    <w:p w14:paraId="65C72D5B" w14:textId="77777777" w:rsidR="00780D9D" w:rsidRPr="00971E2C" w:rsidRDefault="00780D9D" w:rsidP="00971E2C">
      <w:pPr>
        <w:spacing w:before="200" w:line="360" w:lineRule="auto"/>
        <w:jc w:val="both"/>
        <w:rPr>
          <w:sz w:val="20"/>
          <w:szCs w:val="20"/>
        </w:rPr>
      </w:pPr>
    </w:p>
    <w:p w14:paraId="156D7236" w14:textId="77777777" w:rsidR="00971E2C" w:rsidRDefault="00971E2C">
      <w:pPr>
        <w:pStyle w:val="Heading1"/>
      </w:pPr>
    </w:p>
    <w:p w14:paraId="361228CE" w14:textId="77777777" w:rsidR="00971E2C" w:rsidRDefault="00971E2C">
      <w:pPr>
        <w:pStyle w:val="Heading1"/>
      </w:pPr>
    </w:p>
    <w:p w14:paraId="2A364920" w14:textId="77777777" w:rsidR="00971E2C" w:rsidRDefault="00971E2C">
      <w:pPr>
        <w:pStyle w:val="Heading1"/>
      </w:pPr>
    </w:p>
    <w:p w14:paraId="3D5EF65A" w14:textId="77777777" w:rsidR="00971E2C" w:rsidRDefault="00971E2C">
      <w:pPr>
        <w:pStyle w:val="Heading1"/>
      </w:pPr>
    </w:p>
    <w:p w14:paraId="32953294" w14:textId="77777777" w:rsidR="00971E2C" w:rsidRDefault="00971E2C">
      <w:pPr>
        <w:pStyle w:val="Heading1"/>
      </w:pPr>
    </w:p>
    <w:p w14:paraId="54C7DB0C" w14:textId="77777777" w:rsidR="00971E2C" w:rsidRDefault="00971E2C">
      <w:pPr>
        <w:pStyle w:val="Heading1"/>
      </w:pPr>
    </w:p>
    <w:p w14:paraId="2523DA65" w14:textId="122B5053" w:rsidR="00780D9D" w:rsidRPr="00971E2C" w:rsidRDefault="00000000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  <w:r w:rsidRPr="00971E2C">
        <w:rPr>
          <w:rFonts w:ascii="Cambria" w:hAnsi="Cambria"/>
          <w:color w:val="1F3864" w:themeColor="accent1" w:themeShade="80"/>
          <w:sz w:val="36"/>
          <w:szCs w:val="36"/>
        </w:rPr>
        <w:lastRenderedPageBreak/>
        <w:t>6. Analysis and Findings</w:t>
      </w:r>
    </w:p>
    <w:p w14:paraId="6B7E2277" w14:textId="77777777" w:rsidR="00780D9D" w:rsidRDefault="00780D9D">
      <w:pPr>
        <w:pBdr>
          <w:bottom w:val="single" w:sz="4" w:space="1" w:color="2E75B6"/>
        </w:pBdr>
        <w:spacing w:before="120" w:after="120"/>
      </w:pPr>
    </w:p>
    <w:p w14:paraId="60FD1DE6" w14:textId="77777777" w:rsidR="00780D9D" w:rsidRPr="00971E2C" w:rsidRDefault="00000000" w:rsidP="00971E2C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971E2C">
        <w:rPr>
          <w:rFonts w:ascii="Cambria" w:hAnsi="Cambria"/>
          <w:color w:val="2F5496" w:themeColor="accent1" w:themeShade="BF"/>
          <w:sz w:val="28"/>
          <w:szCs w:val="28"/>
        </w:rPr>
        <w:t>6.1 Yearly Admission Trend</w:t>
      </w:r>
    </w:p>
    <w:p w14:paraId="2B1AD37C" w14:textId="4AC63D1F" w:rsidR="00780D9D" w:rsidRPr="001C7AA1" w:rsidRDefault="00000000" w:rsidP="001C7AA1">
      <w:pPr>
        <w:spacing w:before="80" w:after="80" w:line="360" w:lineRule="auto"/>
        <w:jc w:val="both"/>
        <w:rPr>
          <w:sz w:val="20"/>
          <w:szCs w:val="20"/>
        </w:rPr>
      </w:pPr>
      <w:r w:rsidRPr="001C7AA1">
        <w:rPr>
          <w:sz w:val="20"/>
          <w:szCs w:val="20"/>
        </w:rPr>
        <w:t xml:space="preserve">Patient admissions grew significantly from 2019 to 2020, then </w:t>
      </w:r>
      <w:r w:rsidR="001C7AA1">
        <w:rPr>
          <w:sz w:val="20"/>
          <w:szCs w:val="20"/>
        </w:rPr>
        <w:t>stabilised</w:t>
      </w:r>
      <w:r w:rsidRPr="001C7AA1">
        <w:rPr>
          <w:sz w:val="20"/>
          <w:szCs w:val="20"/>
        </w:rPr>
        <w:t xml:space="preserve"> at around 11,000 per year through 2023. The 2024 figure reflects partial-year data only.</w:t>
      </w:r>
    </w:p>
    <w:tbl>
      <w:tblPr>
        <w:tblW w:w="9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2"/>
        <w:gridCol w:w="3695"/>
        <w:gridCol w:w="3411"/>
      </w:tblGrid>
      <w:tr w:rsidR="00780D9D" w14:paraId="3B3078D9" w14:textId="77777777" w:rsidTr="001C7AA1">
        <w:tblPrEx>
          <w:tblCellMar>
            <w:top w:w="0" w:type="dxa"/>
            <w:bottom w:w="0" w:type="dxa"/>
          </w:tblCellMar>
        </w:tblPrEx>
        <w:trPr>
          <w:trHeight w:val="262"/>
          <w:tblHeader/>
        </w:trPr>
        <w:tc>
          <w:tcPr>
            <w:tcW w:w="28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FB36" w14:textId="77777777" w:rsidR="00780D9D" w:rsidRPr="001C7AA1" w:rsidRDefault="00000000" w:rsidP="001C7AA1">
            <w:pPr>
              <w:jc w:val="center"/>
              <w:rPr>
                <w:color w:val="1F3864" w:themeColor="accent1" w:themeShade="80"/>
              </w:rPr>
            </w:pPr>
            <w:r w:rsidRPr="001C7AA1">
              <w:rPr>
                <w:b/>
                <w:bCs/>
                <w:color w:val="1F3864" w:themeColor="accent1" w:themeShade="80"/>
                <w:sz w:val="20"/>
                <w:szCs w:val="20"/>
              </w:rPr>
              <w:t>Year</w:t>
            </w:r>
          </w:p>
        </w:tc>
        <w:tc>
          <w:tcPr>
            <w:tcW w:w="36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252E" w14:textId="77777777" w:rsidR="00780D9D" w:rsidRPr="001C7AA1" w:rsidRDefault="00000000" w:rsidP="001C7AA1">
            <w:pPr>
              <w:jc w:val="center"/>
              <w:rPr>
                <w:color w:val="1F3864" w:themeColor="accent1" w:themeShade="80"/>
              </w:rPr>
            </w:pPr>
            <w:r w:rsidRPr="001C7AA1">
              <w:rPr>
                <w:b/>
                <w:bCs/>
                <w:color w:val="1F3864" w:themeColor="accent1" w:themeShade="80"/>
                <w:sz w:val="20"/>
                <w:szCs w:val="20"/>
              </w:rPr>
              <w:t>Patient Admissions</w:t>
            </w:r>
          </w:p>
        </w:tc>
        <w:tc>
          <w:tcPr>
            <w:tcW w:w="34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1207" w14:textId="77777777" w:rsidR="00780D9D" w:rsidRPr="001C7AA1" w:rsidRDefault="00000000" w:rsidP="001C7AA1">
            <w:pPr>
              <w:jc w:val="center"/>
              <w:rPr>
                <w:color w:val="1F3864" w:themeColor="accent1" w:themeShade="80"/>
              </w:rPr>
            </w:pPr>
            <w:r w:rsidRPr="001C7AA1">
              <w:rPr>
                <w:b/>
                <w:bCs/>
                <w:color w:val="1F3864" w:themeColor="accent1" w:themeShade="80"/>
                <w:sz w:val="20"/>
                <w:szCs w:val="20"/>
              </w:rPr>
              <w:t>Trend</w:t>
            </w:r>
          </w:p>
        </w:tc>
      </w:tr>
      <w:tr w:rsidR="00780D9D" w14:paraId="4A568D67" w14:textId="77777777" w:rsidTr="001C7AA1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28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02A9" w14:textId="77777777" w:rsidR="00780D9D" w:rsidRDefault="00000000" w:rsidP="001C7AA1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2019</w:t>
            </w:r>
          </w:p>
        </w:tc>
        <w:tc>
          <w:tcPr>
            <w:tcW w:w="36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E178" w14:textId="77777777" w:rsidR="00780D9D" w:rsidRDefault="00000000" w:rsidP="001C7AA1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7,387</w:t>
            </w:r>
          </w:p>
        </w:tc>
        <w:tc>
          <w:tcPr>
            <w:tcW w:w="34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646E" w14:textId="77777777" w:rsidR="00780D9D" w:rsidRDefault="00000000" w:rsidP="001C7AA1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Base Year</w:t>
            </w:r>
          </w:p>
        </w:tc>
      </w:tr>
      <w:tr w:rsidR="00780D9D" w14:paraId="322AAD99" w14:textId="77777777" w:rsidTr="001C7AA1">
        <w:tblPrEx>
          <w:tblCellMar>
            <w:top w:w="0" w:type="dxa"/>
            <w:bottom w:w="0" w:type="dxa"/>
          </w:tblCellMar>
        </w:tblPrEx>
        <w:trPr>
          <w:trHeight w:val="274"/>
        </w:trPr>
        <w:tc>
          <w:tcPr>
            <w:tcW w:w="28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9726" w14:textId="77777777" w:rsidR="00780D9D" w:rsidRDefault="00000000" w:rsidP="001C7AA1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2020</w:t>
            </w:r>
          </w:p>
        </w:tc>
        <w:tc>
          <w:tcPr>
            <w:tcW w:w="36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8F8F" w14:textId="77777777" w:rsidR="00780D9D" w:rsidRDefault="00000000" w:rsidP="001C7AA1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10,931</w:t>
            </w:r>
          </w:p>
        </w:tc>
        <w:tc>
          <w:tcPr>
            <w:tcW w:w="34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1313" w14:textId="77777777" w:rsidR="00780D9D" w:rsidRDefault="00000000" w:rsidP="001C7AA1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+48% growth</w:t>
            </w:r>
          </w:p>
        </w:tc>
      </w:tr>
      <w:tr w:rsidR="00780D9D" w14:paraId="7C363598" w14:textId="77777777" w:rsidTr="001C7AA1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28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9D6D" w14:textId="77777777" w:rsidR="00780D9D" w:rsidRDefault="00000000" w:rsidP="001C7AA1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2021</w:t>
            </w:r>
          </w:p>
        </w:tc>
        <w:tc>
          <w:tcPr>
            <w:tcW w:w="36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2614" w14:textId="77777777" w:rsidR="00780D9D" w:rsidRDefault="00000000" w:rsidP="001C7AA1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11,017</w:t>
            </w:r>
          </w:p>
        </w:tc>
        <w:tc>
          <w:tcPr>
            <w:tcW w:w="34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B20C" w14:textId="77777777" w:rsidR="00780D9D" w:rsidRDefault="00000000" w:rsidP="001C7AA1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Peak Year</w:t>
            </w:r>
          </w:p>
        </w:tc>
      </w:tr>
      <w:tr w:rsidR="00780D9D" w14:paraId="080C0F3C" w14:textId="77777777" w:rsidTr="001C7AA1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28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141C" w14:textId="77777777" w:rsidR="00780D9D" w:rsidRDefault="00000000" w:rsidP="001C7AA1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2022</w:t>
            </w:r>
          </w:p>
        </w:tc>
        <w:tc>
          <w:tcPr>
            <w:tcW w:w="36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54CE" w14:textId="77777777" w:rsidR="00780D9D" w:rsidRDefault="00000000" w:rsidP="001C7AA1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11,285</w:t>
            </w:r>
          </w:p>
        </w:tc>
        <w:tc>
          <w:tcPr>
            <w:tcW w:w="34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4C7D" w14:textId="77777777" w:rsidR="00780D9D" w:rsidRDefault="00000000" w:rsidP="001C7AA1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Stable</w:t>
            </w:r>
          </w:p>
        </w:tc>
      </w:tr>
      <w:tr w:rsidR="00780D9D" w14:paraId="20DB526D" w14:textId="77777777" w:rsidTr="001C7AA1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28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30A3" w14:textId="77777777" w:rsidR="00780D9D" w:rsidRDefault="00000000" w:rsidP="001C7AA1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36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ADC4" w14:textId="77777777" w:rsidR="00780D9D" w:rsidRDefault="00000000" w:rsidP="001C7AA1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11,026</w:t>
            </w:r>
          </w:p>
        </w:tc>
        <w:tc>
          <w:tcPr>
            <w:tcW w:w="34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F5CB" w14:textId="77777777" w:rsidR="00780D9D" w:rsidRDefault="00000000" w:rsidP="001C7AA1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Stable</w:t>
            </w:r>
          </w:p>
        </w:tc>
      </w:tr>
      <w:tr w:rsidR="00780D9D" w14:paraId="71C43575" w14:textId="77777777" w:rsidTr="001C7AA1">
        <w:tblPrEx>
          <w:tblCellMar>
            <w:top w:w="0" w:type="dxa"/>
            <w:bottom w:w="0" w:type="dxa"/>
          </w:tblCellMar>
        </w:tblPrEx>
        <w:trPr>
          <w:trHeight w:val="274"/>
        </w:trPr>
        <w:tc>
          <w:tcPr>
            <w:tcW w:w="28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E5BC" w14:textId="77777777" w:rsidR="00780D9D" w:rsidRDefault="00000000" w:rsidP="001C7AA1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2024</w:t>
            </w:r>
          </w:p>
        </w:tc>
        <w:tc>
          <w:tcPr>
            <w:tcW w:w="36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1160" w14:textId="77777777" w:rsidR="00780D9D" w:rsidRDefault="00000000" w:rsidP="001C7AA1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3,854</w:t>
            </w:r>
          </w:p>
        </w:tc>
        <w:tc>
          <w:tcPr>
            <w:tcW w:w="34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4C92" w14:textId="77777777" w:rsidR="00780D9D" w:rsidRDefault="00000000" w:rsidP="001C7AA1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Partial Year</w:t>
            </w:r>
          </w:p>
        </w:tc>
      </w:tr>
    </w:tbl>
    <w:p w14:paraId="3553654D" w14:textId="77777777" w:rsidR="00780D9D" w:rsidRPr="00971E2C" w:rsidRDefault="00000000" w:rsidP="00971E2C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971E2C">
        <w:rPr>
          <w:rFonts w:ascii="Cambria" w:hAnsi="Cambria"/>
          <w:color w:val="2F5496" w:themeColor="accent1" w:themeShade="BF"/>
          <w:sz w:val="28"/>
          <w:szCs w:val="28"/>
        </w:rPr>
        <w:t>6.2 Gender Distribution</w:t>
      </w:r>
    </w:p>
    <w:p w14:paraId="5B61FB8F" w14:textId="77777777" w:rsidR="00780D9D" w:rsidRPr="001C7AA1" w:rsidRDefault="00000000" w:rsidP="001C7AA1">
      <w:pPr>
        <w:spacing w:before="80" w:after="80" w:line="360" w:lineRule="auto"/>
        <w:jc w:val="both"/>
        <w:rPr>
          <w:sz w:val="20"/>
          <w:szCs w:val="20"/>
        </w:rPr>
      </w:pPr>
      <w:r w:rsidRPr="001C7AA1">
        <w:rPr>
          <w:sz w:val="20"/>
          <w:szCs w:val="20"/>
        </w:rPr>
        <w:t>Female: 27,726 patients (49.95%)</w:t>
      </w:r>
    </w:p>
    <w:p w14:paraId="58FC8CD1" w14:textId="77777777" w:rsidR="00780D9D" w:rsidRPr="001C7AA1" w:rsidRDefault="00000000" w:rsidP="001C7AA1">
      <w:pPr>
        <w:spacing w:before="80" w:after="80" w:line="360" w:lineRule="auto"/>
        <w:jc w:val="both"/>
        <w:rPr>
          <w:sz w:val="20"/>
          <w:szCs w:val="20"/>
        </w:rPr>
      </w:pPr>
      <w:r w:rsidRPr="001C7AA1">
        <w:rPr>
          <w:sz w:val="20"/>
          <w:szCs w:val="20"/>
        </w:rPr>
        <w:t>Male: 27,774 patients (50.05%)</w:t>
      </w:r>
    </w:p>
    <w:p w14:paraId="6BB30F08" w14:textId="77777777" w:rsidR="00780D9D" w:rsidRPr="001C7AA1" w:rsidRDefault="00000000" w:rsidP="001C7AA1">
      <w:pPr>
        <w:spacing w:before="80" w:after="80" w:line="360" w:lineRule="auto"/>
        <w:jc w:val="both"/>
        <w:rPr>
          <w:sz w:val="20"/>
          <w:szCs w:val="20"/>
        </w:rPr>
      </w:pPr>
      <w:r w:rsidRPr="001C7AA1">
        <w:rPr>
          <w:sz w:val="20"/>
          <w:szCs w:val="20"/>
        </w:rPr>
        <w:t>The near-perfect gender balance validates the representativeness of the dataset.</w:t>
      </w:r>
    </w:p>
    <w:p w14:paraId="4F548F54" w14:textId="77777777" w:rsidR="00780D9D" w:rsidRPr="00971E2C" w:rsidRDefault="00000000" w:rsidP="00971E2C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971E2C">
        <w:rPr>
          <w:rFonts w:ascii="Cambria" w:hAnsi="Cambria"/>
          <w:color w:val="2F5496" w:themeColor="accent1" w:themeShade="BF"/>
          <w:sz w:val="28"/>
          <w:szCs w:val="28"/>
        </w:rPr>
        <w:t>6.3 Medical Conditions</w:t>
      </w:r>
    </w:p>
    <w:p w14:paraId="2536C5F8" w14:textId="5A27614B" w:rsidR="00780D9D" w:rsidRPr="001C7AA1" w:rsidRDefault="00000000" w:rsidP="001C7AA1">
      <w:pPr>
        <w:spacing w:before="80" w:after="80" w:line="360" w:lineRule="auto"/>
        <w:jc w:val="both"/>
        <w:rPr>
          <w:sz w:val="20"/>
          <w:szCs w:val="20"/>
        </w:rPr>
      </w:pPr>
      <w:r w:rsidRPr="001C7AA1">
        <w:rPr>
          <w:sz w:val="20"/>
          <w:szCs w:val="20"/>
        </w:rPr>
        <w:t>All six medical conditions are distributed with near-equal frequency, indicating the network serves a broad clinical spectrum.</w:t>
      </w:r>
    </w:p>
    <w:tbl>
      <w:tblPr>
        <w:tblW w:w="9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9"/>
        <w:gridCol w:w="2909"/>
        <w:gridCol w:w="2909"/>
      </w:tblGrid>
      <w:tr w:rsidR="00780D9D" w:rsidRPr="001C7AA1" w14:paraId="74F4B556" w14:textId="77777777" w:rsidTr="001C7AA1">
        <w:tblPrEx>
          <w:tblCellMar>
            <w:top w:w="0" w:type="dxa"/>
            <w:bottom w:w="0" w:type="dxa"/>
          </w:tblCellMar>
        </w:tblPrEx>
        <w:trPr>
          <w:trHeight w:val="238"/>
          <w:tblHeader/>
        </w:trPr>
        <w:tc>
          <w:tcPr>
            <w:tcW w:w="38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868C" w14:textId="77777777" w:rsidR="00780D9D" w:rsidRPr="001C7AA1" w:rsidRDefault="00000000">
            <w:pPr>
              <w:jc w:val="center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1C7AA1">
              <w:rPr>
                <w:b/>
                <w:bCs/>
                <w:color w:val="1F3864" w:themeColor="accent1" w:themeShade="80"/>
                <w:sz w:val="20"/>
                <w:szCs w:val="20"/>
              </w:rPr>
              <w:t>Medical Condition</w:t>
            </w:r>
          </w:p>
        </w:tc>
        <w:tc>
          <w:tcPr>
            <w:tcW w:w="2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7F55" w14:textId="77777777" w:rsidR="00780D9D" w:rsidRPr="001C7AA1" w:rsidRDefault="00000000">
            <w:pPr>
              <w:jc w:val="center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1C7AA1">
              <w:rPr>
                <w:b/>
                <w:bCs/>
                <w:color w:val="1F3864" w:themeColor="accent1" w:themeShade="80"/>
                <w:sz w:val="20"/>
                <w:szCs w:val="20"/>
              </w:rPr>
              <w:t>Patient Count</w:t>
            </w:r>
          </w:p>
        </w:tc>
        <w:tc>
          <w:tcPr>
            <w:tcW w:w="2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8484" w14:textId="77777777" w:rsidR="00780D9D" w:rsidRPr="001C7AA1" w:rsidRDefault="00000000">
            <w:pPr>
              <w:jc w:val="center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1C7AA1">
              <w:rPr>
                <w:b/>
                <w:bCs/>
                <w:color w:val="1F3864" w:themeColor="accent1" w:themeShade="80"/>
                <w:sz w:val="20"/>
                <w:szCs w:val="20"/>
              </w:rPr>
              <w:t>% Share</w:t>
            </w:r>
          </w:p>
        </w:tc>
      </w:tr>
      <w:tr w:rsidR="00780D9D" w:rsidRPr="001C7AA1" w14:paraId="7FF2BE89" w14:textId="77777777" w:rsidTr="001C7AA1">
        <w:tblPrEx>
          <w:tblCellMar>
            <w:top w:w="0" w:type="dxa"/>
            <w:bottom w:w="0" w:type="dxa"/>
          </w:tblCellMar>
        </w:tblPrEx>
        <w:trPr>
          <w:trHeight w:val="363"/>
        </w:trPr>
        <w:tc>
          <w:tcPr>
            <w:tcW w:w="38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87F8" w14:textId="77777777" w:rsidR="00780D9D" w:rsidRPr="001C7AA1" w:rsidRDefault="00000000" w:rsidP="001C7AA1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C7AA1">
              <w:rPr>
                <w:color w:val="000000" w:themeColor="text1"/>
                <w:sz w:val="20"/>
                <w:szCs w:val="20"/>
              </w:rPr>
              <w:t>Arthritis</w:t>
            </w:r>
          </w:p>
        </w:tc>
        <w:tc>
          <w:tcPr>
            <w:tcW w:w="2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2C4E" w14:textId="77777777" w:rsidR="00780D9D" w:rsidRPr="001C7AA1" w:rsidRDefault="00000000" w:rsidP="001C7AA1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C7AA1">
              <w:rPr>
                <w:color w:val="000000" w:themeColor="text1"/>
                <w:sz w:val="20"/>
                <w:szCs w:val="20"/>
              </w:rPr>
              <w:t>9,308</w:t>
            </w:r>
          </w:p>
        </w:tc>
        <w:tc>
          <w:tcPr>
            <w:tcW w:w="2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85E1" w14:textId="77777777" w:rsidR="00780D9D" w:rsidRPr="001C7AA1" w:rsidRDefault="00000000" w:rsidP="001C7AA1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C7AA1">
              <w:rPr>
                <w:color w:val="000000" w:themeColor="text1"/>
                <w:sz w:val="20"/>
                <w:szCs w:val="20"/>
              </w:rPr>
              <w:t>16.77%</w:t>
            </w:r>
          </w:p>
        </w:tc>
      </w:tr>
      <w:tr w:rsidR="00780D9D" w:rsidRPr="001C7AA1" w14:paraId="455A96EE" w14:textId="77777777" w:rsidTr="001C7AA1">
        <w:tblPrEx>
          <w:tblCellMar>
            <w:top w:w="0" w:type="dxa"/>
            <w:bottom w:w="0" w:type="dxa"/>
          </w:tblCellMar>
        </w:tblPrEx>
        <w:trPr>
          <w:trHeight w:val="363"/>
        </w:trPr>
        <w:tc>
          <w:tcPr>
            <w:tcW w:w="38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77A5" w14:textId="77777777" w:rsidR="00780D9D" w:rsidRPr="001C7AA1" w:rsidRDefault="00000000" w:rsidP="001C7AA1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C7AA1">
              <w:rPr>
                <w:color w:val="000000" w:themeColor="text1"/>
                <w:sz w:val="20"/>
                <w:szCs w:val="20"/>
              </w:rPr>
              <w:t>Diabetes</w:t>
            </w:r>
          </w:p>
        </w:tc>
        <w:tc>
          <w:tcPr>
            <w:tcW w:w="2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C1BE" w14:textId="77777777" w:rsidR="00780D9D" w:rsidRPr="001C7AA1" w:rsidRDefault="00000000" w:rsidP="001C7AA1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C7AA1">
              <w:rPr>
                <w:color w:val="000000" w:themeColor="text1"/>
                <w:sz w:val="20"/>
                <w:szCs w:val="20"/>
              </w:rPr>
              <w:t>9,304</w:t>
            </w:r>
          </w:p>
        </w:tc>
        <w:tc>
          <w:tcPr>
            <w:tcW w:w="2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76D5" w14:textId="77777777" w:rsidR="00780D9D" w:rsidRPr="001C7AA1" w:rsidRDefault="00000000" w:rsidP="001C7AA1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C7AA1">
              <w:rPr>
                <w:color w:val="000000" w:themeColor="text1"/>
                <w:sz w:val="20"/>
                <w:szCs w:val="20"/>
              </w:rPr>
              <w:t>16.76%</w:t>
            </w:r>
          </w:p>
        </w:tc>
      </w:tr>
      <w:tr w:rsidR="00780D9D" w:rsidRPr="001C7AA1" w14:paraId="3AF51EE7" w14:textId="77777777" w:rsidTr="001C7AA1">
        <w:tblPrEx>
          <w:tblCellMar>
            <w:top w:w="0" w:type="dxa"/>
            <w:bottom w:w="0" w:type="dxa"/>
          </w:tblCellMar>
        </w:tblPrEx>
        <w:trPr>
          <w:trHeight w:val="352"/>
        </w:trPr>
        <w:tc>
          <w:tcPr>
            <w:tcW w:w="38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023A" w14:textId="77777777" w:rsidR="00780D9D" w:rsidRPr="001C7AA1" w:rsidRDefault="00000000" w:rsidP="001C7AA1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C7AA1">
              <w:rPr>
                <w:color w:val="000000" w:themeColor="text1"/>
                <w:sz w:val="20"/>
                <w:szCs w:val="20"/>
              </w:rPr>
              <w:t>Hypertension</w:t>
            </w:r>
          </w:p>
        </w:tc>
        <w:tc>
          <w:tcPr>
            <w:tcW w:w="2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35C5" w14:textId="77777777" w:rsidR="00780D9D" w:rsidRPr="001C7AA1" w:rsidRDefault="00000000" w:rsidP="001C7AA1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C7AA1">
              <w:rPr>
                <w:color w:val="000000" w:themeColor="text1"/>
                <w:sz w:val="20"/>
                <w:szCs w:val="20"/>
              </w:rPr>
              <w:t>9,245</w:t>
            </w:r>
          </w:p>
        </w:tc>
        <w:tc>
          <w:tcPr>
            <w:tcW w:w="2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CA72" w14:textId="77777777" w:rsidR="00780D9D" w:rsidRPr="001C7AA1" w:rsidRDefault="00000000" w:rsidP="001C7AA1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C7AA1">
              <w:rPr>
                <w:color w:val="000000" w:themeColor="text1"/>
                <w:sz w:val="20"/>
                <w:szCs w:val="20"/>
              </w:rPr>
              <w:t>16.66%</w:t>
            </w:r>
          </w:p>
        </w:tc>
      </w:tr>
      <w:tr w:rsidR="00780D9D" w:rsidRPr="001C7AA1" w14:paraId="70B773CC" w14:textId="77777777" w:rsidTr="001C7AA1">
        <w:tblPrEx>
          <w:tblCellMar>
            <w:top w:w="0" w:type="dxa"/>
            <w:bottom w:w="0" w:type="dxa"/>
          </w:tblCellMar>
        </w:tblPrEx>
        <w:trPr>
          <w:trHeight w:val="363"/>
        </w:trPr>
        <w:tc>
          <w:tcPr>
            <w:tcW w:w="38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5331" w14:textId="77777777" w:rsidR="00780D9D" w:rsidRPr="001C7AA1" w:rsidRDefault="00000000" w:rsidP="001C7AA1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C7AA1">
              <w:rPr>
                <w:color w:val="000000" w:themeColor="text1"/>
                <w:sz w:val="20"/>
                <w:szCs w:val="20"/>
              </w:rPr>
              <w:t>Obesity</w:t>
            </w:r>
          </w:p>
        </w:tc>
        <w:tc>
          <w:tcPr>
            <w:tcW w:w="2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5F63" w14:textId="77777777" w:rsidR="00780D9D" w:rsidRPr="001C7AA1" w:rsidRDefault="00000000" w:rsidP="001C7AA1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C7AA1">
              <w:rPr>
                <w:color w:val="000000" w:themeColor="text1"/>
                <w:sz w:val="20"/>
                <w:szCs w:val="20"/>
              </w:rPr>
              <w:t>9,231</w:t>
            </w:r>
          </w:p>
        </w:tc>
        <w:tc>
          <w:tcPr>
            <w:tcW w:w="2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119D" w14:textId="77777777" w:rsidR="00780D9D" w:rsidRPr="001C7AA1" w:rsidRDefault="00000000" w:rsidP="001C7AA1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C7AA1">
              <w:rPr>
                <w:color w:val="000000" w:themeColor="text1"/>
                <w:sz w:val="20"/>
                <w:szCs w:val="20"/>
              </w:rPr>
              <w:t>16.63%</w:t>
            </w:r>
          </w:p>
        </w:tc>
      </w:tr>
      <w:tr w:rsidR="00780D9D" w:rsidRPr="001C7AA1" w14:paraId="7FFB3152" w14:textId="77777777" w:rsidTr="001C7AA1">
        <w:tblPrEx>
          <w:tblCellMar>
            <w:top w:w="0" w:type="dxa"/>
            <w:bottom w:w="0" w:type="dxa"/>
          </w:tblCellMar>
        </w:tblPrEx>
        <w:trPr>
          <w:trHeight w:val="363"/>
        </w:trPr>
        <w:tc>
          <w:tcPr>
            <w:tcW w:w="38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490E" w14:textId="77777777" w:rsidR="00780D9D" w:rsidRPr="001C7AA1" w:rsidRDefault="00000000" w:rsidP="001C7AA1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C7AA1">
              <w:rPr>
                <w:color w:val="000000" w:themeColor="text1"/>
                <w:sz w:val="20"/>
                <w:szCs w:val="20"/>
              </w:rPr>
              <w:t>Cancer</w:t>
            </w:r>
          </w:p>
        </w:tc>
        <w:tc>
          <w:tcPr>
            <w:tcW w:w="2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6B57" w14:textId="77777777" w:rsidR="00780D9D" w:rsidRPr="001C7AA1" w:rsidRDefault="00000000" w:rsidP="001C7AA1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C7AA1">
              <w:rPr>
                <w:color w:val="000000" w:themeColor="text1"/>
                <w:sz w:val="20"/>
                <w:szCs w:val="20"/>
              </w:rPr>
              <w:t>9,227</w:t>
            </w:r>
          </w:p>
        </w:tc>
        <w:tc>
          <w:tcPr>
            <w:tcW w:w="2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A67F" w14:textId="77777777" w:rsidR="00780D9D" w:rsidRPr="001C7AA1" w:rsidRDefault="00000000" w:rsidP="001C7AA1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C7AA1">
              <w:rPr>
                <w:color w:val="000000" w:themeColor="text1"/>
                <w:sz w:val="20"/>
                <w:szCs w:val="20"/>
              </w:rPr>
              <w:t>16.62%</w:t>
            </w:r>
          </w:p>
        </w:tc>
      </w:tr>
      <w:tr w:rsidR="00780D9D" w:rsidRPr="001C7AA1" w14:paraId="10433472" w14:textId="77777777" w:rsidTr="001C7AA1">
        <w:tblPrEx>
          <w:tblCellMar>
            <w:top w:w="0" w:type="dxa"/>
            <w:bottom w:w="0" w:type="dxa"/>
          </w:tblCellMar>
        </w:tblPrEx>
        <w:trPr>
          <w:trHeight w:val="363"/>
        </w:trPr>
        <w:tc>
          <w:tcPr>
            <w:tcW w:w="38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192A" w14:textId="77777777" w:rsidR="00780D9D" w:rsidRPr="001C7AA1" w:rsidRDefault="00000000" w:rsidP="001C7AA1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C7AA1">
              <w:rPr>
                <w:color w:val="000000" w:themeColor="text1"/>
                <w:sz w:val="20"/>
                <w:szCs w:val="20"/>
              </w:rPr>
              <w:t>Asthma</w:t>
            </w:r>
          </w:p>
        </w:tc>
        <w:tc>
          <w:tcPr>
            <w:tcW w:w="2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3C32" w14:textId="77777777" w:rsidR="00780D9D" w:rsidRPr="001C7AA1" w:rsidRDefault="00000000" w:rsidP="001C7AA1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C7AA1">
              <w:rPr>
                <w:color w:val="000000" w:themeColor="text1"/>
                <w:sz w:val="20"/>
                <w:szCs w:val="20"/>
              </w:rPr>
              <w:t>9,185</w:t>
            </w:r>
          </w:p>
        </w:tc>
        <w:tc>
          <w:tcPr>
            <w:tcW w:w="2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1F23" w14:textId="77777777" w:rsidR="00780D9D" w:rsidRPr="001C7AA1" w:rsidRDefault="00000000" w:rsidP="001C7AA1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C7AA1">
              <w:rPr>
                <w:color w:val="000000" w:themeColor="text1"/>
                <w:sz w:val="20"/>
                <w:szCs w:val="20"/>
              </w:rPr>
              <w:t>16.55%</w:t>
            </w:r>
          </w:p>
        </w:tc>
      </w:tr>
    </w:tbl>
    <w:p w14:paraId="7D3FABC3" w14:textId="77777777" w:rsidR="00780D9D" w:rsidRDefault="00780D9D">
      <w:pPr>
        <w:spacing w:before="140"/>
      </w:pPr>
    </w:p>
    <w:p w14:paraId="0EAD5A71" w14:textId="77777777" w:rsidR="00780D9D" w:rsidRPr="00971E2C" w:rsidRDefault="00000000" w:rsidP="00971E2C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971E2C">
        <w:rPr>
          <w:rFonts w:ascii="Cambria" w:hAnsi="Cambria"/>
          <w:color w:val="2F5496" w:themeColor="accent1" w:themeShade="BF"/>
          <w:sz w:val="28"/>
          <w:szCs w:val="28"/>
        </w:rPr>
        <w:lastRenderedPageBreak/>
        <w:t>6.4 Admission Type Breakdown</w:t>
      </w:r>
    </w:p>
    <w:p w14:paraId="2B736B9B" w14:textId="77777777" w:rsidR="00780D9D" w:rsidRPr="001C7AA1" w:rsidRDefault="00000000" w:rsidP="001C7AA1">
      <w:pPr>
        <w:spacing w:before="80" w:after="80" w:line="360" w:lineRule="auto"/>
        <w:jc w:val="both"/>
        <w:rPr>
          <w:sz w:val="20"/>
          <w:szCs w:val="20"/>
        </w:rPr>
      </w:pPr>
      <w:r w:rsidRPr="001C7AA1">
        <w:rPr>
          <w:sz w:val="20"/>
          <w:szCs w:val="20"/>
        </w:rPr>
        <w:t>Emergency: 18,269 patients (32.9%)</w:t>
      </w:r>
    </w:p>
    <w:p w14:paraId="05F3E8E3" w14:textId="77777777" w:rsidR="00780D9D" w:rsidRPr="001C7AA1" w:rsidRDefault="00000000" w:rsidP="001C7AA1">
      <w:pPr>
        <w:spacing w:before="80" w:after="80" w:line="360" w:lineRule="auto"/>
        <w:jc w:val="both"/>
        <w:rPr>
          <w:sz w:val="20"/>
          <w:szCs w:val="20"/>
        </w:rPr>
      </w:pPr>
      <w:r w:rsidRPr="001C7AA1">
        <w:rPr>
          <w:sz w:val="20"/>
          <w:szCs w:val="20"/>
        </w:rPr>
        <w:t>Urgent: 18,576 patients (33.5%)</w:t>
      </w:r>
    </w:p>
    <w:p w14:paraId="7939FC31" w14:textId="77777777" w:rsidR="00780D9D" w:rsidRPr="001C7AA1" w:rsidRDefault="00000000" w:rsidP="001C7AA1">
      <w:pPr>
        <w:spacing w:before="80" w:after="80" w:line="360" w:lineRule="auto"/>
        <w:jc w:val="both"/>
        <w:rPr>
          <w:sz w:val="20"/>
          <w:szCs w:val="20"/>
        </w:rPr>
      </w:pPr>
      <w:r w:rsidRPr="001C7AA1">
        <w:rPr>
          <w:sz w:val="20"/>
          <w:szCs w:val="20"/>
        </w:rPr>
        <w:t>Elective: 18,655 patients (33.6%)</w:t>
      </w:r>
    </w:p>
    <w:p w14:paraId="408CD8B0" w14:textId="77777777" w:rsidR="00780D9D" w:rsidRPr="001C7AA1" w:rsidRDefault="00000000" w:rsidP="001C7AA1">
      <w:pPr>
        <w:spacing w:before="80" w:after="80" w:line="360" w:lineRule="auto"/>
        <w:jc w:val="both"/>
        <w:rPr>
          <w:sz w:val="20"/>
          <w:szCs w:val="20"/>
        </w:rPr>
      </w:pPr>
      <w:r w:rsidRPr="001C7AA1">
        <w:rPr>
          <w:sz w:val="20"/>
          <w:szCs w:val="20"/>
        </w:rPr>
        <w:t>The near-equal distribution indicates a well-balanced intake system. Combined Emergency and Urgent cases (66.4%) highlight the need for strong emergency readiness.</w:t>
      </w:r>
    </w:p>
    <w:p w14:paraId="1EFED92C" w14:textId="6B929D6E" w:rsidR="00780D9D" w:rsidRPr="00971E2C" w:rsidRDefault="00000000" w:rsidP="00971E2C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971E2C">
        <w:rPr>
          <w:rFonts w:ascii="Cambria" w:hAnsi="Cambria"/>
          <w:color w:val="2F5496" w:themeColor="accent1" w:themeShade="BF"/>
          <w:sz w:val="28"/>
          <w:szCs w:val="28"/>
        </w:rPr>
        <w:t>6.5 Insurance Provider Analysis</w:t>
      </w:r>
    </w:p>
    <w:tbl>
      <w:tblPr>
        <w:tblW w:w="9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7"/>
        <w:gridCol w:w="2885"/>
        <w:gridCol w:w="2885"/>
      </w:tblGrid>
      <w:tr w:rsidR="00780D9D" w14:paraId="20B6656E" w14:textId="77777777" w:rsidTr="001C7AA1">
        <w:tblPrEx>
          <w:tblCellMar>
            <w:top w:w="0" w:type="dxa"/>
            <w:bottom w:w="0" w:type="dxa"/>
          </w:tblCellMar>
        </w:tblPrEx>
        <w:trPr>
          <w:trHeight w:val="230"/>
          <w:tblHeader/>
        </w:trPr>
        <w:tc>
          <w:tcPr>
            <w:tcW w:w="38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2927" w14:textId="77777777" w:rsidR="00780D9D" w:rsidRPr="001C7AA1" w:rsidRDefault="00000000">
            <w:pPr>
              <w:jc w:val="center"/>
              <w:rPr>
                <w:color w:val="1F3864" w:themeColor="accent1" w:themeShade="80"/>
              </w:rPr>
            </w:pPr>
            <w:r w:rsidRPr="001C7AA1">
              <w:rPr>
                <w:b/>
                <w:bCs/>
                <w:color w:val="1F3864" w:themeColor="accent1" w:themeShade="80"/>
                <w:sz w:val="20"/>
                <w:szCs w:val="20"/>
              </w:rPr>
              <w:t>Insurance Provider</w:t>
            </w:r>
          </w:p>
        </w:tc>
        <w:tc>
          <w:tcPr>
            <w:tcW w:w="28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918A" w14:textId="77777777" w:rsidR="00780D9D" w:rsidRPr="001C7AA1" w:rsidRDefault="00000000">
            <w:pPr>
              <w:jc w:val="center"/>
              <w:rPr>
                <w:color w:val="1F3864" w:themeColor="accent1" w:themeShade="80"/>
              </w:rPr>
            </w:pPr>
            <w:r w:rsidRPr="001C7AA1">
              <w:rPr>
                <w:b/>
                <w:bCs/>
                <w:color w:val="1F3864" w:themeColor="accent1" w:themeShade="80"/>
                <w:sz w:val="20"/>
                <w:szCs w:val="20"/>
              </w:rPr>
              <w:t>Patient Count</w:t>
            </w:r>
          </w:p>
        </w:tc>
        <w:tc>
          <w:tcPr>
            <w:tcW w:w="28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22D6" w14:textId="77777777" w:rsidR="00780D9D" w:rsidRPr="001C7AA1" w:rsidRDefault="00000000">
            <w:pPr>
              <w:jc w:val="center"/>
              <w:rPr>
                <w:color w:val="1F3864" w:themeColor="accent1" w:themeShade="80"/>
              </w:rPr>
            </w:pPr>
            <w:r w:rsidRPr="001C7AA1">
              <w:rPr>
                <w:b/>
                <w:bCs/>
                <w:color w:val="1F3864" w:themeColor="accent1" w:themeShade="80"/>
                <w:sz w:val="20"/>
                <w:szCs w:val="20"/>
              </w:rPr>
              <w:t>% Share</w:t>
            </w:r>
          </w:p>
        </w:tc>
      </w:tr>
      <w:tr w:rsidR="00780D9D" w14:paraId="21479C3E" w14:textId="77777777" w:rsidTr="001C7AA1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38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DFD7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Cigna</w:t>
            </w:r>
          </w:p>
        </w:tc>
        <w:tc>
          <w:tcPr>
            <w:tcW w:w="28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FB64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11,249</w:t>
            </w:r>
          </w:p>
        </w:tc>
        <w:tc>
          <w:tcPr>
            <w:tcW w:w="28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25B0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20.27%</w:t>
            </w:r>
          </w:p>
        </w:tc>
      </w:tr>
      <w:tr w:rsidR="00780D9D" w14:paraId="00099695" w14:textId="77777777" w:rsidTr="001C7AA1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38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BF0E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Medicare</w:t>
            </w:r>
          </w:p>
        </w:tc>
        <w:tc>
          <w:tcPr>
            <w:tcW w:w="28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4F55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11,154</w:t>
            </w:r>
          </w:p>
        </w:tc>
        <w:tc>
          <w:tcPr>
            <w:tcW w:w="28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4227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20.10%</w:t>
            </w:r>
          </w:p>
        </w:tc>
      </w:tr>
      <w:tr w:rsidR="00780D9D" w14:paraId="5809CF35" w14:textId="77777777" w:rsidTr="001C7AA1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38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7F64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UnitedHealthcare</w:t>
            </w:r>
          </w:p>
        </w:tc>
        <w:tc>
          <w:tcPr>
            <w:tcW w:w="28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C7B8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11,125</w:t>
            </w:r>
          </w:p>
        </w:tc>
        <w:tc>
          <w:tcPr>
            <w:tcW w:w="28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9B4F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20.05%</w:t>
            </w:r>
          </w:p>
        </w:tc>
      </w:tr>
      <w:tr w:rsidR="00780D9D" w14:paraId="794FD35B" w14:textId="77777777" w:rsidTr="001C7AA1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38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1639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Blue Cross</w:t>
            </w:r>
          </w:p>
        </w:tc>
        <w:tc>
          <w:tcPr>
            <w:tcW w:w="28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46BF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11,059</w:t>
            </w:r>
          </w:p>
        </w:tc>
        <w:tc>
          <w:tcPr>
            <w:tcW w:w="28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F683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19.93%</w:t>
            </w:r>
          </w:p>
        </w:tc>
      </w:tr>
      <w:tr w:rsidR="00780D9D" w14:paraId="55225881" w14:textId="77777777" w:rsidTr="001C7AA1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38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4D1D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Aetna</w:t>
            </w:r>
          </w:p>
        </w:tc>
        <w:tc>
          <w:tcPr>
            <w:tcW w:w="28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F92D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10,913</w:t>
            </w:r>
          </w:p>
        </w:tc>
        <w:tc>
          <w:tcPr>
            <w:tcW w:w="28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EA31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19.66%</w:t>
            </w:r>
          </w:p>
        </w:tc>
      </w:tr>
    </w:tbl>
    <w:p w14:paraId="21AA2CA0" w14:textId="77777777" w:rsidR="00780D9D" w:rsidRPr="001C7AA1" w:rsidRDefault="00000000" w:rsidP="001C7AA1">
      <w:pPr>
        <w:spacing w:before="80" w:after="80" w:line="360" w:lineRule="auto"/>
        <w:jc w:val="both"/>
        <w:rPr>
          <w:sz w:val="20"/>
          <w:szCs w:val="20"/>
        </w:rPr>
      </w:pPr>
      <w:r w:rsidRPr="001C7AA1">
        <w:rPr>
          <w:sz w:val="20"/>
          <w:szCs w:val="20"/>
        </w:rPr>
        <w:t>All five providers have near-identical volumes, ensuring a diversified and balanced payer mix for the network.</w:t>
      </w:r>
    </w:p>
    <w:p w14:paraId="187EAED9" w14:textId="77777777" w:rsidR="00780D9D" w:rsidRDefault="00780D9D">
      <w:pPr>
        <w:spacing w:before="140"/>
      </w:pPr>
    </w:p>
    <w:p w14:paraId="47A55D22" w14:textId="1D03E829" w:rsidR="00780D9D" w:rsidRPr="001C7AA1" w:rsidRDefault="00000000" w:rsidP="001C7AA1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971E2C">
        <w:rPr>
          <w:rFonts w:ascii="Cambria" w:hAnsi="Cambria"/>
          <w:color w:val="2F5496" w:themeColor="accent1" w:themeShade="BF"/>
          <w:sz w:val="28"/>
          <w:szCs w:val="28"/>
        </w:rPr>
        <w:t>6.6 Age Group Distribution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5040"/>
      </w:tblGrid>
      <w:tr w:rsidR="00780D9D" w14:paraId="3BCE5C07" w14:textId="77777777" w:rsidTr="001C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C9CE" w14:textId="77777777" w:rsidR="00780D9D" w:rsidRPr="001C7AA1" w:rsidRDefault="00000000">
            <w:pPr>
              <w:jc w:val="center"/>
              <w:rPr>
                <w:color w:val="1F3864" w:themeColor="accent1" w:themeShade="80"/>
              </w:rPr>
            </w:pPr>
            <w:r w:rsidRPr="001C7AA1">
              <w:rPr>
                <w:b/>
                <w:bCs/>
                <w:color w:val="1F3864" w:themeColor="accent1" w:themeShade="80"/>
              </w:rPr>
              <w:t>Age Group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9F41" w14:textId="77777777" w:rsidR="00780D9D" w:rsidRPr="001C7AA1" w:rsidRDefault="00000000">
            <w:pPr>
              <w:jc w:val="center"/>
              <w:rPr>
                <w:color w:val="1F3864" w:themeColor="accent1" w:themeShade="80"/>
              </w:rPr>
            </w:pPr>
            <w:r w:rsidRPr="001C7AA1">
              <w:rPr>
                <w:b/>
                <w:bCs/>
                <w:color w:val="1F3864" w:themeColor="accent1" w:themeShade="80"/>
              </w:rPr>
              <w:t>Patient Count</w:t>
            </w:r>
          </w:p>
        </w:tc>
      </w:tr>
      <w:tr w:rsidR="00780D9D" w14:paraId="7ABE3445" w14:textId="77777777" w:rsidTr="001C7AA1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4318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0-20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E5A7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2,443</w:t>
            </w:r>
          </w:p>
        </w:tc>
      </w:tr>
      <w:tr w:rsidR="00780D9D" w14:paraId="2851CB10" w14:textId="77777777" w:rsidTr="001C7AA1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3DF7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21-30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1329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8,056</w:t>
            </w:r>
          </w:p>
        </w:tc>
      </w:tr>
      <w:tr w:rsidR="00780D9D" w14:paraId="30CF4C46" w14:textId="77777777" w:rsidTr="001C7AA1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DD02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31-40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83E9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8,125</w:t>
            </w:r>
          </w:p>
        </w:tc>
      </w:tr>
      <w:tr w:rsidR="00780D9D" w14:paraId="63634BDC" w14:textId="77777777" w:rsidTr="001C7AA1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EFF9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41-50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F56D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8,209</w:t>
            </w:r>
          </w:p>
        </w:tc>
      </w:tr>
      <w:tr w:rsidR="00780D9D" w14:paraId="16A5C1E5" w14:textId="77777777" w:rsidTr="001C7AA1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1B19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51-60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88AB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8,297</w:t>
            </w:r>
          </w:p>
        </w:tc>
      </w:tr>
      <w:tr w:rsidR="00780D9D" w14:paraId="221EBEB3" w14:textId="77777777" w:rsidTr="001C7AA1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2363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61-70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8BD2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8,228</w:t>
            </w:r>
          </w:p>
        </w:tc>
      </w:tr>
      <w:tr w:rsidR="00780D9D" w14:paraId="5307075D" w14:textId="77777777" w:rsidTr="001C7AA1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6907A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71+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5BAF" w14:textId="77777777" w:rsidR="00780D9D" w:rsidRDefault="00000000" w:rsidP="001C7AA1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12,142</w:t>
            </w:r>
          </w:p>
        </w:tc>
      </w:tr>
    </w:tbl>
    <w:p w14:paraId="4FB25CDE" w14:textId="77777777" w:rsidR="00780D9D" w:rsidRPr="001C7AA1" w:rsidRDefault="00000000" w:rsidP="001C7AA1">
      <w:pPr>
        <w:spacing w:before="80" w:after="80" w:line="360" w:lineRule="auto"/>
        <w:jc w:val="both"/>
        <w:rPr>
          <w:sz w:val="20"/>
          <w:szCs w:val="20"/>
        </w:rPr>
      </w:pPr>
      <w:r w:rsidRPr="001C7AA1">
        <w:rPr>
          <w:sz w:val="20"/>
          <w:szCs w:val="20"/>
        </w:rPr>
        <w:t>The 71+ age group is the single largest patient segment, underscoring elder care as a critical operational priority.</w:t>
      </w:r>
    </w:p>
    <w:p w14:paraId="08A18193" w14:textId="77777777" w:rsidR="00780D9D" w:rsidRPr="001C7AA1" w:rsidRDefault="00780D9D" w:rsidP="001C7AA1">
      <w:pPr>
        <w:spacing w:before="80" w:after="80" w:line="360" w:lineRule="auto"/>
        <w:jc w:val="both"/>
        <w:rPr>
          <w:sz w:val="20"/>
          <w:szCs w:val="20"/>
        </w:rPr>
      </w:pPr>
    </w:p>
    <w:p w14:paraId="36F49E79" w14:textId="77777777" w:rsidR="00780D9D" w:rsidRPr="00971E2C" w:rsidRDefault="00000000" w:rsidP="00971E2C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971E2C">
        <w:rPr>
          <w:rFonts w:ascii="Cambria" w:hAnsi="Cambria"/>
          <w:color w:val="2F5496" w:themeColor="accent1" w:themeShade="BF"/>
          <w:sz w:val="28"/>
          <w:szCs w:val="28"/>
        </w:rPr>
        <w:lastRenderedPageBreak/>
        <w:t>6.7 Medication and Test Results</w:t>
      </w:r>
    </w:p>
    <w:p w14:paraId="61705907" w14:textId="77777777" w:rsidR="00780D9D" w:rsidRPr="001C7AA1" w:rsidRDefault="00000000" w:rsidP="001C7AA1">
      <w:pPr>
        <w:spacing w:before="80" w:after="80" w:line="360" w:lineRule="auto"/>
        <w:jc w:val="both"/>
        <w:rPr>
          <w:sz w:val="20"/>
          <w:szCs w:val="20"/>
        </w:rPr>
      </w:pPr>
      <w:r w:rsidRPr="001C7AA1">
        <w:rPr>
          <w:sz w:val="20"/>
          <w:szCs w:val="20"/>
        </w:rPr>
        <w:t>All five medications are prescribed at near-uniform frequency: Lipitor (11,140), Ibuprofen (11,127), Aspirin (11,094), Paracetamol (11,071), Penicillin (11,068).</w:t>
      </w:r>
    </w:p>
    <w:p w14:paraId="2E144FEA" w14:textId="77777777" w:rsidR="00780D9D" w:rsidRPr="001C7AA1" w:rsidRDefault="00000000" w:rsidP="001C7AA1">
      <w:pPr>
        <w:spacing w:before="80" w:after="80" w:line="360" w:lineRule="auto"/>
        <w:jc w:val="both"/>
        <w:rPr>
          <w:sz w:val="20"/>
          <w:szCs w:val="20"/>
        </w:rPr>
      </w:pPr>
      <w:r w:rsidRPr="001C7AA1">
        <w:rPr>
          <w:sz w:val="20"/>
          <w:szCs w:val="20"/>
        </w:rPr>
        <w:t>Test result breakdown: Abnormal 18,627 (33.6%), Normal 18,517 (33.4%), Inconclusive 18,356 (33.1%). The high Abnormal and Inconclusive rates warrant structured clinical follow-up protocols.</w:t>
      </w:r>
    </w:p>
    <w:p w14:paraId="5C4A8CD6" w14:textId="77777777" w:rsidR="00780D9D" w:rsidRPr="00971E2C" w:rsidRDefault="00000000" w:rsidP="00971E2C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971E2C">
        <w:rPr>
          <w:rFonts w:ascii="Cambria" w:hAnsi="Cambria"/>
          <w:color w:val="2F5496" w:themeColor="accent1" w:themeShade="BF"/>
          <w:sz w:val="28"/>
          <w:szCs w:val="28"/>
        </w:rPr>
        <w:t>6.8 Hospital and Doctor Performance</w:t>
      </w:r>
    </w:p>
    <w:p w14:paraId="3309DCDD" w14:textId="77777777" w:rsidR="00780D9D" w:rsidRPr="001C7AA1" w:rsidRDefault="00000000" w:rsidP="001C7AA1">
      <w:pPr>
        <w:spacing w:before="80" w:after="80" w:line="360" w:lineRule="auto"/>
        <w:jc w:val="both"/>
        <w:rPr>
          <w:sz w:val="20"/>
          <w:szCs w:val="20"/>
        </w:rPr>
      </w:pPr>
      <w:r w:rsidRPr="001C7AA1">
        <w:rPr>
          <w:sz w:val="20"/>
          <w:szCs w:val="20"/>
        </w:rPr>
        <w:t>The top 5 hospitals by patient volume are all part of the Smith network group. Top performing doctors by patient volume include Michael Smith (27 patients), John Smith (22), and Robert Smith (22).</w:t>
      </w:r>
    </w:p>
    <w:p w14:paraId="1C6ACC13" w14:textId="77777777" w:rsidR="00780D9D" w:rsidRDefault="00780D9D">
      <w:pPr>
        <w:spacing w:before="200"/>
      </w:pPr>
    </w:p>
    <w:p w14:paraId="18F1E9A3" w14:textId="77777777" w:rsidR="00C44A17" w:rsidRDefault="00C44A17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</w:p>
    <w:p w14:paraId="7FE8CE03" w14:textId="77777777" w:rsidR="00C44A17" w:rsidRDefault="00C44A17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</w:p>
    <w:p w14:paraId="6EF2284C" w14:textId="77777777" w:rsidR="00C44A17" w:rsidRDefault="00C44A17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</w:p>
    <w:p w14:paraId="4AF39873" w14:textId="77777777" w:rsidR="00C44A17" w:rsidRDefault="00C44A17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</w:p>
    <w:p w14:paraId="02B92E73" w14:textId="77777777" w:rsidR="00C44A17" w:rsidRDefault="00C44A17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</w:p>
    <w:p w14:paraId="1058DC7C" w14:textId="77777777" w:rsidR="00C44A17" w:rsidRDefault="00C44A17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</w:p>
    <w:p w14:paraId="2E6769F7" w14:textId="77777777" w:rsidR="00C44A17" w:rsidRDefault="00C44A17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</w:p>
    <w:p w14:paraId="7FD8E2D2" w14:textId="77777777" w:rsidR="00C44A17" w:rsidRDefault="00C44A17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</w:p>
    <w:p w14:paraId="3448C5EE" w14:textId="77777777" w:rsidR="00C44A17" w:rsidRDefault="00C44A17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</w:p>
    <w:p w14:paraId="6F20B0F2" w14:textId="77777777" w:rsidR="00C44A17" w:rsidRDefault="00C44A17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</w:p>
    <w:p w14:paraId="7DD19E44" w14:textId="77777777" w:rsidR="00C44A17" w:rsidRDefault="00C44A17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</w:p>
    <w:p w14:paraId="51393121" w14:textId="77777777" w:rsidR="00C44A17" w:rsidRDefault="00C44A17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</w:p>
    <w:p w14:paraId="222D5673" w14:textId="77777777" w:rsidR="00C44A17" w:rsidRDefault="00C44A17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</w:p>
    <w:p w14:paraId="61050B93" w14:textId="77777777" w:rsidR="00C44A17" w:rsidRDefault="00C44A17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</w:p>
    <w:p w14:paraId="400B72E2" w14:textId="77777777" w:rsidR="00C44A17" w:rsidRDefault="00C44A17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</w:p>
    <w:p w14:paraId="6A3C4053" w14:textId="77777777" w:rsidR="001C7AA1" w:rsidRDefault="001C7AA1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</w:p>
    <w:p w14:paraId="4823BACF" w14:textId="47BE4A7C" w:rsidR="00780D9D" w:rsidRPr="00971E2C" w:rsidRDefault="00000000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  <w:r w:rsidRPr="00971E2C">
        <w:rPr>
          <w:rFonts w:ascii="Cambria" w:hAnsi="Cambria"/>
          <w:color w:val="1F3864" w:themeColor="accent1" w:themeShade="80"/>
          <w:sz w:val="36"/>
          <w:szCs w:val="36"/>
        </w:rPr>
        <w:lastRenderedPageBreak/>
        <w:t>7. Strategic Recommendations</w:t>
      </w:r>
    </w:p>
    <w:p w14:paraId="1DC28319" w14:textId="77777777" w:rsidR="00780D9D" w:rsidRDefault="00780D9D">
      <w:pPr>
        <w:pBdr>
          <w:bottom w:val="single" w:sz="4" w:space="1" w:color="2E75B6"/>
        </w:pBdr>
        <w:spacing w:before="120" w:after="120"/>
      </w:pPr>
    </w:p>
    <w:p w14:paraId="4A2C1F23" w14:textId="77777777" w:rsidR="00780D9D" w:rsidRPr="00971E2C" w:rsidRDefault="00000000" w:rsidP="00971E2C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971E2C">
        <w:rPr>
          <w:rFonts w:ascii="Cambria" w:hAnsi="Cambria"/>
          <w:color w:val="2F5496" w:themeColor="accent1" w:themeShade="BF"/>
          <w:sz w:val="28"/>
          <w:szCs w:val="28"/>
        </w:rPr>
        <w:t>7.1 Elder Care Investment</w:t>
      </w:r>
    </w:p>
    <w:p w14:paraId="19B35F61" w14:textId="4BF65972" w:rsidR="00780D9D" w:rsidRPr="00C44A17" w:rsidRDefault="00000000" w:rsidP="00C44A1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0"/>
          <w:szCs w:val="20"/>
        </w:rPr>
      </w:pPr>
      <w:r w:rsidRPr="00C44A17">
        <w:rPr>
          <w:sz w:val="20"/>
          <w:szCs w:val="20"/>
        </w:rPr>
        <w:t xml:space="preserve">With 71+ representing the largest segment (12,142 patients), </w:t>
      </w:r>
      <w:r w:rsidR="00C44A17">
        <w:rPr>
          <w:sz w:val="20"/>
          <w:szCs w:val="20"/>
        </w:rPr>
        <w:t>prioritise</w:t>
      </w:r>
      <w:r w:rsidRPr="00C44A17">
        <w:rPr>
          <w:sz w:val="20"/>
          <w:szCs w:val="20"/>
        </w:rPr>
        <w:t xml:space="preserve"> geriatric wards, specialist hiring, and elder-focused care pathways.</w:t>
      </w:r>
    </w:p>
    <w:p w14:paraId="115EC1AA" w14:textId="77777777" w:rsidR="00780D9D" w:rsidRPr="00971E2C" w:rsidRDefault="00000000" w:rsidP="00971E2C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971E2C">
        <w:rPr>
          <w:rFonts w:ascii="Cambria" w:hAnsi="Cambria"/>
          <w:color w:val="2F5496" w:themeColor="accent1" w:themeShade="BF"/>
          <w:sz w:val="28"/>
          <w:szCs w:val="28"/>
        </w:rPr>
        <w:t>7.2 Emergency Readiness</w:t>
      </w:r>
    </w:p>
    <w:p w14:paraId="7B385DC9" w14:textId="77777777" w:rsidR="00780D9D" w:rsidRPr="00C44A17" w:rsidRDefault="00000000" w:rsidP="00C44A1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0"/>
          <w:szCs w:val="20"/>
        </w:rPr>
      </w:pPr>
      <w:r w:rsidRPr="00C44A17">
        <w:rPr>
          <w:sz w:val="20"/>
          <w:szCs w:val="20"/>
        </w:rPr>
        <w:t>66.4% of admissions are Emergency or Urgent. Ensure 24/7 staffing, adequate ICU capacity, and emergency supply chain robustness.</w:t>
      </w:r>
    </w:p>
    <w:p w14:paraId="3C72EFB7" w14:textId="77777777" w:rsidR="00780D9D" w:rsidRPr="00971E2C" w:rsidRDefault="00000000" w:rsidP="00971E2C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971E2C">
        <w:rPr>
          <w:rFonts w:ascii="Cambria" w:hAnsi="Cambria"/>
          <w:color w:val="2F5496" w:themeColor="accent1" w:themeShade="BF"/>
          <w:sz w:val="28"/>
          <w:szCs w:val="28"/>
        </w:rPr>
        <w:t>7.3 Insurance Payer Strategy</w:t>
      </w:r>
    </w:p>
    <w:p w14:paraId="20631786" w14:textId="77777777" w:rsidR="00780D9D" w:rsidRPr="00C44A17" w:rsidRDefault="00000000" w:rsidP="00C44A1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0"/>
          <w:szCs w:val="20"/>
        </w:rPr>
      </w:pPr>
      <w:r w:rsidRPr="00C44A17">
        <w:rPr>
          <w:sz w:val="20"/>
          <w:szCs w:val="20"/>
        </w:rPr>
        <w:t>Maintain strong contract negotiations with all 5 insurance providers to protect the current balanced reimbursement structure.</w:t>
      </w:r>
    </w:p>
    <w:p w14:paraId="148A3391" w14:textId="2BD62300" w:rsidR="00780D9D" w:rsidRPr="00C44A17" w:rsidRDefault="00000000" w:rsidP="00C44A1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0"/>
          <w:szCs w:val="20"/>
        </w:rPr>
      </w:pPr>
      <w:r w:rsidRPr="00C44A17">
        <w:rPr>
          <w:sz w:val="20"/>
          <w:szCs w:val="20"/>
        </w:rPr>
        <w:t xml:space="preserve">Medicare's 20.1% share requires careful coding accuracy and compliance to </w:t>
      </w:r>
      <w:r w:rsidR="00C44A17">
        <w:rPr>
          <w:sz w:val="20"/>
          <w:szCs w:val="20"/>
        </w:rPr>
        <w:t>maximise</w:t>
      </w:r>
      <w:r w:rsidRPr="00C44A17">
        <w:rPr>
          <w:sz w:val="20"/>
          <w:szCs w:val="20"/>
        </w:rPr>
        <w:t xml:space="preserve"> reimbursements.</w:t>
      </w:r>
    </w:p>
    <w:p w14:paraId="14E90AE2" w14:textId="77777777" w:rsidR="00780D9D" w:rsidRPr="00971E2C" w:rsidRDefault="00000000" w:rsidP="00971E2C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971E2C">
        <w:rPr>
          <w:rFonts w:ascii="Cambria" w:hAnsi="Cambria"/>
          <w:color w:val="2F5496" w:themeColor="accent1" w:themeShade="BF"/>
          <w:sz w:val="28"/>
          <w:szCs w:val="28"/>
        </w:rPr>
        <w:t>7.4 Chronic Disease Management</w:t>
      </w:r>
    </w:p>
    <w:p w14:paraId="4B534556" w14:textId="77777777" w:rsidR="00780D9D" w:rsidRPr="00C44A17" w:rsidRDefault="00000000" w:rsidP="00C44A1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0"/>
          <w:szCs w:val="20"/>
        </w:rPr>
      </w:pPr>
      <w:r w:rsidRPr="00C44A17">
        <w:rPr>
          <w:sz w:val="20"/>
          <w:szCs w:val="20"/>
        </w:rPr>
        <w:t>Arthritis, Diabetes, and Hypertension collectively account for approximately 50% of all cases. Dedicated chronic disease management and prevention programs can reduce readmissions and costs.</w:t>
      </w:r>
    </w:p>
    <w:p w14:paraId="5497C7C9" w14:textId="77777777" w:rsidR="00780D9D" w:rsidRPr="00971E2C" w:rsidRDefault="00000000" w:rsidP="00971E2C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971E2C">
        <w:rPr>
          <w:rFonts w:ascii="Cambria" w:hAnsi="Cambria"/>
          <w:color w:val="2F5496" w:themeColor="accent1" w:themeShade="BF"/>
          <w:sz w:val="28"/>
          <w:szCs w:val="28"/>
        </w:rPr>
        <w:t>7.5 Test Result Follow-up Protocol</w:t>
      </w:r>
    </w:p>
    <w:p w14:paraId="5DD8582A" w14:textId="77777777" w:rsidR="00780D9D" w:rsidRPr="00C44A17" w:rsidRDefault="00000000" w:rsidP="00C44A1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sz w:val="20"/>
          <w:szCs w:val="20"/>
        </w:rPr>
      </w:pPr>
      <w:r w:rsidRPr="00C44A17">
        <w:rPr>
          <w:sz w:val="20"/>
          <w:szCs w:val="20"/>
        </w:rPr>
        <w:t>33.6% Abnormal and 33.1% Inconclusive results demand an automated patient recall system to ensure timely clinical follow-up and improved outcomes.</w:t>
      </w:r>
    </w:p>
    <w:p w14:paraId="4FBB1D8C" w14:textId="77777777" w:rsidR="00780D9D" w:rsidRPr="00971E2C" w:rsidRDefault="00000000" w:rsidP="00971E2C">
      <w:pPr>
        <w:pStyle w:val="Heading2"/>
        <w:spacing w:line="360" w:lineRule="auto"/>
        <w:rPr>
          <w:rFonts w:ascii="Cambria" w:hAnsi="Cambria"/>
          <w:color w:val="2F5496" w:themeColor="accent1" w:themeShade="BF"/>
          <w:sz w:val="28"/>
          <w:szCs w:val="28"/>
        </w:rPr>
      </w:pPr>
      <w:r w:rsidRPr="00971E2C">
        <w:rPr>
          <w:rFonts w:ascii="Cambria" w:hAnsi="Cambria"/>
          <w:color w:val="2F5496" w:themeColor="accent1" w:themeShade="BF"/>
          <w:sz w:val="28"/>
          <w:szCs w:val="28"/>
        </w:rPr>
        <w:t>7.6 Cost Optimization</w:t>
      </w:r>
    </w:p>
    <w:p w14:paraId="586958FA" w14:textId="33707876" w:rsidR="00780D9D" w:rsidRDefault="00000000" w:rsidP="00C44A17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00C44A17">
        <w:rPr>
          <w:sz w:val="20"/>
          <w:szCs w:val="20"/>
        </w:rPr>
        <w:t xml:space="preserve">With </w:t>
      </w:r>
      <w:proofErr w:type="spellStart"/>
      <w:r w:rsidRPr="00C44A17">
        <w:rPr>
          <w:sz w:val="20"/>
          <w:szCs w:val="20"/>
        </w:rPr>
        <w:t>Avg</w:t>
      </w:r>
      <w:proofErr w:type="spellEnd"/>
      <w:r w:rsidRPr="00C44A17">
        <w:rPr>
          <w:sz w:val="20"/>
          <w:szCs w:val="20"/>
        </w:rPr>
        <w:t xml:space="preserve"> Treatment Cost at $25,539, review high-cost admission types and medical conditions for cost reduction opportunities through protocol </w:t>
      </w:r>
      <w:r w:rsidR="00C44A17">
        <w:rPr>
          <w:sz w:val="20"/>
          <w:szCs w:val="20"/>
        </w:rPr>
        <w:t>standardisation</w:t>
      </w:r>
      <w:r w:rsidRPr="00C44A17">
        <w:rPr>
          <w:sz w:val="20"/>
          <w:szCs w:val="20"/>
        </w:rPr>
        <w:t>.</w:t>
      </w:r>
    </w:p>
    <w:p w14:paraId="5C8755D8" w14:textId="77777777" w:rsidR="00780D9D" w:rsidRDefault="00780D9D">
      <w:pPr>
        <w:spacing w:before="200"/>
      </w:pPr>
    </w:p>
    <w:p w14:paraId="64951A53" w14:textId="77777777" w:rsidR="00C44A17" w:rsidRDefault="00C44A17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</w:p>
    <w:p w14:paraId="3DC5D528" w14:textId="77777777" w:rsidR="00C44A17" w:rsidRDefault="00C44A17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</w:p>
    <w:p w14:paraId="34AA596E" w14:textId="77777777" w:rsidR="00C44A17" w:rsidRDefault="00C44A17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</w:p>
    <w:p w14:paraId="4EF5364E" w14:textId="3DA6AACA" w:rsidR="00780D9D" w:rsidRPr="00971E2C" w:rsidRDefault="00000000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  <w:r w:rsidRPr="00971E2C">
        <w:rPr>
          <w:rFonts w:ascii="Cambria" w:hAnsi="Cambria"/>
          <w:color w:val="1F3864" w:themeColor="accent1" w:themeShade="80"/>
          <w:sz w:val="36"/>
          <w:szCs w:val="36"/>
        </w:rPr>
        <w:lastRenderedPageBreak/>
        <w:t>8. Tools and Methodology</w:t>
      </w:r>
    </w:p>
    <w:p w14:paraId="6957D296" w14:textId="77777777" w:rsidR="00780D9D" w:rsidRDefault="00780D9D">
      <w:pPr>
        <w:spacing w:before="100"/>
      </w:pP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3"/>
        <w:gridCol w:w="6086"/>
      </w:tblGrid>
      <w:tr w:rsidR="00780D9D" w14:paraId="2A238BF0" w14:textId="77777777" w:rsidTr="00C44A17">
        <w:tblPrEx>
          <w:tblCellMar>
            <w:top w:w="0" w:type="dxa"/>
            <w:bottom w:w="0" w:type="dxa"/>
          </w:tblCellMar>
        </w:tblPrEx>
        <w:trPr>
          <w:trHeight w:val="256"/>
          <w:tblHeader/>
        </w:trPr>
        <w:tc>
          <w:tcPr>
            <w:tcW w:w="35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6B09D" w14:textId="77777777" w:rsidR="00780D9D" w:rsidRPr="00C44A17" w:rsidRDefault="00000000">
            <w:pPr>
              <w:jc w:val="center"/>
              <w:rPr>
                <w:color w:val="1F3864" w:themeColor="accent1" w:themeShade="80"/>
              </w:rPr>
            </w:pPr>
            <w:r w:rsidRPr="00C44A17">
              <w:rPr>
                <w:b/>
                <w:bCs/>
                <w:color w:val="1F3864" w:themeColor="accent1" w:themeShade="80"/>
              </w:rPr>
              <w:t>Tool / Feature</w:t>
            </w:r>
          </w:p>
        </w:tc>
        <w:tc>
          <w:tcPr>
            <w:tcW w:w="60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EAADB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54FE" w14:textId="77777777" w:rsidR="00780D9D" w:rsidRPr="00C44A17" w:rsidRDefault="00000000">
            <w:pPr>
              <w:jc w:val="center"/>
              <w:rPr>
                <w:color w:val="1F3864" w:themeColor="accent1" w:themeShade="80"/>
              </w:rPr>
            </w:pPr>
            <w:r w:rsidRPr="00C44A17">
              <w:rPr>
                <w:b/>
                <w:bCs/>
                <w:color w:val="1F3864" w:themeColor="accent1" w:themeShade="80"/>
              </w:rPr>
              <w:t>Purpose</w:t>
            </w:r>
          </w:p>
        </w:tc>
      </w:tr>
      <w:tr w:rsidR="00780D9D" w14:paraId="03B724C3" w14:textId="77777777" w:rsidTr="00C44A17">
        <w:tblPrEx>
          <w:tblCellMar>
            <w:top w:w="0" w:type="dxa"/>
            <w:bottom w:w="0" w:type="dxa"/>
          </w:tblCellMar>
        </w:tblPrEx>
        <w:trPr>
          <w:trHeight w:val="545"/>
        </w:trPr>
        <w:tc>
          <w:tcPr>
            <w:tcW w:w="35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2CD0" w14:textId="77777777" w:rsidR="00780D9D" w:rsidRDefault="00000000" w:rsidP="00C44A17">
            <w:pPr>
              <w:spacing w:line="480" w:lineRule="auto"/>
              <w:jc w:val="center"/>
            </w:pPr>
            <w:r>
              <w:rPr>
                <w:sz w:val="20"/>
                <w:szCs w:val="20"/>
              </w:rPr>
              <w:t>Microsoft Excel - Data Sheet</w:t>
            </w:r>
          </w:p>
        </w:tc>
        <w:tc>
          <w:tcPr>
            <w:tcW w:w="60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EB00" w14:textId="77777777" w:rsidR="00780D9D" w:rsidRDefault="00000000" w:rsidP="00C44A17">
            <w:pPr>
              <w:spacing w:line="480" w:lineRule="auto"/>
              <w:jc w:val="center"/>
            </w:pPr>
            <w:r>
              <w:rPr>
                <w:sz w:val="20"/>
                <w:szCs w:val="20"/>
              </w:rPr>
              <w:t>Raw data storage, cleaning, and derived column creation</w:t>
            </w:r>
          </w:p>
        </w:tc>
      </w:tr>
      <w:tr w:rsidR="00780D9D" w14:paraId="067A5976" w14:textId="77777777" w:rsidTr="00C44A17">
        <w:tblPrEx>
          <w:tblCellMar>
            <w:top w:w="0" w:type="dxa"/>
            <w:bottom w:w="0" w:type="dxa"/>
          </w:tblCellMar>
        </w:tblPrEx>
        <w:trPr>
          <w:trHeight w:val="471"/>
        </w:trPr>
        <w:tc>
          <w:tcPr>
            <w:tcW w:w="35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0470" w14:textId="77777777" w:rsidR="00780D9D" w:rsidRDefault="00000000" w:rsidP="00C44A17">
            <w:pPr>
              <w:spacing w:line="480" w:lineRule="auto"/>
              <w:jc w:val="center"/>
            </w:pPr>
            <w:r>
              <w:rPr>
                <w:sz w:val="20"/>
                <w:szCs w:val="20"/>
              </w:rPr>
              <w:t>Excel Pivot Tables</w:t>
            </w:r>
          </w:p>
        </w:tc>
        <w:tc>
          <w:tcPr>
            <w:tcW w:w="60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0DFC" w14:textId="77777777" w:rsidR="00780D9D" w:rsidRDefault="00000000" w:rsidP="00C44A17">
            <w:pPr>
              <w:spacing w:line="480" w:lineRule="auto"/>
              <w:jc w:val="center"/>
            </w:pPr>
            <w:r>
              <w:rPr>
                <w:sz w:val="20"/>
                <w:szCs w:val="20"/>
              </w:rPr>
              <w:t>Aggregation and cross-tabulation of patient data</w:t>
            </w:r>
          </w:p>
        </w:tc>
      </w:tr>
      <w:tr w:rsidR="00780D9D" w14:paraId="68E01BD8" w14:textId="77777777" w:rsidTr="00C44A17">
        <w:tblPrEx>
          <w:tblCellMar>
            <w:top w:w="0" w:type="dxa"/>
            <w:bottom w:w="0" w:type="dxa"/>
          </w:tblCellMar>
        </w:tblPrEx>
        <w:trPr>
          <w:trHeight w:val="471"/>
        </w:trPr>
        <w:tc>
          <w:tcPr>
            <w:tcW w:w="35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C056" w14:textId="77777777" w:rsidR="00780D9D" w:rsidRDefault="00000000" w:rsidP="00C44A17">
            <w:pPr>
              <w:spacing w:line="480" w:lineRule="auto"/>
              <w:jc w:val="center"/>
            </w:pPr>
            <w:r>
              <w:rPr>
                <w:sz w:val="20"/>
                <w:szCs w:val="20"/>
              </w:rPr>
              <w:t>Excel Pivot Charts</w:t>
            </w:r>
          </w:p>
        </w:tc>
        <w:tc>
          <w:tcPr>
            <w:tcW w:w="60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6D1F" w14:textId="77777777" w:rsidR="00780D9D" w:rsidRDefault="00000000" w:rsidP="00C44A17">
            <w:pPr>
              <w:spacing w:line="480" w:lineRule="auto"/>
              <w:jc w:val="center"/>
            </w:pPr>
            <w:r>
              <w:rPr>
                <w:sz w:val="20"/>
                <w:szCs w:val="20"/>
              </w:rPr>
              <w:t>Visual representation of all pivot analyses</w:t>
            </w:r>
          </w:p>
        </w:tc>
      </w:tr>
      <w:tr w:rsidR="00780D9D" w14:paraId="2FB7AE53" w14:textId="77777777" w:rsidTr="00C44A17">
        <w:tblPrEx>
          <w:tblCellMar>
            <w:top w:w="0" w:type="dxa"/>
            <w:bottom w:w="0" w:type="dxa"/>
          </w:tblCellMar>
        </w:tblPrEx>
        <w:trPr>
          <w:trHeight w:val="943"/>
        </w:trPr>
        <w:tc>
          <w:tcPr>
            <w:tcW w:w="35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28A6" w14:textId="77777777" w:rsidR="00780D9D" w:rsidRDefault="00000000" w:rsidP="00C44A17">
            <w:pPr>
              <w:spacing w:line="480" w:lineRule="auto"/>
              <w:jc w:val="center"/>
            </w:pPr>
            <w:r>
              <w:rPr>
                <w:sz w:val="20"/>
                <w:szCs w:val="20"/>
              </w:rPr>
              <w:t>Excel Slicers</w:t>
            </w:r>
          </w:p>
        </w:tc>
        <w:tc>
          <w:tcPr>
            <w:tcW w:w="60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59D3" w14:textId="77777777" w:rsidR="00780D9D" w:rsidRDefault="00000000" w:rsidP="00C44A17">
            <w:pPr>
              <w:spacing w:line="480" w:lineRule="auto"/>
              <w:jc w:val="center"/>
            </w:pPr>
            <w:r>
              <w:rPr>
                <w:sz w:val="20"/>
                <w:szCs w:val="20"/>
              </w:rPr>
              <w:t>Interactive dashboard filtering by Gender and Age Group</w:t>
            </w:r>
          </w:p>
        </w:tc>
      </w:tr>
      <w:tr w:rsidR="00780D9D" w14:paraId="48265AB6" w14:textId="77777777" w:rsidTr="00C44A17">
        <w:tblPrEx>
          <w:tblCellMar>
            <w:top w:w="0" w:type="dxa"/>
            <w:bottom w:w="0" w:type="dxa"/>
          </w:tblCellMar>
        </w:tblPrEx>
        <w:trPr>
          <w:trHeight w:val="575"/>
        </w:trPr>
        <w:tc>
          <w:tcPr>
            <w:tcW w:w="35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623F" w14:textId="77777777" w:rsidR="00780D9D" w:rsidRDefault="00000000" w:rsidP="00C44A17">
            <w:pPr>
              <w:spacing w:line="480" w:lineRule="auto"/>
              <w:jc w:val="center"/>
            </w:pPr>
            <w:proofErr w:type="gramStart"/>
            <w:r>
              <w:rPr>
                <w:sz w:val="20"/>
                <w:szCs w:val="20"/>
              </w:rPr>
              <w:t>DATEDIF(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gramStart"/>
            <w:r>
              <w:rPr>
                <w:sz w:val="20"/>
                <w:szCs w:val="20"/>
              </w:rPr>
              <w:t>YEAR(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gramStart"/>
            <w:r>
              <w:rPr>
                <w:sz w:val="20"/>
                <w:szCs w:val="20"/>
              </w:rPr>
              <w:t>MONTH(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D84A" w14:textId="77777777" w:rsidR="00780D9D" w:rsidRDefault="00000000" w:rsidP="00C44A17">
            <w:pPr>
              <w:spacing w:line="480" w:lineRule="auto"/>
              <w:jc w:val="center"/>
            </w:pPr>
            <w:r>
              <w:rPr>
                <w:sz w:val="20"/>
                <w:szCs w:val="20"/>
              </w:rPr>
              <w:t>Date calculations and time-based feature engineering</w:t>
            </w:r>
          </w:p>
        </w:tc>
      </w:tr>
      <w:tr w:rsidR="00780D9D" w14:paraId="547A394C" w14:textId="77777777" w:rsidTr="00C44A17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35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CB11" w14:textId="77777777" w:rsidR="00780D9D" w:rsidRDefault="00000000" w:rsidP="00C44A17">
            <w:pPr>
              <w:spacing w:line="480" w:lineRule="auto"/>
              <w:jc w:val="center"/>
            </w:pPr>
            <w:proofErr w:type="gramStart"/>
            <w:r>
              <w:rPr>
                <w:sz w:val="20"/>
                <w:szCs w:val="20"/>
              </w:rPr>
              <w:t>IF(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gramStart"/>
            <w:r>
              <w:rPr>
                <w:sz w:val="20"/>
                <w:szCs w:val="20"/>
              </w:rPr>
              <w:t>COUNTIFS(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gramStart"/>
            <w:r>
              <w:rPr>
                <w:sz w:val="20"/>
                <w:szCs w:val="20"/>
              </w:rPr>
              <w:t>SUMIFS(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0194" w14:textId="77777777" w:rsidR="00780D9D" w:rsidRDefault="00000000" w:rsidP="00C44A17">
            <w:pPr>
              <w:spacing w:line="480" w:lineRule="auto"/>
              <w:jc w:val="center"/>
            </w:pPr>
            <w:r>
              <w:rPr>
                <w:sz w:val="20"/>
                <w:szCs w:val="20"/>
              </w:rPr>
              <w:t>Conditional calculations and KPI computation</w:t>
            </w:r>
          </w:p>
        </w:tc>
      </w:tr>
      <w:tr w:rsidR="00780D9D" w14:paraId="094550D4" w14:textId="77777777" w:rsidTr="00C44A17">
        <w:tblPrEx>
          <w:tblCellMar>
            <w:top w:w="0" w:type="dxa"/>
            <w:bottom w:w="0" w:type="dxa"/>
          </w:tblCellMar>
        </w:tblPrEx>
        <w:trPr>
          <w:trHeight w:val="471"/>
        </w:trPr>
        <w:tc>
          <w:tcPr>
            <w:tcW w:w="35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01B9" w14:textId="77777777" w:rsidR="00780D9D" w:rsidRDefault="00000000" w:rsidP="00C44A17">
            <w:pPr>
              <w:spacing w:line="480" w:lineRule="auto"/>
              <w:jc w:val="center"/>
            </w:pPr>
            <w:proofErr w:type="gramStart"/>
            <w:r>
              <w:rPr>
                <w:sz w:val="20"/>
                <w:szCs w:val="20"/>
              </w:rPr>
              <w:t>AVERAGEIFS(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0010F" w14:textId="77777777" w:rsidR="00780D9D" w:rsidRDefault="00000000" w:rsidP="00C44A17">
            <w:pPr>
              <w:spacing w:line="480" w:lineRule="auto"/>
              <w:jc w:val="center"/>
            </w:pPr>
            <w:r>
              <w:rPr>
                <w:sz w:val="20"/>
                <w:szCs w:val="20"/>
              </w:rPr>
              <w:t>Conditional averages for billing and stay duration</w:t>
            </w:r>
          </w:p>
        </w:tc>
      </w:tr>
      <w:tr w:rsidR="00780D9D" w14:paraId="4EE3B5A9" w14:textId="77777777" w:rsidTr="00C44A17">
        <w:tblPrEx>
          <w:tblCellMar>
            <w:top w:w="0" w:type="dxa"/>
            <w:bottom w:w="0" w:type="dxa"/>
          </w:tblCellMar>
        </w:tblPrEx>
        <w:trPr>
          <w:trHeight w:val="471"/>
        </w:trPr>
        <w:tc>
          <w:tcPr>
            <w:tcW w:w="35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8738" w14:textId="77777777" w:rsidR="00780D9D" w:rsidRDefault="00000000" w:rsidP="00C44A17">
            <w:pPr>
              <w:spacing w:line="480" w:lineRule="auto"/>
              <w:jc w:val="center"/>
            </w:pPr>
            <w:r>
              <w:rPr>
                <w:sz w:val="20"/>
                <w:szCs w:val="20"/>
              </w:rPr>
              <w:t>Remove Duplicates / Data Validation</w:t>
            </w:r>
          </w:p>
        </w:tc>
        <w:tc>
          <w:tcPr>
            <w:tcW w:w="60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3DA5" w14:textId="77777777" w:rsidR="00780D9D" w:rsidRDefault="00000000" w:rsidP="00C44A17">
            <w:pPr>
              <w:spacing w:line="480" w:lineRule="auto"/>
              <w:jc w:val="center"/>
            </w:pPr>
            <w:r>
              <w:rPr>
                <w:sz w:val="20"/>
                <w:szCs w:val="20"/>
              </w:rPr>
              <w:t>Data quality and integrity checks</w:t>
            </w:r>
          </w:p>
        </w:tc>
      </w:tr>
    </w:tbl>
    <w:p w14:paraId="10BD029E" w14:textId="77777777" w:rsidR="00780D9D" w:rsidRDefault="00780D9D">
      <w:pPr>
        <w:spacing w:before="200"/>
      </w:pPr>
    </w:p>
    <w:p w14:paraId="3E1A224B" w14:textId="5A97351F" w:rsidR="00780D9D" w:rsidRPr="00971E2C" w:rsidRDefault="00000000" w:rsidP="00971E2C">
      <w:pPr>
        <w:pStyle w:val="Heading1"/>
        <w:spacing w:before="0"/>
        <w:rPr>
          <w:rFonts w:ascii="Cambria" w:hAnsi="Cambria"/>
          <w:color w:val="1F3864" w:themeColor="accent1" w:themeShade="80"/>
          <w:sz w:val="36"/>
          <w:szCs w:val="36"/>
        </w:rPr>
      </w:pPr>
      <w:r w:rsidRPr="00971E2C">
        <w:rPr>
          <w:rFonts w:ascii="Cambria" w:hAnsi="Cambria"/>
          <w:color w:val="1F3864" w:themeColor="accent1" w:themeShade="80"/>
          <w:sz w:val="36"/>
          <w:szCs w:val="36"/>
        </w:rPr>
        <w:t>9. Conclusion</w:t>
      </w:r>
    </w:p>
    <w:p w14:paraId="0BA2683F" w14:textId="77777777" w:rsidR="00780D9D" w:rsidRDefault="00780D9D">
      <w:pPr>
        <w:pBdr>
          <w:bottom w:val="single" w:sz="4" w:space="1" w:color="2E75B6"/>
        </w:pBdr>
        <w:spacing w:before="120" w:after="120"/>
      </w:pPr>
    </w:p>
    <w:p w14:paraId="7085F9EC" w14:textId="010F788F" w:rsidR="00780D9D" w:rsidRPr="00971E2C" w:rsidRDefault="00000000" w:rsidP="00971E2C">
      <w:pPr>
        <w:spacing w:before="80" w:after="80" w:line="360" w:lineRule="auto"/>
        <w:jc w:val="both"/>
        <w:rPr>
          <w:sz w:val="20"/>
          <w:szCs w:val="20"/>
        </w:rPr>
      </w:pPr>
      <w:r w:rsidRPr="00971E2C">
        <w:rPr>
          <w:sz w:val="20"/>
          <w:szCs w:val="20"/>
        </w:rPr>
        <w:t>This Excel-based healthcare analytics project successfully transformed 55,500 raw patient records into a structured, interactive, and insight-rich dashboard. All six business questions posed by the executive team have been comprehensively addressed through data-driven analysis.</w:t>
      </w:r>
    </w:p>
    <w:p w14:paraId="5ED1C60C" w14:textId="77777777" w:rsidR="00780D9D" w:rsidRPr="00971E2C" w:rsidRDefault="00000000" w:rsidP="00971E2C">
      <w:pPr>
        <w:spacing w:before="80" w:after="80" w:line="360" w:lineRule="auto"/>
        <w:jc w:val="both"/>
        <w:rPr>
          <w:sz w:val="20"/>
          <w:szCs w:val="20"/>
        </w:rPr>
      </w:pPr>
      <w:r w:rsidRPr="00971E2C">
        <w:rPr>
          <w:sz w:val="20"/>
          <w:szCs w:val="20"/>
        </w:rPr>
        <w:t>The analysis reveals a well-distributed patient population across genders, age groups, medical conditions, and insurance providers. The key strategic priorities are elder care investment, emergency readiness, chronic disease management, and a robust test result follow-up system.</w:t>
      </w:r>
    </w:p>
    <w:p w14:paraId="2B1215FD" w14:textId="14399272" w:rsidR="00780D9D" w:rsidRPr="00C44A17" w:rsidRDefault="00000000" w:rsidP="00C44A17">
      <w:pPr>
        <w:spacing w:before="80" w:after="80" w:line="360" w:lineRule="auto"/>
        <w:jc w:val="both"/>
        <w:rPr>
          <w:sz w:val="20"/>
          <w:szCs w:val="20"/>
        </w:rPr>
      </w:pPr>
      <w:r w:rsidRPr="00971E2C">
        <w:rPr>
          <w:sz w:val="20"/>
          <w:szCs w:val="20"/>
        </w:rPr>
        <w:t>The interactive Excel dashboard provides the executive team with a self-service analytical tool that can be refreshed with new data to ensure ongoing visibility into the network's performance.</w:t>
      </w:r>
    </w:p>
    <w:sectPr w:rsidR="00780D9D" w:rsidRPr="00C44A17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3E9ED" w14:textId="77777777" w:rsidR="003F3861" w:rsidRDefault="003F3861">
      <w:r>
        <w:separator/>
      </w:r>
    </w:p>
  </w:endnote>
  <w:endnote w:type="continuationSeparator" w:id="0">
    <w:p w14:paraId="287EEDA7" w14:textId="77777777" w:rsidR="003F3861" w:rsidRDefault="003F3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8D2F2" w14:textId="77777777" w:rsidR="003F3861" w:rsidRDefault="003F3861">
      <w:r>
        <w:separator/>
      </w:r>
    </w:p>
  </w:footnote>
  <w:footnote w:type="continuationSeparator" w:id="0">
    <w:p w14:paraId="4C8A3D7A" w14:textId="77777777" w:rsidR="003F3861" w:rsidRDefault="003F38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3745B"/>
    <w:multiLevelType w:val="hybridMultilevel"/>
    <w:tmpl w:val="1C2C43E0"/>
    <w:lvl w:ilvl="0" w:tplc="40D6D978">
      <w:start w:val="1"/>
      <w:numFmt w:val="bullet"/>
      <w:lvlText w:val="•"/>
      <w:lvlJc w:val="left"/>
      <w:pPr>
        <w:ind w:left="720" w:hanging="360"/>
      </w:pPr>
    </w:lvl>
    <w:lvl w:ilvl="1" w:tplc="8AF6A3D0">
      <w:numFmt w:val="decimal"/>
      <w:lvlText w:val=""/>
      <w:lvlJc w:val="left"/>
    </w:lvl>
    <w:lvl w:ilvl="2" w:tplc="CAF22A90">
      <w:numFmt w:val="decimal"/>
      <w:lvlText w:val=""/>
      <w:lvlJc w:val="left"/>
    </w:lvl>
    <w:lvl w:ilvl="3" w:tplc="30163766">
      <w:numFmt w:val="decimal"/>
      <w:lvlText w:val=""/>
      <w:lvlJc w:val="left"/>
    </w:lvl>
    <w:lvl w:ilvl="4" w:tplc="C97C450C">
      <w:numFmt w:val="decimal"/>
      <w:lvlText w:val=""/>
      <w:lvlJc w:val="left"/>
    </w:lvl>
    <w:lvl w:ilvl="5" w:tplc="54CC8B82">
      <w:numFmt w:val="decimal"/>
      <w:lvlText w:val=""/>
      <w:lvlJc w:val="left"/>
    </w:lvl>
    <w:lvl w:ilvl="6" w:tplc="820803BC">
      <w:numFmt w:val="decimal"/>
      <w:lvlText w:val=""/>
      <w:lvlJc w:val="left"/>
    </w:lvl>
    <w:lvl w:ilvl="7" w:tplc="814A813A">
      <w:numFmt w:val="decimal"/>
      <w:lvlText w:val=""/>
      <w:lvlJc w:val="left"/>
    </w:lvl>
    <w:lvl w:ilvl="8" w:tplc="259AD3B0">
      <w:numFmt w:val="decimal"/>
      <w:lvlText w:val=""/>
      <w:lvlJc w:val="left"/>
    </w:lvl>
  </w:abstractNum>
  <w:abstractNum w:abstractNumId="1" w15:restartNumberingAfterBreak="0">
    <w:nsid w:val="59E60FA8"/>
    <w:multiLevelType w:val="hybridMultilevel"/>
    <w:tmpl w:val="E406797C"/>
    <w:lvl w:ilvl="0" w:tplc="04384078">
      <w:start w:val="1"/>
      <w:numFmt w:val="bullet"/>
      <w:lvlText w:val="●"/>
      <w:lvlJc w:val="left"/>
      <w:pPr>
        <w:ind w:left="720" w:hanging="360"/>
      </w:pPr>
    </w:lvl>
    <w:lvl w:ilvl="1" w:tplc="B5FE5FDC">
      <w:start w:val="1"/>
      <w:numFmt w:val="bullet"/>
      <w:lvlText w:val="○"/>
      <w:lvlJc w:val="left"/>
      <w:pPr>
        <w:ind w:left="1440" w:hanging="360"/>
      </w:pPr>
    </w:lvl>
    <w:lvl w:ilvl="2" w:tplc="EF3ECD9C">
      <w:start w:val="1"/>
      <w:numFmt w:val="bullet"/>
      <w:lvlText w:val="■"/>
      <w:lvlJc w:val="left"/>
      <w:pPr>
        <w:ind w:left="2160" w:hanging="360"/>
      </w:pPr>
    </w:lvl>
    <w:lvl w:ilvl="3" w:tplc="8FA89328">
      <w:start w:val="1"/>
      <w:numFmt w:val="bullet"/>
      <w:lvlText w:val="●"/>
      <w:lvlJc w:val="left"/>
      <w:pPr>
        <w:ind w:left="2880" w:hanging="360"/>
      </w:pPr>
    </w:lvl>
    <w:lvl w:ilvl="4" w:tplc="CF3CDFEA">
      <w:start w:val="1"/>
      <w:numFmt w:val="bullet"/>
      <w:lvlText w:val="○"/>
      <w:lvlJc w:val="left"/>
      <w:pPr>
        <w:ind w:left="3600" w:hanging="360"/>
      </w:pPr>
    </w:lvl>
    <w:lvl w:ilvl="5" w:tplc="CBDC6BB8">
      <w:start w:val="1"/>
      <w:numFmt w:val="bullet"/>
      <w:lvlText w:val="■"/>
      <w:lvlJc w:val="left"/>
      <w:pPr>
        <w:ind w:left="4320" w:hanging="360"/>
      </w:pPr>
    </w:lvl>
    <w:lvl w:ilvl="6" w:tplc="02B06B50">
      <w:start w:val="1"/>
      <w:numFmt w:val="bullet"/>
      <w:lvlText w:val="●"/>
      <w:lvlJc w:val="left"/>
      <w:pPr>
        <w:ind w:left="5040" w:hanging="360"/>
      </w:pPr>
    </w:lvl>
    <w:lvl w:ilvl="7" w:tplc="33D2548A">
      <w:start w:val="1"/>
      <w:numFmt w:val="bullet"/>
      <w:lvlText w:val="●"/>
      <w:lvlJc w:val="left"/>
      <w:pPr>
        <w:ind w:left="5760" w:hanging="360"/>
      </w:pPr>
    </w:lvl>
    <w:lvl w:ilvl="8" w:tplc="B47EC6FA">
      <w:start w:val="1"/>
      <w:numFmt w:val="bullet"/>
      <w:lvlText w:val="●"/>
      <w:lvlJc w:val="left"/>
      <w:pPr>
        <w:ind w:left="6480" w:hanging="360"/>
      </w:pPr>
    </w:lvl>
  </w:abstractNum>
  <w:num w:numId="1" w16cid:durableId="1107383701">
    <w:abstractNumId w:val="1"/>
    <w:lvlOverride w:ilvl="0">
      <w:startOverride w:val="1"/>
    </w:lvlOverride>
  </w:num>
  <w:num w:numId="2" w16cid:durableId="445081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D9D"/>
    <w:rsid w:val="00053297"/>
    <w:rsid w:val="001C7AA1"/>
    <w:rsid w:val="003F3861"/>
    <w:rsid w:val="00780D9D"/>
    <w:rsid w:val="00971E2C"/>
    <w:rsid w:val="00C44A17"/>
    <w:rsid w:val="00D74536"/>
    <w:rsid w:val="00E00DD0"/>
    <w:rsid w:val="00F0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FBB20"/>
  <w15:docId w15:val="{5331AF16-52DD-4CFA-9591-E5F782F4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0D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DD0"/>
  </w:style>
  <w:style w:type="paragraph" w:styleId="Footer">
    <w:name w:val="footer"/>
    <w:basedOn w:val="Normal"/>
    <w:link w:val="FooterChar"/>
    <w:uiPriority w:val="99"/>
    <w:unhideWhenUsed/>
    <w:rsid w:val="00E00D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1400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Dakshta Dhanker</cp:lastModifiedBy>
  <cp:revision>2</cp:revision>
  <dcterms:created xsi:type="dcterms:W3CDTF">2026-03-24T14:15:00Z</dcterms:created>
  <dcterms:modified xsi:type="dcterms:W3CDTF">2026-03-24T14:15:00Z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13299c28-0eab-4906-8f50-7b0e32767a7d</vt:lpwstr>
  </property>
</Properties>
</file>