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Inter" w:hAnsi="Inter"/>
          <w:b/>
          <w:i w:val="0"/>
          <w:color w:val="0A0A0B"/>
          <w:sz w:val="56"/>
        </w:rPr>
        <w:t>Dakyworld Hub</w:t>
      </w:r>
    </w:p>
    <w:p>
      <w:pPr>
        <w:spacing w:after="40"/>
      </w:pPr>
      <w:r>
        <w:rPr>
          <w:rFonts w:ascii="Inter" w:hAnsi="Inter"/>
          <w:b w:val="0"/>
          <w:i w:val="0"/>
          <w:color w:val="5B6CF9"/>
          <w:sz w:val="32"/>
        </w:rPr>
        <w:t>Pricing Financial Model</w:t>
      </w:r>
    </w:p>
    <w:p>
      <w:pPr>
        <w:spacing w:after="320"/>
      </w:pPr>
      <w:r>
        <w:rPr>
          <w:rFonts w:ascii="Inter" w:hAnsi="Inter"/>
          <w:b w:val="0"/>
          <w:i w:val="0"/>
          <w:color w:val="9CA3AF"/>
          <w:sz w:val="18"/>
        </w:rPr>
        <w:t>Version 1.0  ·  May 2026  ·  Confidential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20"/>
      </w:pPr>
      <w:r>
        <w:rPr>
          <w:rFonts w:ascii="Inter" w:hAnsi="Inter"/>
          <w:b/>
          <w:color w:val="0A0A0B"/>
          <w:sz w:val="32"/>
        </w:rPr>
        <w:t>Executive Summary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760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Plans</w:t>
            </w:r>
          </w:p>
        </w:tc>
        <w:tc>
          <w:tcPr>
            <w:tcW w:type="dxa" w:w="57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Free  ·  Pro  ·  Agency</w:t>
            </w:r>
          </w:p>
        </w:tc>
      </w:tr>
      <w:tr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Annual discount</w:t>
            </w:r>
          </w:p>
        </w:tc>
        <w:tc>
          <w:tcPr>
            <w:tcW w:type="dxa" w:w="57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20% off — Pro $276/yr · Agency $756/yr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Break-even</w:t>
            </w:r>
          </w:p>
        </w:tc>
        <w:tc>
          <w:tcPr>
            <w:tcW w:type="dxa" w:w="57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7 total users</w:t>
            </w:r>
          </w:p>
        </w:tc>
      </w:tr>
      <w:tr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Gross margin (scale)</w:t>
            </w:r>
          </w:p>
        </w:tc>
        <w:tc>
          <w:tcPr>
            <w:tcW w:type="dxa" w:w="57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~70%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ARR at 1,000 users</w:t>
            </w:r>
          </w:p>
        </w:tc>
        <w:tc>
          <w:tcPr>
            <w:tcW w:type="dxa" w:w="57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$215,160</w:t>
            </w:r>
          </w:p>
        </w:tc>
      </w:tr>
      <w:tr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ARR at 10,000 users</w:t>
            </w:r>
          </w:p>
        </w:tc>
        <w:tc>
          <w:tcPr>
            <w:tcW w:type="dxa" w:w="57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$2,151,600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20"/>
      </w:pPr>
      <w:r>
        <w:rPr>
          <w:rFonts w:ascii="Inter" w:hAnsi="Inter"/>
          <w:b/>
          <w:color w:val="0A0A0B"/>
          <w:sz w:val="32"/>
        </w:rPr>
        <w:t>Plans at a Glance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1728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Annual (/mo)</w:t>
            </w:r>
          </w:p>
        </w:tc>
        <w:tc>
          <w:tcPr>
            <w:tcW w:type="dxa" w:w="1728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Credits / mo</w:t>
            </w:r>
          </w:p>
        </w:tc>
        <w:tc>
          <w:tcPr>
            <w:tcW w:type="dxa" w:w="3744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AI Access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Free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100 cr</w:t>
            </w:r>
          </w:p>
        </w:tc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Text generation only</w:t>
            </w:r>
          </w:p>
        </w:tc>
      </w:tr>
      <w:tr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Pro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$29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$23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2,000 cr</w:t>
            </w:r>
          </w:p>
        </w:tc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Images — 6 models (✦3–8 cr)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Agency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$79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$63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6,000 cr</w:t>
            </w:r>
          </w:p>
        </w:tc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Images + Video + Editing tools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360" w:after="120"/>
      </w:pPr>
      <w:r>
        <w:rPr>
          <w:rFonts w:ascii="Inter" w:hAnsi="Inter"/>
          <w:b/>
          <w:color w:val="5B6CF9"/>
          <w:sz w:val="44"/>
        </w:rPr>
        <w:t>Section 1 — Unit Economics</w:t>
      </w: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User Distribution</w:t>
      </w:r>
    </w:p>
    <w:p>
      <w:pPr>
        <w:spacing w:after="120" w:before="0"/>
      </w:pPr>
      <w:r>
        <w:rPr>
          <w:rFonts w:ascii="Inter" w:hAnsi="Inter"/>
          <w:i/>
          <w:color w:val="9CA3AF"/>
          <w:sz w:val="18"/>
        </w:rPr>
        <w:t>Based on freemium SaaS industry benchmarks (70/30 monthly/annual billing split within each paid tier).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Share of Users</w:t>
            </w:r>
          </w:p>
        </w:tc>
        <w:tc>
          <w:tcPr>
            <w:tcW w:type="dxa" w:w="216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Billed Monthly</w:t>
            </w:r>
          </w:p>
        </w:tc>
        <w:tc>
          <w:tcPr>
            <w:tcW w:type="dxa" w:w="216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Billed Annually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Free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60%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Pro</w:t>
            </w:r>
          </w:p>
        </w:tc>
        <w:tc>
          <w:tcPr>
            <w:tcW w:type="dxa" w:w="21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25%</w:t>
            </w:r>
          </w:p>
        </w:tc>
        <w:tc>
          <w:tcPr>
            <w:tcW w:type="dxa" w:w="21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70%</w:t>
            </w:r>
          </w:p>
        </w:tc>
        <w:tc>
          <w:tcPr>
            <w:tcW w:type="dxa" w:w="21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30%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Agency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15%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70%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30%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Blended Monthly Revenue per Paying User</w:t>
      </w:r>
    </w:p>
    <w:p>
      <w:pPr>
        <w:spacing w:after="40"/>
      </w:pPr>
      <w:r>
        <w:rPr>
          <w:rFonts w:ascii="Inter" w:hAnsi="Inter"/>
          <w:b/>
          <w:i w:val="0"/>
          <w:color w:val="0A0A0B"/>
          <w:sz w:val="19"/>
        </w:rPr>
        <w:t xml:space="preserve">Pro:    </w:t>
      </w:r>
      <w:r>
        <w:rPr>
          <w:rFonts w:ascii="Courier New" w:hAnsi="Courier New"/>
          <w:b w:val="0"/>
          <w:i w:val="0"/>
          <w:color w:val="475569"/>
          <w:sz w:val="19"/>
        </w:rPr>
        <w:t xml:space="preserve">(70% × $29)  +  (30% × $23)  =  </w:t>
      </w:r>
      <w:r>
        <w:rPr>
          <w:rFonts w:ascii="Inter" w:hAnsi="Inter"/>
          <w:b/>
          <w:i w:val="0"/>
          <w:color w:val="5B6CF9"/>
          <w:sz w:val="19"/>
        </w:rPr>
        <w:t>$27.20 / user / mo</w:t>
      </w:r>
    </w:p>
    <w:p>
      <w:pPr>
        <w:spacing w:after="200"/>
      </w:pPr>
      <w:r>
        <w:rPr>
          <w:rFonts w:ascii="Inter" w:hAnsi="Inter"/>
          <w:b/>
          <w:i w:val="0"/>
          <w:color w:val="0A0A0B"/>
          <w:sz w:val="19"/>
        </w:rPr>
        <w:t xml:space="preserve">Agency: </w:t>
      </w:r>
      <w:r>
        <w:rPr>
          <w:rFonts w:ascii="Courier New" w:hAnsi="Courier New"/>
          <w:b w:val="0"/>
          <w:i w:val="0"/>
          <w:color w:val="475569"/>
          <w:sz w:val="19"/>
        </w:rPr>
        <w:t xml:space="preserve">(70% × $79)  +  (30% × $63)  =  </w:t>
      </w:r>
      <w:r>
        <w:rPr>
          <w:rFonts w:ascii="Inter" w:hAnsi="Inter"/>
          <w:b/>
          <w:i w:val="0"/>
          <w:color w:val="5B6CF9"/>
          <w:sz w:val="19"/>
        </w:rPr>
        <w:t>$74.20 / user / mo</w:t>
      </w: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Magnific API Cost Estimates</w:t>
      </w:r>
    </w:p>
    <w:p>
      <w:pPr>
        <w:spacing w:after="120" w:before="0"/>
      </w:pPr>
      <w:r>
        <w:rPr>
          <w:rFonts w:ascii="Inter" w:hAnsi="Inter"/>
          <w:i/>
          <w:color w:val="9CA3AF"/>
          <w:sz w:val="18"/>
        </w:rPr>
        <w:t>Estimates based on comparable AI APIs (Replicate, FAL.ai). Verify actuals in your Magnific dashboard monthly.</w:t>
      </w:r>
    </w:p>
    <w:p>
      <w:pPr>
        <w:spacing w:before="240" w:after="120"/>
      </w:pPr>
      <w:r>
        <w:rPr>
          <w:rFonts w:ascii="Inter" w:hAnsi="Inter"/>
          <w:b/>
          <w:color w:val="0A0A0B"/>
          <w:sz w:val="22"/>
        </w:rPr>
        <w:t>Free User  —  ~60 credits used (60% utilisation)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52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172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Cost / Call</w:t>
            </w:r>
          </w:p>
        </w:tc>
        <w:tc>
          <w:tcPr>
            <w:tcW w:type="dxa" w:w="172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 Total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AI text posts</w:t>
            </w:r>
          </w:p>
        </w:tc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60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$0.001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$0.06</w:t>
            </w:r>
          </w:p>
        </w:tc>
      </w:tr>
      <w:tr>
        <w:tc>
          <w:tcPr>
            <w:tcW w:type="dxa" w:w="403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Total API cost</w:t>
            </w:r>
          </w:p>
        </w:tc>
        <w:tc>
          <w:tcPr>
            <w:tcW w:type="dxa" w:w="115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~$0.10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Inter" w:hAnsi="Inter"/>
          <w:b/>
          <w:color w:val="0A0A0B"/>
          <w:sz w:val="22"/>
        </w:rPr>
        <w:t>Pro User  —  ~1,300 credits used (65% utilisation)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Credits</w:t>
            </w:r>
          </w:p>
        </w:tc>
        <w:tc>
          <w:tcPr>
            <w:tcW w:type="dxa" w:w="1152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144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Cost / Call</w:t>
            </w:r>
          </w:p>
        </w:tc>
        <w:tc>
          <w:tcPr>
            <w:tcW w:type="dxa" w:w="172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 Total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AI text posts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650 cr</w:t>
            </w:r>
          </w:p>
        </w:tc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650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$0.001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$0.65</w:t>
            </w:r>
          </w:p>
        </w:tc>
      </w:tr>
      <w:tr>
        <w:tc>
          <w:tcPr>
            <w:tcW w:type="dxa" w:w="316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Image — fast (Flux Turbo)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390 cr</w:t>
            </w:r>
          </w:p>
        </w:tc>
        <w:tc>
          <w:tcPr>
            <w:tcW w:type="dxa" w:w="115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130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$0.015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$1.95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Image — quality (Flux Pro)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195 cr</w:t>
            </w:r>
          </w:p>
        </w:tc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39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$0.025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$0.98</w:t>
            </w:r>
          </w:p>
        </w:tc>
      </w:tr>
      <w:tr>
        <w:tc>
          <w:tcPr>
            <w:tcW w:type="dxa" w:w="316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Image editing tools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65 cr</w:t>
            </w:r>
          </w:p>
        </w:tc>
        <w:tc>
          <w:tcPr>
            <w:tcW w:type="dxa" w:w="115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22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$0.020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$0.44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Total API cost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~$4.00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Inter" w:hAnsi="Inter"/>
          <w:b/>
          <w:color w:val="0A0A0B"/>
          <w:sz w:val="22"/>
        </w:rPr>
        <w:t>Agency User  —  ~4,200 credits used (70% utilisation)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Credits</w:t>
            </w:r>
          </w:p>
        </w:tc>
        <w:tc>
          <w:tcPr>
            <w:tcW w:type="dxa" w:w="1152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144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Cost / Call</w:t>
            </w:r>
          </w:p>
        </w:tc>
        <w:tc>
          <w:tcPr>
            <w:tcW w:type="dxa" w:w="172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 Total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AI text posts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1,260 cr</w:t>
            </w:r>
          </w:p>
        </w:tc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1,260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$0.001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$1.26</w:t>
            </w:r>
          </w:p>
        </w:tc>
      </w:tr>
      <w:tr>
        <w:tc>
          <w:tcPr>
            <w:tcW w:type="dxa" w:w="316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Images (mixed models)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1,680 cr</w:t>
            </w:r>
          </w:p>
        </w:tc>
        <w:tc>
          <w:tcPr>
            <w:tcW w:type="dxa" w:w="115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336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$0.025 avg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$8.40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Video (WAN / Kling mix)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840 cr</w:t>
            </w:r>
          </w:p>
        </w:tc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~31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$0.45 avg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$13.95</w:t>
            </w:r>
          </w:p>
        </w:tc>
      </w:tr>
      <w:tr>
        <w:tc>
          <w:tcPr>
            <w:tcW w:type="dxa" w:w="316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Image editing tools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420 cr</w:t>
            </w:r>
          </w:p>
        </w:tc>
        <w:tc>
          <w:tcPr>
            <w:tcW w:type="dxa" w:w="115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140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$0.020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$2.80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Total API cost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—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~$26.40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EF0FE"/>
          </w:tcPr>
          <w:p>
            <w:pPr>
              <w:spacing w:before="120" w:after="120"/>
              <w:ind w:left="216"/>
            </w:pPr>
            <w:r>
              <w:rPr>
                <w:rFonts w:ascii="Inter" w:hAnsi="Inter"/>
                <w:i/>
                <w:color w:val="475569"/>
                <w:sz w:val="19"/>
              </w:rPr>
              <w:t>Video is the largest cost driver. Kling 3 Pro can cost ~$0.60 per clip. The 6,000-credit cap on Agency limits worst-case API exposure to ~$45/month.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Infrastructure (Shared Platform)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5040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600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 Estimate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App server (Railway / Render)</w:t>
            </w:r>
          </w:p>
        </w:tc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$20 – $30</w:t>
            </w:r>
          </w:p>
        </w:tc>
      </w:tr>
      <w:tr>
        <w:tc>
          <w:tcPr>
            <w:tcW w:type="dxa" w:w="50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PostgreSQL database</w:t>
            </w:r>
          </w:p>
        </w:tc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$15 – $25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CDN + file storage (S3)</w:t>
            </w:r>
          </w:p>
        </w:tc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$5 – $15</w:t>
            </w:r>
          </w:p>
        </w:tc>
      </w:tr>
      <w:tr>
        <w:tc>
          <w:tcPr>
            <w:tcW w:type="dxa" w:w="50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Domain, SSL, misc</w:t>
            </w:r>
          </w:p>
        </w:tc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$5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Fixed base total</w:t>
            </w:r>
          </w:p>
        </w:tc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~$80 / mo</w:t>
            </w:r>
          </w:p>
        </w:tc>
      </w:tr>
      <w:tr>
        <w:tc>
          <w:tcPr>
            <w:tcW w:type="dxa" w:w="50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Per-user variable (bandwidth, compute)</w:t>
            </w:r>
          </w:p>
        </w:tc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$0.15 / user / mo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Gross Profit Per User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584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Revenue / mo</w:t>
            </w:r>
          </w:p>
        </w:tc>
        <w:tc>
          <w:tcPr>
            <w:tcW w:type="dxa" w:w="1296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API Cost</w:t>
            </w:r>
          </w:p>
        </w:tc>
        <w:tc>
          <w:tcPr>
            <w:tcW w:type="dxa" w:w="100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Infra</w:t>
            </w:r>
          </w:p>
        </w:tc>
        <w:tc>
          <w:tcPr>
            <w:tcW w:type="dxa" w:w="1440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Total Cost</w:t>
            </w:r>
          </w:p>
        </w:tc>
        <w:tc>
          <w:tcPr>
            <w:tcW w:type="dxa" w:w="1584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Gross Profit</w:t>
            </w:r>
          </w:p>
        </w:tc>
        <w:tc>
          <w:tcPr>
            <w:tcW w:type="dxa" w:w="100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Margin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Free</w:t>
            </w:r>
          </w:p>
        </w:tc>
        <w:tc>
          <w:tcPr>
            <w:tcW w:type="dxa" w:w="158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</w:t>
            </w:r>
          </w:p>
        </w:tc>
        <w:tc>
          <w:tcPr>
            <w:tcW w:type="dxa" w:w="1296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$0.10</w:t>
            </w:r>
          </w:p>
        </w:tc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$0.15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$0.25</w:t>
            </w:r>
          </w:p>
        </w:tc>
        <w:tc>
          <w:tcPr>
            <w:tcW w:type="dxa" w:w="1584"/>
            <w:shd w:val="clear" w:color="auto" w:fill="EEF0FE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–$0.25</w:t>
            </w:r>
          </w:p>
        </w:tc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Pro</w:t>
            </w:r>
          </w:p>
        </w:tc>
        <w:tc>
          <w:tcPr>
            <w:tcW w:type="dxa" w:w="158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$27.20</w:t>
            </w:r>
          </w:p>
        </w:tc>
        <w:tc>
          <w:tcPr>
            <w:tcW w:type="dxa" w:w="1296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$4.00</w:t>
            </w:r>
          </w:p>
        </w:tc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$0.15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$4.15</w:t>
            </w:r>
          </w:p>
        </w:tc>
        <w:tc>
          <w:tcPr>
            <w:tcW w:type="dxa" w:w="1584"/>
            <w:shd w:val="clear" w:color="auto" w:fill="EEF0FE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$23.05</w:t>
            </w:r>
          </w:p>
        </w:tc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85%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Agency</w:t>
            </w:r>
          </w:p>
        </w:tc>
        <w:tc>
          <w:tcPr>
            <w:tcW w:type="dxa" w:w="158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$74.20</w:t>
            </w:r>
          </w:p>
        </w:tc>
        <w:tc>
          <w:tcPr>
            <w:tcW w:type="dxa" w:w="1296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$26.40</w:t>
            </w:r>
          </w:p>
        </w:tc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$0.15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$26.55</w:t>
            </w:r>
          </w:p>
        </w:tc>
        <w:tc>
          <w:tcPr>
            <w:tcW w:type="dxa" w:w="1584"/>
            <w:shd w:val="clear" w:color="auto" w:fill="EEF0FE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$47.65</w:t>
            </w:r>
          </w:p>
        </w:tc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64%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Inter" w:hAnsi="Inter"/>
          <w:b w:val="0"/>
          <w:i w:val="0"/>
          <w:color w:val="475569"/>
          <w:sz w:val="19"/>
        </w:rPr>
        <w:t xml:space="preserve">Blended variable cost </w:t>
      </w:r>
      <w:r>
        <w:rPr>
          <w:rFonts w:ascii="Inter" w:hAnsi="Inter"/>
          <w:b/>
          <w:i w:val="0"/>
          <w:color w:val="0A0A0B"/>
          <w:sz w:val="19"/>
        </w:rPr>
        <w:t xml:space="preserve">(60/25/15 mix):  </w:t>
      </w:r>
      <w:r>
        <w:rPr>
          <w:rFonts w:ascii="Inter" w:hAnsi="Inter"/>
          <w:b/>
          <w:i w:val="0"/>
          <w:color w:val="5B6CF9"/>
          <w:sz w:val="19"/>
        </w:rPr>
        <w:t>$5.17 / user / mo</w:t>
      </w:r>
    </w:p>
    <w:p>
      <w:pPr>
        <w:spacing w:after="80"/>
      </w:pPr>
      <w:r>
        <w:rPr>
          <w:rFonts w:ascii="Inter" w:hAnsi="Inter"/>
          <w:b w:val="0"/>
          <w:i w:val="0"/>
          <w:color w:val="475569"/>
          <w:sz w:val="19"/>
        </w:rPr>
        <w:t xml:space="preserve">Blended revenue </w:t>
      </w:r>
      <w:r>
        <w:rPr>
          <w:rFonts w:ascii="Inter" w:hAnsi="Inter"/>
          <w:b/>
          <w:i w:val="0"/>
          <w:color w:val="0A0A0B"/>
          <w:sz w:val="19"/>
        </w:rPr>
        <w:t xml:space="preserve">(60/25/15 mix):  </w:t>
      </w:r>
      <w:r>
        <w:rPr>
          <w:rFonts w:ascii="Inter" w:hAnsi="Inter"/>
          <w:b/>
          <w:i w:val="0"/>
          <w:color w:val="5B6CF9"/>
          <w:sz w:val="19"/>
        </w:rPr>
        <w:t>$17.93 / user / mo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pPr>
              <w:spacing w:before="120" w:after="120"/>
              <w:ind w:left="216"/>
            </w:pPr>
            <w:r>
              <w:rPr>
                <w:rFonts w:ascii="Inter" w:hAnsi="Inter"/>
                <w:i/>
                <w:color w:val="059669"/>
                <w:sz w:val="19"/>
              </w:rPr>
              <w:t>Break-even point: 7 total users  —  $80 fixed ÷ ($17.93 − $5.17) = 6.3 users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360" w:after="120"/>
      </w:pPr>
      <w:r>
        <w:rPr>
          <w:rFonts w:ascii="Inter" w:hAnsi="Inter"/>
          <w:b/>
          <w:color w:val="5B6CF9"/>
          <w:sz w:val="44"/>
        </w:rPr>
        <w:t>Section 2 — Scenario Analysis</w:t>
      </w:r>
    </w:p>
    <w:p>
      <w:pPr>
        <w:spacing w:after="120" w:before="0"/>
      </w:pPr>
      <w:r>
        <w:rPr>
          <w:rFonts w:ascii="Inter" w:hAnsi="Inter"/>
          <w:i/>
          <w:color w:val="9CA3AF"/>
          <w:sz w:val="18"/>
        </w:rPr>
        <w:t>Assumptions: 60/25/15 plan split · 70/30 monthly/annual billing mix · "Annual P&amp;L" = Monthly × 12</w:t>
      </w:r>
    </w:p>
    <w:p>
      <w:pPr>
        <w:spacing w:before="240" w:after="120"/>
      </w:pPr>
      <w:r>
        <w:rPr>
          <w:rFonts w:ascii="Inter" w:hAnsi="Inter"/>
          <w:b/>
          <w:color w:val="0A0A0B"/>
          <w:sz w:val="32"/>
        </w:rPr>
        <w:t>10 Users</w:t>
      </w:r>
    </w:p>
    <w:p>
      <w:pPr>
        <w:spacing w:after="120"/>
      </w:pPr>
      <w:r>
        <w:rPr>
          <w:rFonts w:ascii="Inter" w:hAnsi="Inter"/>
          <w:b w:val="0"/>
          <w:i w:val="0"/>
          <w:color w:val="9CA3AF"/>
          <w:sz w:val="18"/>
        </w:rPr>
        <w:t>6 Free   ·   2–3 Pro   ·   1–2 Agency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Annual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Gross Revenue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$179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$2,152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Magnific API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–$46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–$552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Infrastructure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–$82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–$984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Total Costs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$128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$1,536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Net Profit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$51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$612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Profit Margin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28%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28%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3744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MRR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$179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Paying users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~4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ARPU (all users)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$17.90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ARPU (paying only)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$44.80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20"/>
      </w:pPr>
      <w:r>
        <w:rPr>
          <w:rFonts w:ascii="Inter" w:hAnsi="Inter"/>
          <w:b/>
          <w:color w:val="0A0A0B"/>
          <w:sz w:val="32"/>
        </w:rPr>
        <w:t>100 Users</w:t>
      </w:r>
    </w:p>
    <w:p>
      <w:pPr>
        <w:spacing w:after="120"/>
      </w:pPr>
      <w:r>
        <w:rPr>
          <w:rFonts w:ascii="Inter" w:hAnsi="Inter"/>
          <w:b w:val="0"/>
          <w:i w:val="0"/>
          <w:color w:val="9CA3AF"/>
          <w:sz w:val="18"/>
        </w:rPr>
        <w:t>60 Free   ·   25 Pro   ·   15 Agency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Annual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Gross Revenue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$1,793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$21,516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Magnific API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–$517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–$6,204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Infrastructure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–$95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–$1,140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Total Costs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$612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$7,344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Net Profit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$1,181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$14,172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Profit Margin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66%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66%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3744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MRR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$1,793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Paying users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40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ARPU (all users)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$17.93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ARPU (paying only)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$44.83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20"/>
      </w:pPr>
      <w:r>
        <w:rPr>
          <w:rFonts w:ascii="Inter" w:hAnsi="Inter"/>
          <w:b/>
          <w:color w:val="0A0A0B"/>
          <w:sz w:val="32"/>
        </w:rPr>
        <w:t>1,000 Users</w:t>
      </w:r>
    </w:p>
    <w:p>
      <w:pPr>
        <w:spacing w:after="120"/>
      </w:pPr>
      <w:r>
        <w:rPr>
          <w:rFonts w:ascii="Inter" w:hAnsi="Inter"/>
          <w:b w:val="0"/>
          <w:i w:val="0"/>
          <w:color w:val="9CA3AF"/>
          <w:sz w:val="18"/>
        </w:rPr>
        <w:t>600 Free   ·   250 Pro   ·   150 Agency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Annual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Gross Revenue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$17,930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$215,160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Magnific API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–$5,170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–$62,040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Infrastructure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–$230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–$2,760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Total Costs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$5,400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$64,800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Net Profit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$12,530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$150,360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Profit Margin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70%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70%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3744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MRR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$17,930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ARR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$215,160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Paying users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400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ARPU (paying only)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$44.83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120"/>
      </w:pPr>
      <w:r>
        <w:rPr>
          <w:rFonts w:ascii="Inter" w:hAnsi="Inter"/>
          <w:b/>
          <w:color w:val="0A0A0B"/>
          <w:sz w:val="32"/>
        </w:rPr>
        <w:t>10,000 Users</w:t>
      </w:r>
    </w:p>
    <w:p>
      <w:pPr>
        <w:spacing w:after="120"/>
      </w:pPr>
      <w:r>
        <w:rPr>
          <w:rFonts w:ascii="Inter" w:hAnsi="Inter"/>
          <w:b w:val="0"/>
          <w:i w:val="0"/>
          <w:color w:val="9CA3AF"/>
          <w:sz w:val="18"/>
        </w:rPr>
        <w:t>6,000 Free   ·   2,500 Pro   ·   1,500 Agency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Annual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Gross Revenue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$179,300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$2,151,600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Magnific API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–$51,700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–$620,400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Infrastructure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–$1,580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–$18,960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Total Costs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$53,280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$639,360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Net Profit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$126,020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059669"/>
                <w:sz w:val="18"/>
              </w:rPr>
              <w:t>$1,512,240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Profit Margin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70%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70%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3744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MRR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$179,300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ARR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$2,151,600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Paying users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4,000</w:t>
            </w:r>
          </w:p>
        </w:tc>
      </w:tr>
      <w:tr>
        <w:tc>
          <w:tcPr>
            <w:tcW w:type="dxa" w:w="374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ARPU (paying only)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$44.83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360" w:after="120"/>
      </w:pPr>
      <w:r>
        <w:rPr>
          <w:rFonts w:ascii="Inter" w:hAnsi="Inter"/>
          <w:b/>
          <w:color w:val="5B6CF9"/>
          <w:sz w:val="44"/>
        </w:rPr>
        <w:t>Section 3 — Master Summary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Users</w:t>
            </w:r>
          </w:p>
        </w:tc>
        <w:tc>
          <w:tcPr>
            <w:tcW w:type="dxa" w:w="1440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MRR</w:t>
            </w:r>
          </w:p>
        </w:tc>
        <w:tc>
          <w:tcPr>
            <w:tcW w:type="dxa" w:w="1584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 Cost</w:t>
            </w:r>
          </w:p>
        </w:tc>
        <w:tc>
          <w:tcPr>
            <w:tcW w:type="dxa" w:w="172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Monthly Profit</w:t>
            </w:r>
          </w:p>
        </w:tc>
        <w:tc>
          <w:tcPr>
            <w:tcW w:type="dxa" w:w="172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ARR</w:t>
            </w:r>
          </w:p>
        </w:tc>
        <w:tc>
          <w:tcPr>
            <w:tcW w:type="dxa" w:w="1872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Annual Profit</w:t>
            </w:r>
          </w:p>
        </w:tc>
        <w:tc>
          <w:tcPr>
            <w:tcW w:type="dxa" w:w="100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Margin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10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$179</w:t>
            </w:r>
          </w:p>
        </w:tc>
        <w:tc>
          <w:tcPr>
            <w:tcW w:type="dxa" w:w="158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$128</w:t>
            </w:r>
          </w:p>
        </w:tc>
        <w:tc>
          <w:tcPr>
            <w:tcW w:type="dxa" w:w="1728"/>
            <w:shd w:val="clear" w:color="auto" w:fill="EEF0FE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$51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$2,152</w:t>
            </w:r>
          </w:p>
        </w:tc>
        <w:tc>
          <w:tcPr>
            <w:tcW w:type="dxa" w:w="187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$612</w:t>
            </w:r>
          </w:p>
        </w:tc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28%</w:t>
            </w:r>
          </w:p>
        </w:tc>
      </w:tr>
      <w:tr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100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$1,793</w:t>
            </w:r>
          </w:p>
        </w:tc>
        <w:tc>
          <w:tcPr>
            <w:tcW w:type="dxa" w:w="158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$612</w:t>
            </w:r>
          </w:p>
        </w:tc>
        <w:tc>
          <w:tcPr>
            <w:tcW w:type="dxa" w:w="1728"/>
            <w:shd w:val="clear" w:color="auto" w:fill="EEF0FE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$1,181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$21,516</w:t>
            </w:r>
          </w:p>
        </w:tc>
        <w:tc>
          <w:tcPr>
            <w:tcW w:type="dxa" w:w="187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$14,172</w:t>
            </w:r>
          </w:p>
        </w:tc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66%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1,000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$17,930</w:t>
            </w:r>
          </w:p>
        </w:tc>
        <w:tc>
          <w:tcPr>
            <w:tcW w:type="dxa" w:w="158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$5,400</w:t>
            </w:r>
          </w:p>
        </w:tc>
        <w:tc>
          <w:tcPr>
            <w:tcW w:type="dxa" w:w="1728"/>
            <w:shd w:val="clear" w:color="auto" w:fill="EEF0FE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$12,530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$215,160</w:t>
            </w:r>
          </w:p>
        </w:tc>
        <w:tc>
          <w:tcPr>
            <w:tcW w:type="dxa" w:w="187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$150,360</w:t>
            </w:r>
          </w:p>
        </w:tc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70%</w:t>
            </w:r>
          </w:p>
        </w:tc>
      </w:tr>
      <w:tr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10,000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$179,300</w:t>
            </w:r>
          </w:p>
        </w:tc>
        <w:tc>
          <w:tcPr>
            <w:tcW w:type="dxa" w:w="158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$53,280</w:t>
            </w:r>
          </w:p>
        </w:tc>
        <w:tc>
          <w:tcPr>
            <w:tcW w:type="dxa" w:w="1728"/>
            <w:shd w:val="clear" w:color="auto" w:fill="EEF0FE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$126,020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$2,151,600</w:t>
            </w:r>
          </w:p>
        </w:tc>
        <w:tc>
          <w:tcPr>
            <w:tcW w:type="dxa" w:w="187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$1,512,240</w:t>
            </w:r>
          </w:p>
        </w:tc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EF0FE"/>
          </w:tcPr>
          <w:p>
            <w:pPr>
              <w:spacing w:before="120" w:after="120"/>
              <w:ind w:left="216"/>
            </w:pPr>
            <w:r>
              <w:rPr>
                <w:rFonts w:ascii="Inter" w:hAnsi="Inter"/>
                <w:i/>
                <w:color w:val="475569"/>
                <w:sz w:val="19"/>
              </w:rPr>
              <w:t>Margin jumps from 28% → 66% between 10 and 100 users as fixed infrastructure is amortised across more paying accounts. Margin stabilises at ~70% from 1,000 users onward.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360" w:after="120"/>
      </w:pPr>
      <w:r>
        <w:rPr>
          <w:rFonts w:ascii="Inter" w:hAnsi="Inter"/>
          <w:b/>
          <w:color w:val="5B6CF9"/>
          <w:sz w:val="44"/>
        </w:rPr>
        <w:t>Section 4 — Annual Billing Cash Flow Bonus</w:t>
      </w:r>
    </w:p>
    <w:p>
      <w:pPr>
        <w:spacing w:after="120" w:before="0"/>
      </w:pPr>
      <w:r>
        <w:rPr>
          <w:rFonts w:ascii="Inter" w:hAnsi="Inter"/>
          <w:i w:val="0"/>
          <w:color w:val="475569"/>
          <w:sz w:val="19"/>
        </w:rPr>
        <w:t>Annual subscribers pay upfront, delivering a lump-sum working capital buffer each renewal cycle.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584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Annual Price</w:t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Cash Collected Upfront</w:t>
            </w:r>
          </w:p>
        </w:tc>
        <w:tc>
          <w:tcPr>
            <w:tcW w:type="dxa" w:w="2160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vs Monthly (12 mo)</w:t>
            </w:r>
          </w:p>
        </w:tc>
        <w:tc>
          <w:tcPr>
            <w:tcW w:type="dxa" w:w="1728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Discount Cost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Pro Annual</w:t>
            </w:r>
          </w:p>
        </w:tc>
        <w:tc>
          <w:tcPr>
            <w:tcW w:type="dxa" w:w="1584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$276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$276 on day 1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$348</w:t>
            </w:r>
          </w:p>
        </w:tc>
        <w:tc>
          <w:tcPr>
            <w:tcW w:type="dxa" w:w="17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–$72 / user</w:t>
            </w:r>
          </w:p>
        </w:tc>
      </w:tr>
      <w:tr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Agency Annual</w:t>
            </w:r>
          </w:p>
        </w:tc>
        <w:tc>
          <w:tcPr>
            <w:tcW w:type="dxa" w:w="1584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$756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$756 on day 1</w:t>
            </w:r>
          </w:p>
        </w:tc>
        <w:tc>
          <w:tcPr>
            <w:tcW w:type="dxa" w:w="21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5B6CF9"/>
                <w:sz w:val="18"/>
              </w:rPr>
              <w:t>$948</w:t>
            </w:r>
          </w:p>
        </w:tc>
        <w:tc>
          <w:tcPr>
            <w:tcW w:type="dxa" w:w="17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–$192 / user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Upfront Cash at 30% Annual Conversion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Users</w:t>
            </w:r>
          </w:p>
        </w:tc>
        <w:tc>
          <w:tcPr>
            <w:tcW w:type="dxa" w:w="216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Pro Annual Subs</w:t>
            </w:r>
          </w:p>
        </w:tc>
        <w:tc>
          <w:tcPr>
            <w:tcW w:type="dxa" w:w="2592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Agency Annual Subs</w:t>
            </w:r>
          </w:p>
        </w:tc>
        <w:tc>
          <w:tcPr>
            <w:tcW w:type="dxa" w:w="3168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Upfront Cash (Month 1)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100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7–8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4–5</w:t>
            </w:r>
          </w:p>
        </w:tc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~$5,600</w:t>
            </w:r>
          </w:p>
        </w:tc>
      </w:tr>
      <w:tr>
        <w:tc>
          <w:tcPr>
            <w:tcW w:type="dxa" w:w="115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1,000</w:t>
            </w:r>
          </w:p>
        </w:tc>
        <w:tc>
          <w:tcPr>
            <w:tcW w:type="dxa" w:w="216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75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45</w:t>
            </w:r>
          </w:p>
        </w:tc>
        <w:tc>
          <w:tcPr>
            <w:tcW w:type="dxa" w:w="316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~$54,720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10,000</w:t>
            </w:r>
          </w:p>
        </w:tc>
        <w:tc>
          <w:tcPr>
            <w:tcW w:type="dxa" w:w="216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750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450</w:t>
            </w:r>
          </w:p>
        </w:tc>
        <w:tc>
          <w:tcPr>
            <w:tcW w:type="dxa" w:w="316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~$547,200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pPr>
              <w:spacing w:before="120" w:after="120"/>
              <w:ind w:left="216"/>
            </w:pPr>
            <w:r>
              <w:rPr>
                <w:rFonts w:ascii="Inter" w:hAnsi="Inter"/>
                <w:i/>
                <w:color w:val="059669"/>
                <w:sz w:val="19"/>
              </w:rPr>
              <w:t>At 1,000 users, annual subscribers alone deliver ~$54,720 upfront — enough to cover ~7 months of infrastructure costs.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360" w:after="120"/>
      </w:pPr>
      <w:r>
        <w:rPr>
          <w:rFonts w:ascii="Inter" w:hAnsi="Inter"/>
          <w:b/>
          <w:color w:val="5B6CF9"/>
          <w:sz w:val="44"/>
        </w:rPr>
        <w:t>Section 5 — Risks &amp; Growth Levers</w:t>
      </w: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Risk Factors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592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00"/>
            <w:shd w:val="clear" w:color="auto" w:fill="0A0A0B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Agency users max video credits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API cost → $45–50/mo per user</w:t>
            </w:r>
          </w:p>
        </w:tc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Add video credit sub-cap (max 50 video cr/mo)</w:t>
            </w:r>
          </w:p>
        </w:tc>
      </w:tr>
      <w:tr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Free → Paid conversion &lt; 35%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Lower ARPU, slower growth</w:t>
            </w:r>
          </w:p>
        </w:tc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Stronger onboarding; tighten free tier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Magnific API price increase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Low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Margin compression</w:t>
            </w:r>
          </w:p>
        </w:tc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Negotiate annual contract at volume</w:t>
            </w:r>
          </w:p>
        </w:tc>
      </w:tr>
      <w:tr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Churn above 10% / month</w:t>
            </w:r>
          </w:p>
        </w:tc>
        <w:tc>
          <w:tcPr>
            <w:tcW w:type="dxa" w:w="144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MRR erosion</w:t>
            </w:r>
          </w:p>
        </w:tc>
        <w:tc>
          <w:tcPr>
            <w:tcW w:type="dxa" w:w="360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Push annual billing; improve stickiness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Competitor undercuts on price</w:t>
            </w:r>
          </w:p>
        </w:tc>
        <w:tc>
          <w:tcPr>
            <w:tcW w:type="dxa" w:w="144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Low</w:t>
            </w:r>
          </w:p>
        </w:tc>
        <w:tc>
          <w:tcPr>
            <w:tcW w:type="dxa" w:w="2592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Pricing pressure</w:t>
            </w:r>
          </w:p>
        </w:tc>
        <w:tc>
          <w:tcPr>
            <w:tcW w:type="dxa" w:w="360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Differentiate on model breadth + UX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Top Growth Levers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Lever</w:t>
            </w:r>
          </w:p>
        </w:tc>
        <w:tc>
          <w:tcPr>
            <w:tcW w:type="dxa" w:w="5328"/>
            <w:shd w:val="clear" w:color="auto" w:fill="5B6CF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Convert Free → Pro</w:t>
            </w:r>
          </w:p>
        </w:tc>
        <w:tc>
          <w:tcPr>
            <w:tcW w:type="dxa" w:w="53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Each conversion adds $23/mo net profit</w:t>
            </w:r>
          </w:p>
        </w:tc>
      </w:tr>
      <w:tr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2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Push annual billing</w:t>
            </w:r>
          </w:p>
        </w:tc>
        <w:tc>
          <w:tcPr>
            <w:tcW w:type="dxa" w:w="53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30% → 50% annual mix; improves cashflow and reduces churn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3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Cap Agency video credits</w:t>
            </w:r>
          </w:p>
        </w:tc>
        <w:tc>
          <w:tcPr>
            <w:tcW w:type="dxa" w:w="53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Saves $15–20/mo per heavy video user</w:t>
            </w:r>
          </w:p>
        </w:tc>
      </w:tr>
      <w:tr>
        <w:tc>
          <w:tcPr>
            <w:tcW w:type="dxa" w:w="100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4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Upsell Pro → Agency</w:t>
            </w:r>
          </w:p>
        </w:tc>
        <w:tc>
          <w:tcPr>
            <w:tcW w:type="dxa" w:w="5328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Adds $47.65/mo gross profit per upgrade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Claude API prompt caching</w:t>
            </w:r>
          </w:p>
        </w:tc>
        <w:tc>
          <w:tcPr>
            <w:tcW w:type="dxa" w:w="5328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Nova workflow cached prompts reduce LLM costs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Inter" w:hAnsi="Inter"/>
          <w:b/>
          <w:color w:val="0A0A0B"/>
          <w:sz w:val="26"/>
        </w:rPr>
        <w:t>Break-Even Reference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Target Monthly Profit</w:t>
            </w:r>
          </w:p>
        </w:tc>
        <w:tc>
          <w:tcPr>
            <w:tcW w:type="dxa" w:w="2880"/>
            <w:shd w:val="clear" w:color="auto" w:fill="475569"/>
          </w:tcPr>
          <w:p>
            <w:pPr>
              <w:spacing w:before="100" w:after="100"/>
              <w:ind w:left="115"/>
            </w:pPr>
            <w:r>
              <w:rPr>
                <w:rFonts w:ascii="Inter" w:hAnsi="Inter"/>
                <w:b/>
                <w:color w:val="FFFFFF"/>
                <w:sz w:val="18"/>
              </w:rPr>
              <w:t>Users Required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Cover fixed infra ($80/mo)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7 users</w:t>
            </w:r>
          </w:p>
        </w:tc>
      </w:tr>
      <w:tr>
        <w:tc>
          <w:tcPr>
            <w:tcW w:type="dxa" w:w="432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$1,000 / mo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85 users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$10,000 / mo</w:t>
            </w:r>
          </w:p>
        </w:tc>
        <w:tc>
          <w:tcPr>
            <w:tcW w:type="dxa" w:w="2880"/>
            <w:shd w:val="clear" w:color="auto" w:fill="FFFFFF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 w:val="0"/>
                <w:color w:val="475569"/>
                <w:sz w:val="18"/>
              </w:rPr>
              <w:t>860 users</w:t>
            </w:r>
          </w:p>
        </w:tc>
      </w:tr>
      <w:tr>
        <w:tc>
          <w:tcPr>
            <w:tcW w:type="dxa" w:w="432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$100,000 / mo</w:t>
            </w:r>
          </w:p>
        </w:tc>
        <w:tc>
          <w:tcPr>
            <w:tcW w:type="dxa" w:w="2880"/>
            <w:shd w:val="clear" w:color="auto" w:fill="F3F4F6"/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pPr>
              <w:spacing w:before="80" w:after="80"/>
              <w:ind w:left="115"/>
            </w:pPr>
            <w:r>
              <w:rPr>
                <w:rFonts w:ascii="Inter" w:hAnsi="Inter"/>
                <w:b/>
                <w:color w:val="475569"/>
                <w:sz w:val="18"/>
              </w:rPr>
              <w:t>7,900 users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Inter" w:hAnsi="Inter"/>
          <w:b/>
          <w:i w:val="0"/>
          <w:color w:val="0A0A0B"/>
          <w:sz w:val="18"/>
        </w:rPr>
        <w:t xml:space="preserve">Formula: </w:t>
      </w:r>
      <w:r>
        <w:rPr>
          <w:rFonts w:ascii="Courier New" w:hAnsi="Courier New"/>
          <w:b w:val="0"/>
          <w:i w:val="0"/>
          <w:color w:val="5B6CF9"/>
          <w:sz w:val="18"/>
        </w:rPr>
        <w:t>N = (Target Profit + $80) ÷ $12.76</w:t>
      </w:r>
      <w:r>
        <w:rPr>
          <w:rFonts w:ascii="Inter" w:hAnsi="Inter"/>
          <w:b w:val="0"/>
          <w:i w:val="0"/>
          <w:color w:val="9CA3AF"/>
          <w:sz w:val="17"/>
        </w:rPr>
        <w:t xml:space="preserve">  (net contribution per user after variable costs)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00"/>
      </w:pPr>
      <w:r>
        <w:rPr>
          <w:rFonts w:ascii="Inter" w:hAnsi="Inter"/>
          <w:b w:val="0"/>
          <w:i/>
          <w:color w:val="9CA3AF"/>
          <w:sz w:val="17"/>
        </w:rPr>
        <w:t>All Magnific API figures are estimates. Cross-reference against your Magnific billing dashboard monthly. Infrastructure costs scale with traffic — re-model when the platform exceeds 5,000 active daily users.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