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2FFB" w:rsidRDefault="00682FFB"/>
    <w:p w:rsidR="00BD73B9" w:rsidRDefault="00BD73B9"/>
    <w:tbl>
      <w:tblPr>
        <w:tblStyle w:val="TableGrid"/>
        <w:tblW w:w="9181" w:type="dxa"/>
        <w:tblLook w:val="04A0" w:firstRow="1" w:lastRow="0" w:firstColumn="1" w:lastColumn="0" w:noHBand="0" w:noVBand="1"/>
      </w:tblPr>
      <w:tblGrid>
        <w:gridCol w:w="9181"/>
      </w:tblGrid>
      <w:tr w:rsidR="00682FFB" w:rsidTr="00BD73B9">
        <w:trPr>
          <w:trHeight w:val="1137"/>
        </w:trPr>
        <w:tc>
          <w:tcPr>
            <w:tcW w:w="9181" w:type="dxa"/>
          </w:tcPr>
          <w:p w:rsidR="00BD73B9" w:rsidRDefault="00BD73B9" w:rsidP="00BD73B9">
            <w:pPr>
              <w:jc w:val="center"/>
              <w:rPr>
                <w:b/>
                <w:sz w:val="28"/>
                <w:szCs w:val="28"/>
              </w:rPr>
            </w:pPr>
          </w:p>
          <w:p w:rsidR="00BD73B9" w:rsidRDefault="00682FFB" w:rsidP="00BD73B9">
            <w:pPr>
              <w:jc w:val="center"/>
              <w:rPr>
                <w:b/>
                <w:sz w:val="28"/>
                <w:szCs w:val="28"/>
              </w:rPr>
            </w:pPr>
            <w:r w:rsidRPr="00A26E3C">
              <w:rPr>
                <w:b/>
                <w:sz w:val="28"/>
                <w:szCs w:val="28"/>
              </w:rPr>
              <w:t>RISK DISCLOSURES ON DERIVATIVES</w:t>
            </w:r>
          </w:p>
          <w:p w:rsidR="00BD73B9" w:rsidRPr="00A26E3C" w:rsidRDefault="00BD73B9" w:rsidP="00BD73B9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682FFB" w:rsidTr="00BD73B9">
        <w:trPr>
          <w:trHeight w:val="3328"/>
        </w:trPr>
        <w:tc>
          <w:tcPr>
            <w:tcW w:w="9181" w:type="dxa"/>
          </w:tcPr>
          <w:p w:rsidR="00BD73B9" w:rsidRDefault="00BD73B9" w:rsidP="00BD73B9">
            <w:pPr>
              <w:pStyle w:val="ListParagraph"/>
            </w:pPr>
          </w:p>
          <w:p w:rsidR="00682FFB" w:rsidRDefault="00682FFB" w:rsidP="00682FFB">
            <w:pPr>
              <w:pStyle w:val="ListParagraph"/>
              <w:numPr>
                <w:ilvl w:val="0"/>
                <w:numId w:val="1"/>
              </w:numPr>
            </w:pPr>
            <w:r>
              <w:t>9 out of 10 individual traders in equity Futures and Options Segment, incurred net losses.</w:t>
            </w:r>
          </w:p>
          <w:p w:rsidR="00682FFB" w:rsidRDefault="00682FFB" w:rsidP="00682FFB">
            <w:pPr>
              <w:pStyle w:val="ListParagraph"/>
            </w:pPr>
          </w:p>
          <w:p w:rsidR="00682FFB" w:rsidRDefault="00682FFB" w:rsidP="00682FFB">
            <w:pPr>
              <w:pStyle w:val="ListParagraph"/>
              <w:numPr>
                <w:ilvl w:val="0"/>
                <w:numId w:val="1"/>
              </w:numPr>
            </w:pPr>
            <w:r>
              <w:t xml:space="preserve">On an average, loss makers registered net trading loss close to </w:t>
            </w:r>
            <w:r>
              <w:rPr>
                <w:rFonts w:cstheme="minorHAnsi"/>
              </w:rPr>
              <w:t>₹</w:t>
            </w:r>
            <w:r>
              <w:t xml:space="preserve"> 50,000.</w:t>
            </w:r>
          </w:p>
          <w:p w:rsidR="00682FFB" w:rsidRDefault="00682FFB" w:rsidP="00682FFB">
            <w:pPr>
              <w:pStyle w:val="ListParagraph"/>
            </w:pPr>
          </w:p>
          <w:p w:rsidR="00682FFB" w:rsidRDefault="00682FFB" w:rsidP="00682FFB">
            <w:pPr>
              <w:pStyle w:val="ListParagraph"/>
              <w:numPr>
                <w:ilvl w:val="0"/>
                <w:numId w:val="1"/>
              </w:numPr>
            </w:pPr>
            <w:r>
              <w:t>Over and above the net trading losses incurred, loss makers expended an additional 28% of net trading losses as transaction costs.</w:t>
            </w:r>
          </w:p>
          <w:p w:rsidR="00682FFB" w:rsidRDefault="00682FFB" w:rsidP="00682FFB">
            <w:pPr>
              <w:pStyle w:val="ListParagraph"/>
            </w:pPr>
          </w:p>
          <w:p w:rsidR="00682FFB" w:rsidRDefault="00682FFB" w:rsidP="00682FFB">
            <w:pPr>
              <w:pStyle w:val="ListParagraph"/>
              <w:numPr>
                <w:ilvl w:val="0"/>
                <w:numId w:val="1"/>
              </w:numPr>
            </w:pPr>
            <w:r>
              <w:t xml:space="preserve">Those making net trading profits, incurred </w:t>
            </w:r>
            <w:proofErr w:type="gramStart"/>
            <w:r>
              <w:t>between</w:t>
            </w:r>
            <w:r w:rsidR="00A26E3C">
              <w:t xml:space="preserve"> </w:t>
            </w:r>
            <w:r>
              <w:t xml:space="preserve"> 15</w:t>
            </w:r>
            <w:proofErr w:type="gramEnd"/>
            <w:r>
              <w:t>% to 50% of such profits as transaction cost.</w:t>
            </w:r>
          </w:p>
          <w:p w:rsidR="00682FFB" w:rsidRDefault="00682FFB" w:rsidP="00682FFB">
            <w:pPr>
              <w:pStyle w:val="ListParagraph"/>
            </w:pPr>
            <w:bookmarkStart w:id="0" w:name="_GoBack"/>
            <w:bookmarkEnd w:id="0"/>
          </w:p>
        </w:tc>
      </w:tr>
    </w:tbl>
    <w:p w:rsidR="00682FFB" w:rsidRDefault="00682FFB"/>
    <w:p w:rsidR="00682FFB" w:rsidRDefault="00682FFB">
      <w:r>
        <w:t>Source:</w:t>
      </w:r>
    </w:p>
    <w:p w:rsidR="00682FFB" w:rsidRDefault="00682FFB" w:rsidP="00A26E3C">
      <w:pPr>
        <w:pStyle w:val="ListParagraph"/>
        <w:numPr>
          <w:ilvl w:val="0"/>
          <w:numId w:val="2"/>
        </w:numPr>
        <w:jc w:val="both"/>
      </w:pPr>
      <w:r>
        <w:t xml:space="preserve">SEBI study dated January 25, 2023 on “Analysis of Profit and Loss of Individual Traders dealing in equity Futures and Options (F&amp;O) segment”, wherein Aggregate Level findings are based on annual Profit/Loss incurred by individual traders in </w:t>
      </w:r>
      <w:r w:rsidR="00A26E3C">
        <w:t>equity F&amp;O during FY 2021-22</w:t>
      </w:r>
    </w:p>
    <w:sectPr w:rsidR="00682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C086257"/>
    <w:multiLevelType w:val="hybridMultilevel"/>
    <w:tmpl w:val="FEAE14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BA0515"/>
    <w:multiLevelType w:val="hybridMultilevel"/>
    <w:tmpl w:val="FC9EBD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FFB"/>
    <w:rsid w:val="00555437"/>
    <w:rsid w:val="00682FFB"/>
    <w:rsid w:val="00A26E3C"/>
    <w:rsid w:val="00BD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423ADC-9F85-45CF-8A3C-8186813BA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2F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2FF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6E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E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jadhav</dc:creator>
  <cp:keywords/>
  <dc:description/>
  <cp:lastModifiedBy>vandana jadhav</cp:lastModifiedBy>
  <cp:revision>2</cp:revision>
  <cp:lastPrinted>2023-07-04T05:34:00Z</cp:lastPrinted>
  <dcterms:created xsi:type="dcterms:W3CDTF">2023-06-20T06:43:00Z</dcterms:created>
  <dcterms:modified xsi:type="dcterms:W3CDTF">2023-07-04T05:54:00Z</dcterms:modified>
</cp:coreProperties>
</file>