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7D05F">
      <w:pPr>
        <w:spacing w:after="60"/>
        <w:jc w:val="center"/>
      </w:pPr>
      <w:r>
        <w:rPr>
          <w:rFonts w:ascii="Calibri" w:hAnsi="Calibri" w:eastAsia="微软雅黑"/>
          <w:b/>
          <w:i w:val="0"/>
          <w:color w:val="0B2545"/>
          <w:sz w:val="40"/>
        </w:rPr>
        <w:t>AI</w:t>
      </w:r>
      <w:r>
        <w:rPr>
          <w:rFonts w:hint="eastAsia" w:ascii="Calibri" w:hAnsi="Calibri"/>
          <w:b/>
          <w:i w:val="0"/>
          <w:color w:val="0B2545"/>
          <w:sz w:val="40"/>
          <w:lang w:val="en-US" w:eastAsia="zh-CN"/>
        </w:rPr>
        <w:t xml:space="preserve"> for Research</w:t>
      </w:r>
      <w:r>
        <w:rPr>
          <w:rFonts w:ascii="Calibri" w:hAnsi="Calibri" w:eastAsia="微软雅黑"/>
          <w:b/>
          <w:i w:val="0"/>
          <w:color w:val="0B2545"/>
          <w:sz w:val="40"/>
        </w:rPr>
        <w:t>赛道｜算法赛初赛方案大纲</w:t>
      </w:r>
    </w:p>
    <w:p w14:paraId="20B94760">
      <w:pPr>
        <w:spacing w:after="200"/>
        <w:jc w:val="center"/>
      </w:pPr>
      <w:r>
        <w:rPr>
          <w:rFonts w:ascii="Calibri" w:hAnsi="Calibri" w:eastAsia="微软雅黑"/>
          <w:b w:val="0"/>
          <w:i w:val="0"/>
          <w:color w:val="5A6573"/>
          <w:sz w:val="21"/>
        </w:rPr>
        <w:t>初赛提交：方案说明文档、技术路线概述</w:t>
      </w:r>
    </w:p>
    <w:p w14:paraId="4964E8B9">
      <w:pPr>
        <w:shd w:val="clear" w:fill="F4F6F9"/>
        <w:spacing w:before="40" w:after="120"/>
      </w:pPr>
      <w:r>
        <w:rPr>
          <w:rFonts w:ascii="Calibri" w:hAnsi="Calibri" w:eastAsia="微软雅黑"/>
          <w:b/>
          <w:i w:val="0"/>
          <w:color w:val="1F4D78"/>
          <w:sz w:val="19"/>
        </w:rPr>
        <w:t>赛事要求：</w:t>
      </w:r>
      <w:r>
        <w:rPr>
          <w:rFonts w:ascii="Calibri" w:hAnsi="Calibri" w:eastAsia="微软雅黑"/>
          <w:b/>
          <w:i w:val="0"/>
          <w:color w:val="1F4D78"/>
          <w:sz w:val="19"/>
        </w:rPr>
        <w:br w:type="textWrapping"/>
      </w:r>
      <w:r>
        <w:rPr>
          <w:rFonts w:hint="eastAsia" w:ascii="Calibri" w:hAnsi="Calibri"/>
          <w:b/>
          <w:i w:val="0"/>
          <w:color w:val="1F4D78"/>
          <w:sz w:val="19"/>
          <w:lang w:val="en-US" w:eastAsia="zh-CN"/>
        </w:rPr>
        <w:t>1.</w:t>
      </w:r>
      <w:r>
        <w:rPr>
          <w:rFonts w:ascii="Calibri" w:hAnsi="Calibri" w:eastAsia="微软雅黑"/>
          <w:b w:val="0"/>
          <w:i w:val="0"/>
          <w:color w:val="0B2545"/>
          <w:sz w:val="19"/>
        </w:rPr>
        <w:t>初赛材料应说明所选方向、科学问题理解、技术方案与预期方法路线；可附初步实验或可行性验证。</w:t>
      </w:r>
      <w:r>
        <w:rPr>
          <w:rFonts w:ascii="Calibri" w:hAnsi="Calibri" w:eastAsia="微软雅黑"/>
          <w:b w:val="0"/>
          <w:i w:val="0"/>
          <w:color w:val="0B2545"/>
          <w:sz w:val="19"/>
        </w:rPr>
        <w:br w:type="textWrapping"/>
      </w:r>
      <w:r>
        <w:rPr>
          <w:rFonts w:hint="eastAsia" w:ascii="Calibri" w:hAnsi="Calibri"/>
          <w:b/>
          <w:i w:val="0"/>
          <w:color w:val="1F4D78"/>
          <w:sz w:val="19"/>
          <w:lang w:val="en-US" w:eastAsia="zh-CN"/>
        </w:rPr>
        <w:t>2.</w:t>
      </w:r>
      <w:r>
        <w:rPr>
          <w:rFonts w:ascii="Calibri" w:hAnsi="Calibri" w:eastAsia="微软雅黑"/>
          <w:b w:val="0"/>
          <w:i w:val="0"/>
          <w:color w:val="0B2545"/>
          <w:sz w:val="19"/>
        </w:rPr>
        <w:t>独立完成，禁止使用 AI 作答；重点考察核心思考，不以篇幅长短为标准。</w:t>
      </w:r>
    </w:p>
    <w:p w14:paraId="6EC02D40">
      <w:pPr>
        <w:pStyle w:val="3"/>
      </w:pPr>
      <w:r>
        <w:t>一、项目概述</w:t>
      </w:r>
    </w:p>
    <w:p w14:paraId="5A5B4A87">
      <w:pPr>
        <w:pStyle w:val="4"/>
      </w:pPr>
      <w:r>
        <w:t>1.1 项目名称</w:t>
      </w:r>
    </w:p>
    <w:p>
      <w:pPr/>
      <w:r>
        <w:t>材料证据链：面向超导材料的文献驱动构效关系发现Agent</w:t>
      </w:r>
    </w:p>
    <w:p w14:paraId="4E8C4087">
      <w:pPr>
        <w:pStyle w:val="4"/>
      </w:pPr>
      <w:r>
        <w:t>1.2 参赛方向</w:t>
      </w:r>
    </w:p>
    <w:p>
      <w:pPr/>
      <w:r>
        <w:t>赛道三 前沿探索 AI for Research · 算法赛 · 方向三：材料科学文献驱动的科学发现智能体。完成必做基本任务“文献调研Agent”，并衔接进阶路线A“构效关系发现”。</w:t>
      </w:r>
    </w:p>
    <w:p w14:paraId="5586175B">
      <w:pPr>
        <w:pStyle w:val="4"/>
      </w:pPr>
      <w:r>
        <w:t>1.3 方案概述</w:t>
      </w:r>
    </w:p>
    <w:p>
      <w:pPr/>
      <w:r>
        <w:t>本项目聚焦超导材料文献中分散、异构且难以直接迁移的组成—结构—性能关系。系统以可审计工作流编排检索、抽取、构图、关系比较、类比迁移、候选筛选和证据报告：规则程序负责组成解析、关系枚举、去重、退化检测和引用留痕，LLM只在候选排序与搜索扩张两个受约束决策点工作。团队自研L1—L4算法、核心证据底账和Agent四端口；外部使用Sciverse、MatKG、Gemini及React/Electron/Vite前端并明确披露边界。当前已完成工程可行性验证和Materials Project单库初步排重：4条有效组成完成真实查询且无精确匹配，2条因负计量数无法查询。6条仍是待验证候选假设，不宣称新材料或已确认Research Gap。</w:t>
      </w:r>
    </w:p>
    <w:p w14:paraId="0DB562A3">
      <w:pPr>
        <w:pStyle w:val="3"/>
      </w:pPr>
      <w:r>
        <w:t>二、科学问题理解</w:t>
      </w:r>
    </w:p>
    <w:p w14:paraId="2CB04FF0">
      <w:pPr>
        <w:pStyle w:val="4"/>
      </w:pPr>
      <w:r>
        <w:t>2.1 科学问题与研究对象</w:t>
      </w:r>
    </w:p>
    <w:p>
      <w:pPr/>
      <w:r>
        <w:t>超导材料研究跨越铁基、铜氧化物、二硼化物和镍酸盐等体系。同一种取代、掺杂、压力或复合添加，在不同结构家族中可能产生不同结果；文献又常以自然语言描述局部实验，导致研究者难以系统比较“什么变换在什么条件下曾经有效”。本项目不试图替代材料学判断，而是把可核验的文献关系整理成可计算、可反查的搜索空间。当前资源规模为81条核心关系、53个唯一DOI和94个核心材料；它是小规模证据底账，不代表领域文献总量。</w:t>
      </w:r>
    </w:p>
    <w:p>
      <w:pPr/>
      <w:r>
        <w:t>科学问题被拆成三类可检索原型：第一，已在一种材料家族成立的成分变换，迁移到同族目标时会产生哪些可证伪候选；第二，同一关系类型的向量表达是否存在平行、反向或退化编码；第三，候选是否已被结构数据库或既有文献覆盖。项目负责人具有机械工程博士训练和视觉算法积累，类比迁移思路来自用图论与数学结构标准化描述材料关系，并参考图论相关开源实现；方案不点名未经确认的具体项目。</w:t>
      </w:r>
    </w:p>
    <w:p>
      <w:pPr/>
      <w:r>
        <w:t>系统严格区分三层：文献事实是核心边中的材料A/B、DOI和证据摘录；跨文献推论是同类关系向量的平行性及可迁移性；待验证假设是迁移后得到的候选组成。只有第一层可直接称为已知证据，第二层必须附计算来源，第三层必须标“候选假设（未验证）”。数据库未命中也只能说明特定查询未见记录，不能单独等同于新材料发现。</w:t>
      </w:r>
    </w:p>
    <w:p w14:paraId="3B58D0D4">
      <w:pPr>
        <w:pStyle w:val="4"/>
      </w:pPr>
      <w:r>
        <w:t>2.2 科学意义</w:t>
      </w:r>
    </w:p>
    <w:p>
      <w:pPr/>
      <w:r>
        <w:t>方法层面，本项目把“文献二次阅读可能产生新线索”转化为有纪律的证据链：每条关系可回到DOI，每次规则比较可复算，每个LLM调用可审计，任何失败均显式降级。这样可降低自由生成带来的虚假引用和假设事实化风险。</w:t>
      </w:r>
    </w:p>
    <w:p>
      <w:pPr/>
      <w:r>
        <w:t>领域层面，系统输出的不是不可解释的答案，而是带源变换、目标基底、组成差分、证据余弦和下一步要求的候选清单。实验或计算团队可按证据强度、结构家族和可操作性排序，再进入数据库检索、第一性原理计算或合成验证，形成“AI提出线索—数据库排重—计算/实验验证—证据回写”的闭环。</w:t>
      </w:r>
    </w:p>
    <w:p>
      <w:pPr/>
      <w:r>
        <w:t>评测层面，核心/扩展证据分级、非退化规则计数、候选池跨轮增长和固定候选字段，使新颖性、可操作性、可溯源性不再只靠文字判断。评审者可从报告追到JSON、CSV、调用审计和测试结果，复核系统是否真的在运行。</w:t>
      </w:r>
    </w:p>
    <w:p w14:paraId="278636F0">
      <w:r>
        <w:br w:type="page"/>
      </w:r>
    </w:p>
    <w:p w14:paraId="05E34B78">
      <w:pPr>
        <w:pStyle w:val="3"/>
      </w:pPr>
      <w:r>
        <w:t>三、技术方案与预期方法路线</w:t>
      </w:r>
    </w:p>
    <w:p w14:paraId="368D8F12">
      <w:pPr>
        <w:pStyle w:val="4"/>
      </w:pPr>
      <w:r>
        <w:t>3.1 技术方案</w:t>
      </w:r>
    </w:p>
    <w:p>
      <w:pPr/>
      <w:r>
        <w:t>系统由任务规划、检索筛选、证据抽取、图构建、规则比较、类比迁移、候选审计和报告生成组成。LLM承担受限集合内的候选排序与是否扩张判断；规则程序承担成分解析、向量差分、退化识别、候选ID约束、去重、引用编号和审计落盘。与普通RAG的差异有两点：其一，候选必须由结构化关系变换和非退化证据产生，不能由大模型自由命名；其二，每条候选固定包含源变换、目标基底、组成差分、关系类型、证据相似度、状态及建议验证方法。核心证据和MatKG弱证据物理隔离，后者只扩展向量空间。</w:t>
      </w:r>
    </w:p>
    <w:p w14:paraId="5F753052">
      <w:pPr>
        <w:pStyle w:val="4"/>
      </w:pPr>
      <w:r>
        <w:t>3.2 预期方法路线</w:t>
      </w:r>
    </w:p>
    <w:p>
      <w:pPr/>
      <w:r>
        <w:t>1 科学问题与结构家族→任务规划Agent拆解范围和纳排标准→检索计划；2 检索词与时间窗→Sciverse API查询并留痕→候选文献集；3 候选文献→规则字段检查与人工筛选→待抽取记录；4 文献证据片段→抽取材料A/B、R1—R9、DOI、强度与摘录→核心边草稿；5 核心边草稿→DOI、方向和重复项核验→knowledge/edges.csv；6 MatKG原始流→材料实体过滤与关系语义过滤→独立弱证据集；7 核心/扩展边→显式build_graph参数加载→带来源标签的材料图；8 材料组成式→graph.py解析与向量化→统一元素空间；9 同类边向量→rules.py余弦比较及退化检测→非退化证据对；10 非退化源变换与目标材料→application.py类比迁移→候选池；11 候选池→LLM受限排序或可解释降级→本轮保留候选；12 轮次历史→LLM扩张判断并暴露次优源变换→增长后的候选池；13 候选组成→Materials Project/OQMD/NOMAD排重→已知项或待验证项；14 候选与证据底账→报告Agent生成固定字段证据链→人工签审清单；15 签审后的候选→计算或实验验证→结果回写核心底账。</w:t>
      </w:r>
    </w:p>
    <w:p>
      <w:pPr/>
      <w:r>
        <w:t>组件分工保持可解释：LLM不计算组成、不修改DOI、不越过候选ID集合；Python规则程序负责确定性结构操作；CSV/JSON承担轻量数据库与底账；工作流通过agent/workflow.json固定输入输出；Matplotlib只生成结果图。当前没有引入未披露的Embedding或Reranker，未来若引入必须记录模型卡、许可证和版本。</w:t>
      </w:r>
    </w:p>
    <w:p w14:paraId="1BA7D3E9">
      <w:pPr>
        <w:pStyle w:val="4"/>
      </w:pPr>
      <w:r>
        <w:t>3.3 数据来源、依赖工具与运行流程</w:t>
      </w:r>
    </w:p>
    <w:p>
      <w:pPr/>
      <w:r>
        <w:t>数据和工具按自研核心与外部依赖拆分，避免“全自研”表述掩盖真实来源。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</w:tcPr>
          <w:p>
            <w:r>
              <w:t>工具/数据</w:t>
            </w:r>
          </w:p>
        </w:tc>
        <w:tc>
          <w:tcPr>
            <w:tcW w:type="dxa" w:w="1976"/>
          </w:tcPr>
          <w:p>
            <w:r>
              <w:t>用途</w:t>
            </w:r>
          </w:p>
        </w:tc>
        <w:tc>
          <w:tcPr>
            <w:tcW w:type="dxa" w:w="1976"/>
          </w:tcPr>
          <w:p>
            <w:r>
              <w:t>来源与开源</w:t>
            </w:r>
          </w:p>
        </w:tc>
        <w:tc>
          <w:tcPr>
            <w:tcW w:type="dxa" w:w="1976"/>
          </w:tcPr>
          <w:p>
            <w:r>
              <w:t>外部API/许可</w:t>
            </w:r>
          </w:p>
        </w:tc>
        <w:tc>
          <w:tcPr>
            <w:tcW w:type="dxa" w:w="1976"/>
          </w:tcPr>
          <w:p>
            <w:r>
              <w:t>复现影响</w:t>
            </w:r>
          </w:p>
        </w:tc>
      </w:tr>
      <w:tr>
        <w:tc>
          <w:tcPr>
            <w:tcW w:type="dxa" w:w="1976"/>
          </w:tcPr>
          <w:p>
            <w:r>
              <w:t>自研L1—L4 Python代码</w:t>
            </w:r>
          </w:p>
        </w:tc>
        <w:tc>
          <w:tcPr>
            <w:tcW w:type="dxa" w:w="1976"/>
          </w:tcPr>
          <w:p>
            <w:r>
              <w:t>构图、退化检测、迁移、轮次搜索</w:t>
            </w:r>
          </w:p>
        </w:tc>
        <w:tc>
          <w:tcPr>
            <w:tcW w:type="dxa" w:w="1976"/>
          </w:tcPr>
          <w:p>
            <w:r>
              <w:t>本仓库src，标准库</w:t>
            </w:r>
          </w:p>
        </w:tc>
        <w:tc>
          <w:tcPr>
            <w:tcW w:type="dxa" w:w="1976"/>
          </w:tcPr>
          <w:p>
            <w:r>
              <w:t>无</w:t>
            </w:r>
          </w:p>
        </w:tc>
        <w:tc>
          <w:tcPr>
            <w:tcW w:type="dxa" w:w="1976"/>
          </w:tcPr>
          <w:p>
            <w:r>
              <w:t>可离线复现</w:t>
            </w:r>
          </w:p>
        </w:tc>
      </w:tr>
      <w:tr>
        <w:tc>
          <w:tcPr>
            <w:tcW w:type="dxa" w:w="1976"/>
          </w:tcPr>
          <w:p>
            <w:r>
              <w:t>核心edges.csv</w:t>
            </w:r>
          </w:p>
        </w:tc>
        <w:tc>
          <w:tcPr>
            <w:tcW w:type="dxa" w:w="1976"/>
          </w:tcPr>
          <w:p>
            <w:r>
              <w:t>强证据底账</w:t>
            </w:r>
          </w:p>
        </w:tc>
        <w:tc>
          <w:tcPr>
            <w:tcW w:type="dxa" w:w="1976"/>
          </w:tcPr>
          <w:p>
            <w:r>
              <w:t>团队逐条核验</w:t>
            </w:r>
          </w:p>
        </w:tc>
        <w:tc>
          <w:tcPr>
            <w:tcW w:type="dxa" w:w="1976"/>
          </w:tcPr>
          <w:p>
            <w:r>
              <w:t>53个DOI</w:t>
            </w:r>
          </w:p>
        </w:tc>
        <w:tc>
          <w:tcPr>
            <w:tcW w:type="dxa" w:w="1976"/>
          </w:tcPr>
          <w:p>
            <w:r>
              <w:t>随仓库复核</w:t>
            </w:r>
          </w:p>
        </w:tc>
      </w:tr>
      <w:tr>
        <w:tc>
          <w:tcPr>
            <w:tcW w:type="dxa" w:w="1976"/>
          </w:tcPr>
          <w:p>
            <w:r>
              <w:t>MatKG</w:t>
            </w:r>
          </w:p>
        </w:tc>
        <w:tc>
          <w:tcPr>
            <w:tcW w:type="dxa" w:w="1976"/>
          </w:tcPr>
          <w:p>
            <w:r>
              <w:t>弱证据向量扩展</w:t>
            </w:r>
          </w:p>
        </w:tc>
        <w:tc>
          <w:tcPr>
            <w:tcW w:type="dxa" w:w="1976"/>
          </w:tcPr>
          <w:p>
            <w:r>
              <w:t>Venugopal &amp; Olivetti 2024</w:t>
            </w:r>
          </w:p>
        </w:tc>
        <w:tc>
          <w:tcPr>
            <w:tcW w:type="dxa" w:w="1976"/>
          </w:tcPr>
          <w:p>
            <w:r>
              <w:t>CC0</w:t>
            </w:r>
          </w:p>
        </w:tc>
        <w:tc>
          <w:tcPr>
            <w:tcW w:type="dxa" w:w="1976"/>
          </w:tcPr>
          <w:p>
            <w:r>
              <w:t>不作强结论</w:t>
            </w:r>
          </w:p>
        </w:tc>
      </w:tr>
      <w:tr>
        <w:tc>
          <w:tcPr>
            <w:tcW w:type="dxa" w:w="1976"/>
          </w:tcPr>
          <w:p>
            <w:r>
              <w:t>Sciverse API</w:t>
            </w:r>
          </w:p>
        </w:tc>
        <w:tc>
          <w:tcPr>
            <w:tcW w:type="dxa" w:w="1976"/>
          </w:tcPr>
          <w:p>
            <w:r>
              <w:t>文献检索</w:t>
            </w:r>
          </w:p>
        </w:tc>
        <w:tc>
          <w:tcPr>
            <w:tcW w:type="dxa" w:w="1976"/>
          </w:tcPr>
          <w:p>
            <w:r>
              <w:t>赛事官方推荐源</w:t>
            </w:r>
          </w:p>
        </w:tc>
        <w:tc>
          <w:tcPr>
            <w:tcW w:type="dxa" w:w="1976"/>
          </w:tcPr>
          <w:p>
            <w:r>
              <w:t>运行时凭据</w:t>
            </w:r>
          </w:p>
        </w:tc>
        <w:tc>
          <w:tcPr>
            <w:tcW w:type="dxa" w:w="1976"/>
          </w:tcPr>
          <w:p>
            <w:r>
              <w:t>日志可查，离线重放受限</w:t>
            </w:r>
          </w:p>
        </w:tc>
      </w:tr>
      <w:tr>
        <w:tc>
          <w:tcPr>
            <w:tcW w:type="dxa" w:w="1976"/>
          </w:tcPr>
          <w:p>
            <w:r>
              <w:t>Gemini API</w:t>
            </w:r>
          </w:p>
        </w:tc>
        <w:tc>
          <w:tcPr>
            <w:tcW w:type="dxa" w:w="1976"/>
          </w:tcPr>
          <w:p>
            <w:r>
              <w:t>排序与扩张决策</w:t>
            </w:r>
          </w:p>
        </w:tc>
        <w:tc>
          <w:tcPr>
            <w:tcW w:type="dxa" w:w="1976"/>
          </w:tcPr>
          <w:p>
            <w:r>
              <w:t>Google商业服务</w:t>
            </w:r>
          </w:p>
        </w:tc>
        <w:tc>
          <w:tcPr>
            <w:tcW w:type="dxa" w:w="1976"/>
          </w:tcPr>
          <w:p>
            <w:r>
              <w:t>gemini-3.6-flash</w:t>
            </w:r>
          </w:p>
        </w:tc>
        <w:tc>
          <w:tcPr>
            <w:tcW w:type="dxa" w:w="1976"/>
          </w:tcPr>
          <w:p>
            <w:r>
              <w:t>无key时显式降级</w:t>
            </w:r>
          </w:p>
        </w:tc>
      </w:tr>
      <w:tr>
        <w:tc>
          <w:tcPr>
            <w:tcW w:type="dxa" w:w="1976"/>
          </w:tcPr>
          <w:p>
            <w:r>
              <w:t>Materials Project</w:t>
            </w:r>
          </w:p>
        </w:tc>
        <w:tc>
          <w:tcPr>
            <w:tcW w:type="dxa" w:w="1976"/>
          </w:tcPr>
          <w:p>
            <w:r>
              <w:t>候选组成交叉验证</w:t>
            </w:r>
          </w:p>
        </w:tc>
        <w:tc>
          <w:tcPr>
            <w:tcW w:type="dxa" w:w="1976"/>
          </w:tcPr>
          <w:p>
            <w:r>
              <w:t>公共材料数据库</w:t>
            </w:r>
          </w:p>
        </w:tc>
        <w:tc>
          <w:tcPr>
            <w:tcW w:type="dxa" w:w="1976"/>
          </w:tcPr>
          <w:p>
            <w:r>
              <w:t>x-api-key运行时认证</w:t>
            </w:r>
          </w:p>
        </w:tc>
        <w:tc>
          <w:tcPr>
            <w:tcW w:type="dxa" w:w="1976"/>
          </w:tcPr>
          <w:p>
            <w:r>
              <w:t>4条查询完成，2条无效组成未查询</w:t>
            </w:r>
          </w:p>
        </w:tc>
      </w:tr>
      <w:tr>
        <w:tc>
          <w:tcPr>
            <w:tcW w:type="dxa" w:w="1976"/>
          </w:tcPr>
          <w:p>
            <w:r>
              <w:t>Matplotlib</w:t>
            </w:r>
          </w:p>
        </w:tc>
        <w:tc>
          <w:tcPr>
            <w:tcW w:type="dxa" w:w="1976"/>
          </w:tcPr>
          <w:p>
            <w:r>
              <w:t>统计与增长图</w:t>
            </w:r>
          </w:p>
        </w:tc>
        <w:tc>
          <w:tcPr>
            <w:tcW w:type="dxa" w:w="1976"/>
          </w:tcPr>
          <w:p>
            <w:r>
              <w:t>Python开源库</w:t>
            </w:r>
          </w:p>
        </w:tc>
        <w:tc>
          <w:tcPr>
            <w:tcW w:type="dxa" w:w="1976"/>
          </w:tcPr>
          <w:p>
            <w:r>
              <w:t>开源许可</w:t>
            </w:r>
          </w:p>
        </w:tc>
        <w:tc>
          <w:tcPr>
            <w:tcW w:type="dxa" w:w="1976"/>
          </w:tcPr>
          <w:p>
            <w:r>
              <w:t>不影响判定</w:t>
            </w:r>
          </w:p>
        </w:tc>
      </w:tr>
      <w:tr>
        <w:tc>
          <w:tcPr>
            <w:tcW w:type="dxa" w:w="1976"/>
          </w:tcPr>
          <w:p>
            <w:r>
              <w:t>React/Electron/Vite前端</w:t>
            </w:r>
          </w:p>
        </w:tc>
        <w:tc>
          <w:tcPr>
            <w:tcW w:type="dxa" w:w="1976"/>
          </w:tcPr>
          <w:p>
            <w:r>
              <w:t>桌面交互与图谱展示</w:t>
            </w:r>
          </w:p>
        </w:tc>
        <w:tc>
          <w:tcPr>
            <w:tcW w:type="dxa" w:w="1976"/>
          </w:tcPr>
          <w:p>
            <w:r>
              <w:t>LL-LK/cl-agent，谭力奎开发</w:t>
            </w:r>
          </w:p>
        </w:tc>
        <w:tc>
          <w:tcPr>
            <w:tcW w:type="dxa" w:w="1976"/>
          </w:tcPr>
          <w:p>
            <w:r>
              <w:t>开源框架</w:t>
            </w:r>
          </w:p>
        </w:tc>
        <w:tc>
          <w:tcPr>
            <w:tcW w:type="dxa" w:w="1976"/>
          </w:tcPr>
          <w:p>
            <w:r>
              <w:t>与算法仓库按接口集成</w:t>
            </w:r>
          </w:p>
        </w:tc>
      </w:tr>
    </w:tbl>
    <w:p>
      <w:pPr/>
      <w:r>
        <w:t>运行流程对应3.2的15步；查询、规则输出、LLM成功/失败、搜索轮次和最终状态均写入CSV或JSON底账。</w:t>
      </w:r>
    </w:p>
    <w:p w14:paraId="75628886">
      <w:pPr>
        <w:pStyle w:val="3"/>
      </w:pPr>
      <w:r>
        <w:t>四、阶段性实验结果或可行性验证</w:t>
      </w:r>
    </w:p>
    <w:p w14:paraId="4CB01721">
      <w:pPr>
        <w:pStyle w:val="4"/>
      </w:pPr>
      <w:r>
        <w:t>4.1 阶段性实验或可行性验证</w:t>
      </w:r>
    </w:p>
    <w:p>
      <w:pPr/>
      <w:r>
        <w:t>本章同时区分已完成工程验证与未完成科学验证，不虚构数据。已完成验证包括：Sciverse检索扩库、核心/扩展证据隔离、四家族搜索回归、候选池跨轮增长、LLM审计、20项自动化测试和Materials Project单库初步排重。尚未完成OQMD/NOMAD、文献排重、领域签审与实验验证。</w:t>
      </w:r>
    </w:p>
    <w:p>
      <w:pPr/>
      <w:r>
        <w:t>Materials Project真实交叉验证由src/mp_crosscheck.py执行：从私密配置读取密钥，使用官方客户端当前采用的x-api-key请求头；将target_base归一化组成叠加predicted_composition_delta，负计量数直接拒绝；按精确化学体系拉取记录，再以元素分数绝对误差0.001匹配。6条中4条完成查询且无精确匹配：Fe-S-Te体系的2条Fe4Te3S及As-Ce-F-Fe-O体系的1条Ce8Fe8As8O7F均与候选组成不同，另外两个体系无记录；2条因负计量数无法形成有效化学式。变量x沿用雏形约定取0.5，复合添加暂按单一组成近似。结果见outputs/mp_crosscheck.json；单库未命中仍需OQMD、NOMAD、文献与实验复核。</w:t>
      </w:r>
    </w:p>
    <w:p w14:paraId="1C139F2F">
      <w:pPr>
        <w:pStyle w:val="4"/>
      </w:pPr>
      <w:r>
        <w:t>4.2 当前结果</w:t>
      </w:r>
    </w:p>
    <w:p>
      <w:pPr/>
      <w:r>
        <w:t>① 证据底账：81条核心边、53个唯一DOI、94个核心材料，见knowledge/edges.csv和outputs/pipeline_report.json。② 弱证据扩展：MatKG经流式双层过滤获得210条边，见knowledge/edges_matkg.csv和matkg_import_report.json。③ 规则验证：438次同类比较中记录326组非退化证据。④ 候选输出：6条均标“候选假设（未验证）”，见L4_application.candidates。⑤ 搜索验证：122、1111、11、MgB2四家族验收PASS，候选池分别33→52、56→96、56→96、44→76。⑥ 工程验证：20/20测试通过。⑦ LLM底账：160次逻辑决策中39次真实Gemini成功，其余诚实降级；调用成功不代表科学假设成立。⑧ MP排重：4条有效组成真实查询、0条精确匹配，2条负计量数组成未查询；因此仍不能写成已完成Gap识别。</w:t>
      </w:r>
    </w:p>
    <w:p w14:paraId="60E0A970">
      <w:r>
        <w:br w:type="page"/>
      </w:r>
    </w:p>
    <w:p w14:paraId="3FAC3FFA">
      <w:pPr>
        <w:pStyle w:val="3"/>
      </w:pPr>
      <w:r>
        <w:t>五、复现与开放计划</w:t>
      </w:r>
    </w:p>
    <w:p w14:paraId="72EA75A9">
      <w:pPr>
        <w:pStyle w:val="4"/>
      </w:pPr>
      <w:r>
        <w:t>5.1 复现方式</w:t>
      </w:r>
    </w:p>
    <w:p>
      <w:pPr/>
      <w:r>
        <w:t>仓库当前为私有。复现采用raw/knowledge/src三层：raw仅放可再获取的原始输入或下载说明，knowledge保存规范化核心/扩展关系，src保存确定性转换与搜索代码。执行测试后运行pipeline、四家族search/verify和visualize即可重建JSON与图。CLAUDE.md作为编译器契约，规定真实实现优先、证据等级、输出位置和诚实降级。日志与调用审计随结果逐层追溯。</w:t>
      </w:r>
    </w:p>
    <w:p w14:paraId="581B36CB">
      <w:pPr>
        <w:pStyle w:val="4"/>
      </w:pPr>
      <w:r>
        <w:t>5.2 开源计划</w:t>
      </w:r>
    </w:p>
    <w:p>
      <w:pPr/>
      <w:r>
        <w:t>计划在完成队友授权和赛事审查后开放自研图构建、规则检测、类比迁移、搜索管线、Agent schema、底账模板、测试与脱敏示例。第三方原始数据体不重复分发；MatKG只披露来源、许可和转换方法。仓库不包含密钥，调用日志移除绝对路径并保留模式、时间和结果摘要。版本以提交SHA锁定，后续补充Docker一键复现包。</w:t>
      </w:r>
    </w:p>
    <w:p w14:paraId="5FDE29FF">
      <w:pPr>
        <w:pStyle w:val="4"/>
      </w:pPr>
      <w:r>
        <w:t>5.3 依赖、数据来源与合规披露</w:t>
      </w:r>
    </w:p>
    <w:p>
      <w:pPr/>
      <w:r>
        <w:t>依赖、许可与复现影响见3.3。商业Gemini仅用于两个受约束决策点；调用逐条审计，并提供无API时的可解释启发式替代路径。Sciverse与Materials Project凭据只在运行时读取，不写入仓库。MatKG依CC0使用且不提升为强证据。前端来自LL-LK/cl-agent，由谭力奎开发。本方案由AI工具辅助起草，团队已逐项核验事实、引用与数字真实性并承担审查责任；未经核验的AI生成内容不提交。</w:t>
      </w:r>
    </w:p>
    <w:p w14:paraId="6D76D1A3">
      <w:pPr>
        <w:spacing w:after="100"/>
        <w:ind w:left="173" w:firstLine="0"/>
      </w:pPr>
    </w:p>
    <w:p w14:paraId="3781D2A0">
      <w:pPr>
        <w:pStyle w:val="3"/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六、团队介绍</w:t>
      </w:r>
    </w:p>
    <w:p w14:paraId="6260B6F6">
      <w:pPr>
        <w:pStyle w:val="4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6.1 成员背景</w:t>
      </w:r>
      <w:bookmarkStart w:id="0" w:name="_GoBack"/>
      <w:bookmarkEnd w:id="0"/>
    </w:p>
    <w:p>
      <w:pPr/>
      <w:r>
        <w:t>吕志远（winnie）：博士在读，AI Agent方向；核心技能为智能体工程（Skill、MCP与工作流编排）、全链路工具开发和科研方案撰写。谭力奎：桂林理工大学，AI Agent方向；核心技能为harness架构设计、多智能体协作与自动化工作流。林夏槿：负责Skill工程实现（sciverse-search/evidence-ledger）与Docker一键复现打包。</w:t>
      </w:r>
    </w:p>
    <w:p w14:paraId="25DAC424">
      <w:pPr>
        <w:pStyle w:val="4"/>
        <w:rPr>
          <w:rFonts w:hint="eastAsia" w:ascii="黑体" w:hAnsi="黑体" w:eastAsia="黑体" w:cs="黑体"/>
          <w:lang w:val="en-US" w:eastAsia="zh-CN"/>
        </w:rPr>
      </w:pPr>
    </w:p>
    <w:p w14:paraId="7285042F">
      <w:pPr>
        <w:pStyle w:val="4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6.2 团队分工</w:t>
      </w:r>
    </w:p>
    <w:p>
      <w:pPr/>
      <w:r>
        <w:t>吕志远：总体架构、证据链、Track A算法实现与提交审查；林夏槿：负责Skill工程实现（sciverse-search/evidence-ledger）与Docker一键复现打包；谭力奎：多Agent协作架构、React/Electron/Vite桌面端、harness测试与新颖性复核。领域签审人【待补充】。</w:t>
      </w:r>
    </w:p>
    <w:p w14:paraId="36208364">
      <w:pPr>
        <w:pStyle w:val="4"/>
        <w:rPr>
          <w:rFonts w:hint="eastAsia" w:ascii="黑体" w:hAnsi="黑体" w:eastAsia="黑体" w:cs="黑体"/>
          <w:lang w:val="en-US" w:eastAsia="zh-CN"/>
        </w:rPr>
      </w:pPr>
    </w:p>
    <w:p w14:paraId="6B96E644">
      <w:pPr>
        <w:pStyle w:val="4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6.3团队成果</w:t>
      </w:r>
    </w:p>
    <w:p>
      <w:pPr/>
      <w:r>
        <w:t>吕志远：AutoScience研究方向、Claude Science绿皮书/CSA开源生态、hhu-social全链路智能体项目；谭力奎：AI天文望远镜自动化工作流与多望远镜智能体协作架构设计。团队作品公开链接【待补充】。为保护未成年人隐私，本稿不写林夏槿的学校等可识别身份信息。</w:t>
      </w:r>
    </w:p>
    <w:p w14:paraId="5BEE82A5">
      <w:pPr>
        <w:spacing w:after="100"/>
        <w:ind w:left="173" w:firstLine="0"/>
      </w:pPr>
    </w:p>
    <w:p>
      <w:pPr>
        <w:pStyle w:val="4"/>
      </w:pPr>
      <w:r>
        <w:t>附：待补充清单</w:t>
      </w:r>
    </w:p>
    <w:p>
      <w:pPr/>
      <w:r>
        <w:t>1. 修正2条负计量数组成，并对变量/多相候选做材料专家规范化。</w:t>
      </w:r>
    </w:p>
    <w:p>
      <w:pPr/>
      <w:r>
        <w:t>2. OQMD、NOMAD与文献排重后的人工签审结论。</w:t>
      </w:r>
    </w:p>
    <w:p>
      <w:pPr/>
      <w:r>
        <w:t>3. 领域签审人、团队作品公开链接及队友最终公开授权。</w:t>
      </w:r>
    </w:p>
    <w:p>
      <w:pPr/>
      <w:r>
        <w:t>4. API成本、运行环境锁定与Docker镜像版本。</w:t>
      </w:r>
    </w:p>
    <w:sectPr>
      <w:footerReference r:id="rId5" w:type="default"/>
      <w:pgSz w:w="12240" w:h="15840"/>
      <w:pgMar w:top="1008" w:right="1181" w:bottom="893" w:left="1181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E1932">
    <w:pPr>
      <w:pStyle w:val="24"/>
      <w:jc w:val="right"/>
    </w:pPr>
    <w:r>
      <w:rPr>
        <w:rFonts w:hint="eastAsia" w:ascii="Calibri" w:hAnsi="Calibri"/>
        <w:b w:val="0"/>
        <w:i w:val="0"/>
        <w:color w:val="5A6573"/>
        <w:sz w:val="17"/>
        <w:lang w:eastAsia="zh-CN"/>
      </w:rPr>
      <w:t>GOAI AI for Research赛道</w:t>
    </w:r>
    <w:r>
      <w:rPr>
        <w:rFonts w:ascii="Calibri" w:hAnsi="Calibri" w:eastAsia="微软雅黑"/>
        <w:b w:val="0"/>
        <w:i w:val="0"/>
        <w:color w:val="5A6573"/>
        <w:sz w:val="17"/>
      </w:rPr>
      <w:t xml:space="preserve"> | 算法赛初赛大纲模板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567B46"/>
    <w:rsid w:val="3F6DDC68"/>
    <w:rsid w:val="49184B37"/>
    <w:rsid w:val="4B3D7BCD"/>
    <w:rsid w:val="629433AC"/>
    <w:rsid w:val="664870AD"/>
    <w:rsid w:val="6E07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9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60" w:after="1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60"/>
      <w:outlineLvl w:val="1"/>
    </w:pPr>
    <w:rPr>
      <w:rFonts w:asciiTheme="majorHAnsi" w:hAnsiTheme="majorHAnsi" w:eastAsiaTheme="majorEastAsia" w:cstheme="majorBidi"/>
      <w:b/>
      <w:bCs/>
      <w:color w:val="1F4D78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40"/>
      <w:outlineLvl w:val="2"/>
    </w:pPr>
    <w:rPr>
      <w:rFonts w:asciiTheme="majorHAnsi" w:hAnsiTheme="majorHAnsi" w:eastAsiaTheme="majorEastAsia" w:cstheme="majorBidi"/>
      <w:b/>
      <w:bCs/>
      <w:color w:val="1F4D7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542</Words>
  <Characters>580</Characters>
  <Lines>0</Lines>
  <Paragraphs>0</Paragraphs>
  <TotalTime>0</TotalTime>
  <ScaleCrop>false</ScaleCrop>
  <LinksUpToDate>false</LinksUpToDate>
  <CharactersWithSpaces>597</CharactersWithSpaces>
  <Application>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ai4r-baseline-kit</dc:creator>
  <dc:description>generated by python-docx</dc:description>
  <cp:lastModifiedBy>ai4r-baseline-kit</cp:lastModifiedBy>
  <dcterms:modified xsi:type="dcterms:W3CDTF">2026-08-01T20:06:35Z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