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60" w:after="120"/>
        <w:jc w:val="center"/>
      </w:pPr>
      <w:r>
        <w:rPr>
          <w:rFonts w:ascii="Hiragino Sans GB" w:hAnsi="Hiragino Sans GB" w:eastAsia="Hiragino Sans GB"/>
          <w:b/>
          <w:color w:val="17365D"/>
          <w:sz w:val="36"/>
        </w:rPr>
        <w:t>AI for Research赛道｜算法赛初赛方案大纲</w:t>
      </w:r>
    </w:p>
    <w:p>
      <w:pPr>
        <w:spacing w:after="240"/>
        <w:jc w:val="center"/>
      </w:pPr>
      <w:r>
        <w:rPr>
          <w:rFonts w:ascii="Hiragino Sans GB" w:hAnsi="Hiragino Sans GB" w:eastAsia="Hiragino Sans GB"/>
          <w:b/>
          <w:color w:val="596678"/>
          <w:sz w:val="21"/>
        </w:rPr>
        <w:t>初赛提交：方案说明文档、技术路线概述</w:t>
      </w:r>
    </w:p>
    <w:p>
      <w:pPr>
        <w:spacing w:after="240"/>
        <w:ind w:left="283" w:right="283"/>
        <w:shd w:fill="EAF1F8"/>
      </w:pPr>
      <w:r>
        <w:rPr>
          <w:rFonts w:ascii="Hiragino Sans GB" w:hAnsi="Hiragino Sans GB" w:eastAsia="Hiragino Sans GB"/>
          <w:sz w:val="18"/>
        </w:rPr>
        <w:t>赛事要求：</w:t>
        <w:br/>
        <w:t>1. 初赛材料应说明所选方向、科学问题理解、技术方案与预期方法路线；可附初步实验或可行性验证。</w:t>
        <w:br/>
        <w:t>2. 独立完成，禁止使用 AI 作答；重点考察核心思考，不以篇幅长短为标准。</w:t>
      </w:r>
    </w:p>
    <w:p>
      <w:pPr>
        <w:pStyle w:val="3"/>
        <w:pageBreakBefore w:val="0"/>
      </w:pPr>
      <w:r>
        <w:rPr>
          <w:rFonts w:ascii="Hiragino Sans GB" w:hAnsi="Hiragino Sans GB" w:eastAsia="Hiragino Sans GB"/>
          <w:b/>
          <w:sz w:val="32"/>
        </w:rPr>
        <w:t>一、项目概述</w:t>
      </w:r>
    </w:p>
    <w:p>
      <w:pPr>
        <w:pStyle w:val="4"/>
        <w:pageBreakBefore w:val="0"/>
      </w:pPr>
      <w:r>
        <w:rPr>
          <w:rFonts w:ascii="Hiragino Sans GB" w:hAnsi="Hiragino Sans GB" w:eastAsia="Hiragino Sans GB"/>
          <w:b/>
          <w:sz w:val="25"/>
        </w:rPr>
        <w:t>1.1 项目名称</w:t>
      </w:r>
    </w:p>
    <w:p>
      <w:pPr>
        <w:spacing w:line="324" w:lineRule="auto" w:after="80"/>
        <w:ind w:firstLine="0"/>
      </w:pPr>
      <w:r>
        <w:rPr>
          <w:rFonts w:ascii="Hiragino Sans GB" w:hAnsi="Hiragino Sans GB" w:eastAsia="Hiragino Sans GB"/>
          <w:b/>
          <w:sz w:val="21"/>
        </w:rPr>
        <w:t>SolidEvidence：面向硫化物全固态锂电池界面稳定性的证据驱动文献调研 Agent</w:t>
      </w:r>
    </w:p>
    <w:p>
      <w:pPr>
        <w:pStyle w:val="4"/>
        <w:pageBreakBefore w:val="0"/>
      </w:pPr>
      <w:r>
        <w:rPr>
          <w:rFonts w:ascii="Hiragino Sans GB" w:hAnsi="Hiragino Sans GB" w:eastAsia="Hiragino Sans GB"/>
          <w:b/>
          <w:sz w:val="25"/>
        </w:rPr>
        <w:t>1.2 参赛方向</w:t>
      </w:r>
    </w:p>
    <w:p>
      <w:pPr>
        <w:spacing w:line="324" w:lineRule="auto" w:after="80"/>
        <w:ind w:firstLine="420"/>
      </w:pPr>
      <w:r>
        <w:rPr>
          <w:rFonts w:ascii="Hiragino Sans GB" w:hAnsi="Hiragino Sans GB" w:eastAsia="Hiragino Sans GB"/>
          <w:b w:val="0"/>
          <w:sz w:val="21"/>
        </w:rPr>
        <w:t>方向三：材料科学文献驱动的科学发现智能体；本阶段完成必做的“文献调研 Agent”基本任务，进阶路线暂标记为【待确认】。</w:t>
      </w:r>
    </w:p>
    <w:p>
      <w:pPr>
        <w:pStyle w:val="4"/>
        <w:pageBreakBefore w:val="0"/>
      </w:pPr>
      <w:r>
        <w:rPr>
          <w:rFonts w:ascii="Hiragino Sans GB" w:hAnsi="Hiragino Sans GB" w:eastAsia="Hiragino Sans GB"/>
          <w:b/>
          <w:sz w:val="25"/>
        </w:rPr>
        <w:t>1.3 方案概述</w:t>
      </w:r>
    </w:p>
    <w:p>
      <w:pPr>
        <w:spacing w:line="324" w:lineRule="auto" w:after="80"/>
        <w:ind w:firstLine="420"/>
      </w:pPr>
      <w:r>
        <w:rPr>
          <w:rFonts w:ascii="Hiragino Sans GB" w:hAnsi="Hiragino Sans GB" w:eastAsia="Hiragino Sans GB"/>
          <w:b w:val="0"/>
          <w:sz w:val="21"/>
        </w:rPr>
        <w:t>本项目研究高镍层状氧化物正极与硫化物固态电解质的界面稳定性，重点处理涂层、复合比例、压力、温度、电压窗口和面载量差异造成的跨文献不可比问题。系统把判断绑定到原文位置，并区分文献事实、跨文献推论和待验证假设。</w:t>
      </w:r>
    </w:p>
    <w:p>
      <w:pPr>
        <w:spacing w:line="324" w:lineRule="auto" w:after="80"/>
        <w:ind w:firstLine="420"/>
      </w:pPr>
      <w:r>
        <w:rPr>
          <w:rFonts w:ascii="Hiragino Sans GB" w:hAnsi="Hiragino Sans GB" w:eastAsia="Hiragino Sans GB"/>
          <w:b w:val="0"/>
          <w:sz w:val="21"/>
        </w:rPr>
        <w:t>技术上采用“工作流编排＋多角色 Agent＋专业工具＋结构化知识库＋人工复核”的混合架构，覆盖拆解、检索、筛选、PDF 解析、抽取、规范化、跨文献融合、冲突检测、Gap 草拟、证据核验和报告生成。LLM、Embedding/Reranker、MinerU、规则程序与 PostgreSQL/pgvector 分别承担语义、检索、解析、校验和存储。</w:t>
      </w:r>
    </w:p>
    <w:p>
      <w:pPr>
        <w:pStyle w:val="3"/>
        <w:pageBreakBefore/>
      </w:pPr>
      <w:r>
        <w:rPr>
          <w:rFonts w:ascii="Hiragino Sans GB" w:hAnsi="Hiragino Sans GB" w:eastAsia="Hiragino Sans GB"/>
          <w:b/>
          <w:sz w:val="32"/>
        </w:rPr>
        <w:t>二、科学问题理解</w:t>
      </w:r>
    </w:p>
    <w:p>
      <w:pPr>
        <w:pStyle w:val="4"/>
        <w:pageBreakBefore w:val="0"/>
      </w:pPr>
      <w:r>
        <w:rPr>
          <w:rFonts w:ascii="Hiragino Sans GB" w:hAnsi="Hiragino Sans GB" w:eastAsia="Hiragino Sans GB"/>
          <w:b/>
          <w:sz w:val="25"/>
        </w:rPr>
        <w:t>2.1 科学问题与研究对象</w:t>
      </w:r>
    </w:p>
    <w:p>
      <w:pPr>
        <w:spacing w:line="324" w:lineRule="auto" w:after="80"/>
        <w:ind w:firstLine="420"/>
      </w:pPr>
      <w:r>
        <w:rPr>
          <w:rFonts w:ascii="Hiragino Sans GB" w:hAnsi="Hiragino Sans GB" w:eastAsia="Hiragino Sans GB"/>
          <w:b w:val="0"/>
          <w:sz w:val="21"/>
        </w:rPr>
        <w:t>硫化物电解质虽有较高离子电导率和良好加工性，但与高电压正极或导电剂接触后可能发生界面演化。文献结论同时受制备、配方、压力、温度、截止电压、面载量和循环制度影响。因此，同一种涂层被报告为“有效”或“失效”时，不能脱离条件直接合并。</w:t>
      </w:r>
    </w:p>
    <w:p>
      <w:pPr>
        <w:spacing w:line="324" w:lineRule="auto" w:after="80"/>
        <w:ind w:firstLine="420"/>
      </w:pPr>
      <w:r>
        <w:rPr>
          <w:rFonts w:ascii="Hiragino Sans GB" w:hAnsi="Hiragino Sans GB" w:eastAsia="Hiragino Sans GB"/>
          <w:b w:val="0"/>
          <w:sz w:val="21"/>
        </w:rPr>
        <w:t>核心问题是：如何把正文、表格和图注中的材料体系、界面处理、实验条件、性能指标及结论统一为证据记录，并判断冲突来自材料机制、测试条件还是证据不足？对象优先覆盖高镍正极、常见硫化物电解质、界面包覆及电池条件；化学体系范围经文献预检后锁定。</w:t>
      </w:r>
    </w:p>
    <w:p>
      <w:pPr>
        <w:spacing w:line="324" w:lineRule="auto" w:after="80"/>
        <w:ind w:firstLine="0"/>
      </w:pPr>
      <w:r>
        <w:rPr>
          <w:rFonts w:ascii="Hiragino Sans GB" w:hAnsi="Hiragino Sans GB" w:eastAsia="Hiragino Sans GB"/>
          <w:b/>
          <w:sz w:val="21"/>
        </w:rPr>
        <w:t>系统采用三类结论标签：</w:t>
      </w:r>
    </w:p>
    <w:p>
      <w:pPr>
        <w:spacing w:after="50"/>
        <w:ind w:left="420" w:hanging="283"/>
      </w:pPr>
      <w:r>
        <w:rPr>
          <w:rFonts w:ascii="Hiragino Sans GB" w:hAnsi="Hiragino Sans GB" w:eastAsia="Hiragino Sans GB"/>
          <w:sz w:val="21"/>
        </w:rPr>
        <w:t>• 文献事实 F：论文明确报告，且能够定位到原文页码、章节、段落、表格或图注。</w:t>
      </w:r>
    </w:p>
    <w:p>
      <w:pPr>
        <w:spacing w:after="50"/>
        <w:ind w:left="420" w:hanging="283"/>
      </w:pPr>
      <w:r>
        <w:rPr>
          <w:rFonts w:ascii="Hiragino Sans GB" w:hAnsi="Hiragino Sans GB" w:eastAsia="Hiragino Sans GB"/>
          <w:sz w:val="21"/>
        </w:rPr>
        <w:t>• 跨文献推论 I：由多篇可比证据综合得到，必须列出参与推论的证据及适用条件。</w:t>
      </w:r>
    </w:p>
    <w:p>
      <w:pPr>
        <w:spacing w:after="50"/>
        <w:ind w:left="420" w:hanging="283"/>
      </w:pPr>
      <w:r>
        <w:rPr>
          <w:rFonts w:ascii="Hiragino Sans GB" w:hAnsi="Hiragino Sans GB" w:eastAsia="Hiragino Sans GB"/>
          <w:sz w:val="21"/>
        </w:rPr>
        <w:t>• 待验证假设 H：由证据缺口或冲突提出，必须可证伪，并给出建议的计算或实验验证方式。</w:t>
      </w:r>
    </w:p>
    <w:p>
      <w:pPr>
        <w:pStyle w:val="4"/>
        <w:pageBreakBefore w:val="0"/>
      </w:pPr>
      <w:r>
        <w:rPr>
          <w:rFonts w:ascii="Hiragino Sans GB" w:hAnsi="Hiragino Sans GB" w:eastAsia="Hiragino Sans GB"/>
          <w:b/>
          <w:sz w:val="25"/>
        </w:rPr>
        <w:t>2.2 科学意义</w:t>
      </w:r>
    </w:p>
    <w:p>
      <w:pPr>
        <w:spacing w:line="324" w:lineRule="auto" w:after="80"/>
        <w:ind w:firstLine="420"/>
      </w:pPr>
      <w:r>
        <w:rPr>
          <w:rFonts w:ascii="Hiragino Sans GB" w:hAnsi="Hiragino Sans GB" w:eastAsia="Hiragino Sans GB"/>
          <w:b w:val="0"/>
          <w:sz w:val="21"/>
        </w:rPr>
        <w:t>该问题的科学价值在于把“材料本征效应”与“实验协议效应”分开讨论。若忽略条件差异，自动化综述容易把不可比结果拼接为伪规律；若能建立条件感知的证据图谱，则可更可靠地识别界面稳定性的控制变量、解释冲突来源，并形成可由后续计算或实验检验的假设。</w:t>
      </w:r>
    </w:p>
    <w:p>
      <w:pPr>
        <w:spacing w:line="324" w:lineRule="auto" w:after="80"/>
        <w:ind w:firstLine="420"/>
      </w:pPr>
      <w:r>
        <w:rPr>
          <w:rFonts w:ascii="Hiragino Sans GB" w:hAnsi="Hiragino Sans GB" w:eastAsia="Hiragino Sans GB"/>
          <w:b w:val="0"/>
          <w:sz w:val="21"/>
        </w:rPr>
        <w:t>与普通关键词搜索相比，本系统能够覆盖术语变体并追踪全文证据；与普通 RAG 相比，它先形成材料-工艺-条件-性能-结论记录，再判断可比性和冲突；与通用文献问答系统相比，它从证据图谱的缺失连接、矛盾结论或稀疏区域产生 Research Gap，并阻止无证据 Gap 进入报告。</w:t>
      </w:r>
    </w:p>
    <w:p>
      <w:pPr>
        <w:pStyle w:val="3"/>
        <w:pageBreakBefore/>
      </w:pPr>
      <w:r>
        <w:rPr>
          <w:rFonts w:ascii="Hiragino Sans GB" w:hAnsi="Hiragino Sans GB" w:eastAsia="Hiragino Sans GB"/>
          <w:b/>
          <w:sz w:val="32"/>
        </w:rPr>
        <w:t>三、技术方案与预期方法路线</w:t>
      </w:r>
    </w:p>
    <w:p>
      <w:pPr>
        <w:pStyle w:val="4"/>
        <w:pageBreakBefore w:val="0"/>
      </w:pPr>
      <w:r>
        <w:rPr>
          <w:rFonts w:ascii="Hiragino Sans GB" w:hAnsi="Hiragino Sans GB" w:eastAsia="Hiragino Sans GB"/>
          <w:b/>
          <w:sz w:val="25"/>
        </w:rPr>
        <w:t>3.1 技术方案</w:t>
      </w:r>
    </w:p>
    <w:p>
      <w:pPr>
        <w:spacing w:line="324" w:lineRule="auto" w:after="80"/>
        <w:ind w:firstLine="0"/>
      </w:pPr>
      <w:r>
        <w:rPr>
          <w:rFonts w:ascii="Hiragino Sans GB" w:hAnsi="Hiragino Sans GB" w:eastAsia="Hiragino Sans GB"/>
          <w:b/>
          <w:sz w:val="21"/>
        </w:rPr>
        <w:t>1. 总体架构与状态控制</w:t>
      </w:r>
    </w:p>
    <w:p>
      <w:pPr>
        <w:spacing w:line="324" w:lineRule="auto" w:after="80"/>
        <w:ind w:firstLine="420"/>
      </w:pPr>
      <w:r>
        <w:rPr>
          <w:rFonts w:ascii="Hiragino Sans GB" w:hAnsi="Hiragino Sans GB" w:eastAsia="Hiragino Sans GB"/>
          <w:b w:val="0"/>
          <w:sz w:val="21"/>
        </w:rPr>
        <w:t>工作流引擎维护统一状态，各 Agent 通过结构化契约协作。状态包括问题、检索式、候选文献、筛选理由、解析结果、实体、证据、冲突组、Gap 和报告段落。科学问题、文献白名单和最终 Gap 设置人工复核；失败步骤可回退，并保留版本与数据哈希。</w:t>
      </w:r>
    </w:p>
    <w:tbl>
      <w:tblPr>
        <w:tblStyle w:val="33"/>
        <w:tblW w:type="auto" w:w="0"/>
        <w:jc w:val="center"/>
        <w:tblLayout w:type="fixed"/>
        <w:tblLook w:firstColumn="1" w:firstRow="1" w:lastColumn="0" w:lastRow="0" w:noHBand="0" w:noVBand="1" w:val="04A0"/>
      </w:tblPr>
      <w:tblGrid>
        <w:gridCol w:w="4939"/>
        <w:gridCol w:w="4939"/>
      </w:tblGrid>
      <w:tr>
        <w:trPr>
          <w:tblHeader w:val="true"/>
          <w:cantSplit/>
        </w:trPr>
        <w:tc>
          <w:tcPr>
            <w:tcW w:type="dxa" w:w="2381"/>
            <w:shd w:fill="17365D"/>
            <w:vAlign w:val="center"/>
          </w:tcPr>
          <w:p>
            <w:pPr>
              <w:jc w:val="center"/>
            </w:pPr>
            <w:r>
              <w:rPr>
                <w:rFonts w:ascii="Hiragino Sans GB" w:hAnsi="Hiragino Sans GB" w:eastAsia="Hiragino Sans GB"/>
                <w:b/>
                <w:color w:val="FFFFFF"/>
                <w:sz w:val="18"/>
              </w:rPr>
              <w:t>角色</w:t>
            </w:r>
          </w:p>
        </w:tc>
        <w:tc>
          <w:tcPr>
            <w:tcW w:type="dxa" w:w="6803"/>
            <w:shd w:fill="17365D"/>
            <w:vAlign w:val="center"/>
          </w:tcPr>
          <w:p>
            <w:pPr>
              <w:jc w:val="center"/>
            </w:pPr>
            <w:r>
              <w:rPr>
                <w:rFonts w:ascii="Hiragino Sans GB" w:hAnsi="Hiragino Sans GB" w:eastAsia="Hiragino Sans GB"/>
                <w:b/>
                <w:color w:val="FFFFFF"/>
                <w:sz w:val="18"/>
              </w:rPr>
              <w:t>主要职责</w:t>
            </w:r>
          </w:p>
        </w:tc>
      </w:tr>
      <w:tr>
        <w:trPr>
          <w:cantSplit/>
        </w:trPr>
        <w:tc>
          <w:tcPr>
            <w:tcW w:type="dxa" w:w="2381"/>
            <w:vAlign w:val="center"/>
          </w:tcPr>
          <w:p>
            <w:pPr>
              <w:spacing w:after="0" w:line="264" w:lineRule="auto"/>
            </w:pPr>
            <w:r>
              <w:rPr>
                <w:rFonts w:ascii="Hiragino Sans GB" w:hAnsi="Hiragino Sans GB" w:eastAsia="Hiragino Sans GB"/>
                <w:sz w:val="17"/>
              </w:rPr>
              <w:t>任务规划 Agent</w:t>
            </w:r>
          </w:p>
        </w:tc>
        <w:tc>
          <w:tcPr>
            <w:tcW w:type="dxa" w:w="6803"/>
            <w:vAlign w:val="center"/>
          </w:tcPr>
          <w:p>
            <w:pPr>
              <w:spacing w:after="0" w:line="264" w:lineRule="auto"/>
            </w:pPr>
            <w:r>
              <w:rPr>
                <w:rFonts w:ascii="Hiragino Sans GB" w:hAnsi="Hiragino Sans GB" w:eastAsia="Hiragino Sans GB"/>
                <w:sz w:val="17"/>
              </w:rPr>
              <w:t>把科学问题拆成材料体系、界面机制、工艺和测试条件等检索子问题，并生成验收标准。</w:t>
            </w:r>
          </w:p>
        </w:tc>
      </w:tr>
      <w:tr>
        <w:trPr>
          <w:cantSplit/>
        </w:trPr>
        <w:tc>
          <w:tcPr>
            <w:tcW w:type="dxa" w:w="2381"/>
            <w:shd w:fill="F3F5F7"/>
            <w:vAlign w:val="center"/>
          </w:tcPr>
          <w:p>
            <w:pPr>
              <w:spacing w:after="0" w:line="264" w:lineRule="auto"/>
            </w:pPr>
            <w:r>
              <w:rPr>
                <w:rFonts w:ascii="Hiragino Sans GB" w:hAnsi="Hiragino Sans GB" w:eastAsia="Hiragino Sans GB"/>
                <w:sz w:val="17"/>
              </w:rPr>
              <w:t>文献检索 Agent</w:t>
            </w:r>
          </w:p>
        </w:tc>
        <w:tc>
          <w:tcPr>
            <w:tcW w:type="dxa" w:w="6803"/>
            <w:shd w:fill="F3F5F7"/>
            <w:vAlign w:val="center"/>
          </w:tcPr>
          <w:p>
            <w:pPr>
              <w:spacing w:after="0" w:line="264" w:lineRule="auto"/>
            </w:pPr>
            <w:r>
              <w:rPr>
                <w:rFonts w:ascii="Hiragino Sans GB" w:hAnsi="Hiragino Sans GB" w:eastAsia="Hiragino Sans GB"/>
                <w:sz w:val="17"/>
              </w:rPr>
              <w:t>生成关键词与语义检索请求；调用 Sciverse API 或本地 Sci-Base 子集并记录请求与返回标识。</w:t>
            </w:r>
          </w:p>
        </w:tc>
      </w:tr>
      <w:tr>
        <w:trPr>
          <w:cantSplit/>
        </w:trPr>
        <w:tc>
          <w:tcPr>
            <w:tcW w:type="dxa" w:w="2381"/>
            <w:vAlign w:val="center"/>
          </w:tcPr>
          <w:p>
            <w:pPr>
              <w:spacing w:after="0" w:line="264" w:lineRule="auto"/>
            </w:pPr>
            <w:r>
              <w:rPr>
                <w:rFonts w:ascii="Hiragino Sans GB" w:hAnsi="Hiragino Sans GB" w:eastAsia="Hiragino Sans GB"/>
                <w:sz w:val="17"/>
              </w:rPr>
              <w:t>文献筛选 Agent</w:t>
            </w:r>
          </w:p>
        </w:tc>
        <w:tc>
          <w:tcPr>
            <w:tcW w:type="dxa" w:w="6803"/>
            <w:vAlign w:val="center"/>
          </w:tcPr>
          <w:p>
            <w:pPr>
              <w:spacing w:after="0" w:line="264" w:lineRule="auto"/>
            </w:pPr>
            <w:r>
              <w:rPr>
                <w:rFonts w:ascii="Hiragino Sans GB" w:hAnsi="Hiragino Sans GB" w:eastAsia="Hiragino Sans GB"/>
                <w:sz w:val="17"/>
              </w:rPr>
              <w:t>基于相关性、文献类型、时间范围、全文可得性和证据价值给出纳入/排除理由。</w:t>
            </w:r>
          </w:p>
        </w:tc>
      </w:tr>
      <w:tr>
        <w:trPr>
          <w:cantSplit/>
        </w:trPr>
        <w:tc>
          <w:tcPr>
            <w:tcW w:type="dxa" w:w="2381"/>
            <w:shd w:fill="F3F5F7"/>
            <w:vAlign w:val="center"/>
          </w:tcPr>
          <w:p>
            <w:pPr>
              <w:spacing w:after="0" w:line="264" w:lineRule="auto"/>
            </w:pPr>
            <w:r>
              <w:rPr>
                <w:rFonts w:ascii="Hiragino Sans GB" w:hAnsi="Hiragino Sans GB" w:eastAsia="Hiragino Sans GB"/>
                <w:sz w:val="17"/>
              </w:rPr>
              <w:t>PDF 解析与知识抽取 Agent</w:t>
            </w:r>
          </w:p>
        </w:tc>
        <w:tc>
          <w:tcPr>
            <w:tcW w:type="dxa" w:w="6803"/>
            <w:shd w:fill="F3F5F7"/>
            <w:vAlign w:val="center"/>
          </w:tcPr>
          <w:p>
            <w:pPr>
              <w:spacing w:after="0" w:line="264" w:lineRule="auto"/>
            </w:pPr>
            <w:r>
              <w:rPr>
                <w:rFonts w:ascii="Hiragino Sans GB" w:hAnsi="Hiragino Sans GB" w:eastAsia="Hiragino Sans GB"/>
                <w:sz w:val="17"/>
              </w:rPr>
              <w:t>调用 MinerU 解析正文、表格和图注，再按 Schema 抽取材料、界面处理、条件、指标和 Claim。</w:t>
            </w:r>
          </w:p>
        </w:tc>
      </w:tr>
      <w:tr>
        <w:trPr>
          <w:cantSplit/>
        </w:trPr>
        <w:tc>
          <w:tcPr>
            <w:tcW w:type="dxa" w:w="2381"/>
            <w:vAlign w:val="center"/>
          </w:tcPr>
          <w:p>
            <w:pPr>
              <w:spacing w:after="0" w:line="264" w:lineRule="auto"/>
            </w:pPr>
            <w:r>
              <w:rPr>
                <w:rFonts w:ascii="Hiragino Sans GB" w:hAnsi="Hiragino Sans GB" w:eastAsia="Hiragino Sans GB"/>
                <w:sz w:val="17"/>
              </w:rPr>
              <w:t>跨文献知识融合 Agent</w:t>
            </w:r>
          </w:p>
        </w:tc>
        <w:tc>
          <w:tcPr>
            <w:tcW w:type="dxa" w:w="6803"/>
            <w:vAlign w:val="center"/>
          </w:tcPr>
          <w:p>
            <w:pPr>
              <w:spacing w:after="0" w:line="264" w:lineRule="auto"/>
            </w:pPr>
            <w:r>
              <w:rPr>
                <w:rFonts w:ascii="Hiragino Sans GB" w:hAnsi="Hiragino Sans GB" w:eastAsia="Hiragino Sans GB"/>
                <w:sz w:val="17"/>
              </w:rPr>
              <w:t>完成实体消歧、单位统一、同类实验分组、可比性判断和相互支持/冲突关系识别。</w:t>
            </w:r>
          </w:p>
        </w:tc>
      </w:tr>
      <w:tr>
        <w:trPr>
          <w:cantSplit/>
        </w:trPr>
        <w:tc>
          <w:tcPr>
            <w:tcW w:type="dxa" w:w="2381"/>
            <w:shd w:fill="F3F5F7"/>
            <w:vAlign w:val="center"/>
          </w:tcPr>
          <w:p>
            <w:pPr>
              <w:spacing w:after="0" w:line="264" w:lineRule="auto"/>
            </w:pPr>
            <w:r>
              <w:rPr>
                <w:rFonts w:ascii="Hiragino Sans GB" w:hAnsi="Hiragino Sans GB" w:eastAsia="Hiragino Sans GB"/>
                <w:sz w:val="17"/>
              </w:rPr>
              <w:t>Research Gap 识别 Agent</w:t>
            </w:r>
          </w:p>
        </w:tc>
        <w:tc>
          <w:tcPr>
            <w:tcW w:type="dxa" w:w="6803"/>
            <w:shd w:fill="F3F5F7"/>
            <w:vAlign w:val="center"/>
          </w:tcPr>
          <w:p>
            <w:pPr>
              <w:spacing w:after="0" w:line="264" w:lineRule="auto"/>
            </w:pPr>
            <w:r>
              <w:rPr>
                <w:rFonts w:ascii="Hiragino Sans GB" w:hAnsi="Hiragino Sans GB" w:eastAsia="Hiragino Sans GB"/>
                <w:sz w:val="17"/>
              </w:rPr>
              <w:t>仅从缺失字段、证据稀疏区和冲突组中形成候选，不允许脱离证据自由生成。</w:t>
            </w:r>
          </w:p>
        </w:tc>
      </w:tr>
      <w:tr>
        <w:trPr>
          <w:cantSplit/>
        </w:trPr>
        <w:tc>
          <w:tcPr>
            <w:tcW w:type="dxa" w:w="2381"/>
            <w:vAlign w:val="center"/>
          </w:tcPr>
          <w:p>
            <w:pPr>
              <w:spacing w:after="0" w:line="264" w:lineRule="auto"/>
            </w:pPr>
            <w:r>
              <w:rPr>
                <w:rFonts w:ascii="Hiragino Sans GB" w:hAnsi="Hiragino Sans GB" w:eastAsia="Hiragino Sans GB"/>
                <w:sz w:val="17"/>
              </w:rPr>
              <w:t>证据核验 Agent</w:t>
            </w:r>
          </w:p>
        </w:tc>
        <w:tc>
          <w:tcPr>
            <w:tcW w:type="dxa" w:w="6803"/>
            <w:vAlign w:val="center"/>
          </w:tcPr>
          <w:p>
            <w:pPr>
              <w:spacing w:after="0" w:line="264" w:lineRule="auto"/>
            </w:pPr>
            <w:r>
              <w:rPr>
                <w:rFonts w:ascii="Hiragino Sans GB" w:hAnsi="Hiragino Sans GB" w:eastAsia="Hiragino Sans GB"/>
                <w:sz w:val="17"/>
              </w:rPr>
              <w:t>反查原文位置，检查 Claim 是否被证据直接支持，并拒绝断章取义、错配单位或缺少定位的记录。</w:t>
            </w:r>
          </w:p>
        </w:tc>
      </w:tr>
      <w:tr>
        <w:trPr>
          <w:cantSplit/>
        </w:trPr>
        <w:tc>
          <w:tcPr>
            <w:tcW w:type="dxa" w:w="2381"/>
            <w:shd w:fill="F3F5F7"/>
            <w:vAlign w:val="center"/>
          </w:tcPr>
          <w:p>
            <w:pPr>
              <w:spacing w:after="0" w:line="264" w:lineRule="auto"/>
            </w:pPr>
            <w:r>
              <w:rPr>
                <w:rFonts w:ascii="Hiragino Sans GB" w:hAnsi="Hiragino Sans GB" w:eastAsia="Hiragino Sans GB"/>
                <w:sz w:val="17"/>
              </w:rPr>
              <w:t>报告生成 Agent</w:t>
            </w:r>
          </w:p>
        </w:tc>
        <w:tc>
          <w:tcPr>
            <w:tcW w:type="dxa" w:w="6803"/>
            <w:shd w:fill="F3F5F7"/>
            <w:vAlign w:val="center"/>
          </w:tcPr>
          <w:p>
            <w:pPr>
              <w:spacing w:after="0" w:line="264" w:lineRule="auto"/>
            </w:pPr>
            <w:r>
              <w:rPr>
                <w:rFonts w:ascii="Hiragino Sans GB" w:hAnsi="Hiragino Sans GB" w:eastAsia="Hiragino Sans GB"/>
                <w:sz w:val="17"/>
              </w:rPr>
              <w:t>按 F/I/H 标签组织文本，生成交叉引用、限制条件和证据清单，并执行引用一致性检查。</w:t>
            </w:r>
          </w:p>
        </w:tc>
      </w:tr>
    </w:tbl>
    <w:p>
      <w:pPr>
        <w:spacing w:after="0"/>
      </w:pPr>
    </w:p>
    <w:p>
      <w:pPr>
        <w:spacing w:line="324" w:lineRule="auto" w:after="80"/>
        <w:ind w:firstLine="0"/>
      </w:pPr>
      <w:r>
        <w:rPr>
          <w:rFonts w:ascii="Hiragino Sans GB" w:hAnsi="Hiragino Sans GB" w:eastAsia="Hiragino Sans GB"/>
          <w:b/>
          <w:sz w:val="21"/>
        </w:rPr>
        <w:t>2. 检索、解析与结构化知识</w:t>
      </w:r>
    </w:p>
    <w:p>
      <w:pPr>
        <w:spacing w:line="324" w:lineRule="auto" w:after="80"/>
        <w:ind w:firstLine="420"/>
      </w:pPr>
      <w:r>
        <w:rPr>
          <w:rFonts w:ascii="Hiragino Sans GB" w:hAnsi="Hiragino Sans GB" w:eastAsia="Hiragino Sans GB"/>
          <w:b w:val="0"/>
          <w:sz w:val="21"/>
        </w:rPr>
        <w:t>检索采用 BM25 或字段检索与 dense Embedding 召回的混合策略，通过 Reciprocal Rank Fusion 合并候选，再使用 Reranker 进行问题相关性排序。去重优先使用 DOI 和数据库标识精确匹配，再对规范化标题、作者和年份进行近似匹配。PDF 在合法获取后交由 MinerU 转为结构化 Markdown/JSON；解析失败时保留原文件哈希、失败类型和人工检查入口。</w:t>
      </w:r>
    </w:p>
    <w:p>
      <w:pPr>
        <w:spacing w:line="324" w:lineRule="auto" w:after="80"/>
        <w:ind w:firstLine="420"/>
      </w:pPr>
      <w:r>
        <w:rPr>
          <w:rFonts w:ascii="Hiragino Sans GB" w:hAnsi="Hiragino Sans GB" w:eastAsia="Hiragino Sans GB"/>
          <w:b w:val="0"/>
          <w:sz w:val="21"/>
        </w:rPr>
        <w:t>核心 Schema 包含 Paper、Material、Interface、Process、TestCondition、Metric、Claim、EvidenceSpan 和 Gap。条件记录温度、压力、面载量、电压窗口和循环制度；性能记录数值、单位与方法；证据记录论文标识、页码/章节、表图编号、原文片段和解析版本。单位换算由规则执行。</w:t>
      </w:r>
    </w:p>
    <w:p>
      <w:pPr>
        <w:spacing w:line="324" w:lineRule="auto" w:after="80"/>
        <w:ind w:firstLine="0"/>
      </w:pPr>
      <w:r>
        <w:rPr>
          <w:rFonts w:ascii="Hiragino Sans GB" w:hAnsi="Hiragino Sans GB" w:eastAsia="Hiragino Sans GB"/>
          <w:b/>
          <w:sz w:val="21"/>
        </w:rPr>
        <w:t>3. 跨文献融合、冲突检测与 Gap 约束</w:t>
      </w:r>
    </w:p>
    <w:p>
      <w:pPr>
        <w:spacing w:line="324" w:lineRule="auto" w:after="80"/>
        <w:ind w:firstLine="420"/>
      </w:pPr>
      <w:r>
        <w:rPr>
          <w:rFonts w:ascii="Hiragino Sans GB" w:hAnsi="Hiragino Sans GB" w:eastAsia="Hiragino Sans GB"/>
          <w:b w:val="0"/>
          <w:sz w:val="21"/>
        </w:rPr>
        <w:t>融合前先执行可比性门控：只有研究对象、指标定义和关键测试条件达到预设一致性要求时，结果才进入同一比较组；条件缺失或差异明显时标记为“条件性差异”，而不是直接判定冲突。冲突记录同时保存正反 Claim、各自证据、条件差异和可能混杂因素。具体可比阈值不在方案阶段臆定，而由领域文献预检和人工标注集校准。</w:t>
      </w:r>
    </w:p>
    <w:p>
      <w:pPr>
        <w:spacing w:line="324" w:lineRule="auto" w:after="80"/>
        <w:ind w:firstLine="420"/>
      </w:pPr>
      <w:r>
        <w:rPr>
          <w:rFonts w:ascii="Hiragino Sans GB" w:hAnsi="Hiragino Sans GB" w:eastAsia="Hiragino Sans GB"/>
          <w:b w:val="0"/>
          <w:sz w:val="21"/>
        </w:rPr>
        <w:t>Gap 候选来自条件-性能矩阵空缺、可比实验中的相反结论或缺乏直接验证的连接。每条 Gap 必须包含问题、支撑文献、证据缺失/冲突、新颖性、可操作性、可证伪假设和验证方法；评分关注证据完整性、冲突强度、新颖性和可证伪性，权重经人工评审后确定。</w:t>
      </w:r>
    </w:p>
    <w:p>
      <w:pPr>
        <w:pStyle w:val="4"/>
        <w:pageBreakBefore w:val="0"/>
      </w:pPr>
      <w:r>
        <w:rPr>
          <w:rFonts w:ascii="Hiragino Sans GB" w:hAnsi="Hiragino Sans GB" w:eastAsia="Hiragino Sans GB"/>
          <w:b/>
          <w:sz w:val="25"/>
        </w:rPr>
        <w:t>3.2 预期方法路线</w:t>
      </w:r>
    </w:p>
    <w:p>
      <w:pPr>
        <w:spacing w:after="60"/>
        <w:ind w:left="312" w:hanging="312"/>
      </w:pPr>
      <w:r>
        <w:rPr>
          <w:rFonts w:ascii="Hiragino Sans GB" w:hAnsi="Hiragino Sans GB" w:eastAsia="Hiragino Sans GB"/>
          <w:b/>
          <w:sz w:val="21"/>
        </w:rPr>
        <w:t>1. 科学问题输入：</w:t>
      </w:r>
      <w:r>
        <w:rPr>
          <w:rFonts w:ascii="Hiragino Sans GB" w:hAnsi="Hiragino Sans GB" w:eastAsia="Hiragino Sans GB"/>
          <w:sz w:val="21"/>
        </w:rPr>
        <w:t>输入为用户问题与材料范围；处理采用约束字段解析和人工确认；输出为结构化研究问题卡。</w:t>
      </w:r>
    </w:p>
    <w:p>
      <w:pPr>
        <w:spacing w:after="60"/>
        <w:ind w:left="312" w:hanging="312"/>
      </w:pPr>
      <w:r>
        <w:rPr>
          <w:rFonts w:ascii="Hiragino Sans GB" w:hAnsi="Hiragino Sans GB" w:eastAsia="Hiragino Sans GB"/>
          <w:b/>
          <w:sz w:val="21"/>
        </w:rPr>
        <w:t>2. 任务拆解：</w:t>
      </w:r>
      <w:r>
        <w:rPr>
          <w:rFonts w:ascii="Hiragino Sans GB" w:hAnsi="Hiragino Sans GB" w:eastAsia="Hiragino Sans GB"/>
          <w:sz w:val="21"/>
        </w:rPr>
        <w:t>输入为研究问题卡；处理采用LLM 生成子问题并由规则检查覆盖度；输出为任务树与验收条件。</w:t>
      </w:r>
    </w:p>
    <w:p>
      <w:pPr>
        <w:spacing w:after="60"/>
        <w:ind w:left="312" w:hanging="312"/>
      </w:pPr>
      <w:r>
        <w:rPr>
          <w:rFonts w:ascii="Hiragino Sans GB" w:hAnsi="Hiragino Sans GB" w:eastAsia="Hiragino Sans GB"/>
          <w:b/>
          <w:sz w:val="21"/>
        </w:rPr>
        <w:t>3. 检索策略生成：</w:t>
      </w:r>
      <w:r>
        <w:rPr>
          <w:rFonts w:ascii="Hiragino Sans GB" w:hAnsi="Hiragino Sans GB" w:eastAsia="Hiragino Sans GB"/>
          <w:sz w:val="21"/>
        </w:rPr>
        <w:t>输入为任务树与材料词表；处理采用关键词扩展、字段过滤和语义查询生成；输出为可版本化检索计划。</w:t>
      </w:r>
    </w:p>
    <w:p>
      <w:pPr>
        <w:spacing w:after="60"/>
        <w:ind w:left="312" w:hanging="312"/>
      </w:pPr>
      <w:r>
        <w:rPr>
          <w:rFonts w:ascii="Hiragino Sans GB" w:hAnsi="Hiragino Sans GB" w:eastAsia="Hiragino Sans GB"/>
          <w:b/>
          <w:sz w:val="21"/>
        </w:rPr>
        <w:t>4. 多源文献检索：</w:t>
      </w:r>
      <w:r>
        <w:rPr>
          <w:rFonts w:ascii="Hiragino Sans GB" w:hAnsi="Hiragino Sans GB" w:eastAsia="Hiragino Sans GB"/>
          <w:sz w:val="21"/>
        </w:rPr>
        <w:t>输入为检索计划；处理采用调用 Sciverse API 或查询 Sci-Base 本地子集；输出为带来源和请求日志的候选集。</w:t>
      </w:r>
    </w:p>
    <w:p>
      <w:pPr>
        <w:spacing w:after="60"/>
        <w:ind w:left="312" w:hanging="312"/>
      </w:pPr>
      <w:r>
        <w:rPr>
          <w:rFonts w:ascii="Hiragino Sans GB" w:hAnsi="Hiragino Sans GB" w:eastAsia="Hiragino Sans GB"/>
          <w:b/>
          <w:sz w:val="21"/>
        </w:rPr>
        <w:t>5. 去重与筛选：</w:t>
      </w:r>
      <w:r>
        <w:rPr>
          <w:rFonts w:ascii="Hiragino Sans GB" w:hAnsi="Hiragino Sans GB" w:eastAsia="Hiragino Sans GB"/>
          <w:sz w:val="21"/>
        </w:rPr>
        <w:t>输入为候选集；处理采用DOI/标题去重、混合排序和纳入排除判断；输出为文献白名单及理由。</w:t>
      </w:r>
    </w:p>
    <w:p>
      <w:pPr>
        <w:spacing w:after="60"/>
        <w:ind w:left="312" w:hanging="312"/>
      </w:pPr>
      <w:r>
        <w:rPr>
          <w:rFonts w:ascii="Hiragino Sans GB" w:hAnsi="Hiragino Sans GB" w:eastAsia="Hiragino Sans GB"/>
          <w:b/>
          <w:sz w:val="21"/>
        </w:rPr>
        <w:t>6. PDF 全文解析：</w:t>
      </w:r>
      <w:r>
        <w:rPr>
          <w:rFonts w:ascii="Hiragino Sans GB" w:hAnsi="Hiragino Sans GB" w:eastAsia="Hiragino Sans GB"/>
          <w:sz w:val="21"/>
        </w:rPr>
        <w:t>输入为合法取得的 PDF；处理采用MinerU 解析正文、表格、公式和图注；输出为结构化文档与定位映射。</w:t>
      </w:r>
    </w:p>
    <w:p>
      <w:pPr>
        <w:spacing w:after="60"/>
        <w:ind w:left="312" w:hanging="312"/>
      </w:pPr>
      <w:r>
        <w:rPr>
          <w:rFonts w:ascii="Hiragino Sans GB" w:hAnsi="Hiragino Sans GB" w:eastAsia="Hiragino Sans GB"/>
          <w:b/>
          <w:sz w:val="21"/>
        </w:rPr>
        <w:t>7. 材料知识抽取：</w:t>
      </w:r>
      <w:r>
        <w:rPr>
          <w:rFonts w:ascii="Hiragino Sans GB" w:hAnsi="Hiragino Sans GB" w:eastAsia="Hiragino Sans GB"/>
          <w:sz w:val="21"/>
        </w:rPr>
        <w:t>输入为结构化文档；处理采用Schema 约束抽取和字段校验；输出为材料、工艺、条件、性能与 Claim 记录。</w:t>
      </w:r>
    </w:p>
    <w:p>
      <w:pPr>
        <w:spacing w:after="60"/>
        <w:ind w:left="312" w:hanging="312"/>
      </w:pPr>
      <w:r>
        <w:rPr>
          <w:rFonts w:ascii="Hiragino Sans GB" w:hAnsi="Hiragino Sans GB" w:eastAsia="Hiragino Sans GB"/>
          <w:b/>
          <w:sz w:val="21"/>
        </w:rPr>
        <w:t>8. 实体规范化与单位统一：</w:t>
      </w:r>
      <w:r>
        <w:rPr>
          <w:rFonts w:ascii="Hiragino Sans GB" w:hAnsi="Hiragino Sans GB" w:eastAsia="Hiragino Sans GB"/>
          <w:sz w:val="21"/>
        </w:rPr>
        <w:t>输入为抽取记录；处理采用词典、化学式规则、别名映射和单位换算；输出为规范实体与标准单位记录。</w:t>
      </w:r>
    </w:p>
    <w:p>
      <w:pPr>
        <w:spacing w:after="60"/>
        <w:ind w:left="312" w:hanging="312"/>
      </w:pPr>
      <w:r>
        <w:rPr>
          <w:rFonts w:ascii="Hiragino Sans GB" w:hAnsi="Hiragino Sans GB" w:eastAsia="Hiragino Sans GB"/>
          <w:b/>
          <w:sz w:val="21"/>
        </w:rPr>
        <w:t>9. 结构化知识库存储：</w:t>
      </w:r>
      <w:r>
        <w:rPr>
          <w:rFonts w:ascii="Hiragino Sans GB" w:hAnsi="Hiragino Sans GB" w:eastAsia="Hiragino Sans GB"/>
          <w:sz w:val="21"/>
        </w:rPr>
        <w:t>输入为规范记录与向量；处理采用PostgreSQL 关系存储加 pgvector 索引；输出为可查询的证据知识库。</w:t>
      </w:r>
    </w:p>
    <w:p>
      <w:pPr>
        <w:spacing w:after="60"/>
        <w:ind w:left="312" w:hanging="312"/>
      </w:pPr>
      <w:r>
        <w:rPr>
          <w:rFonts w:ascii="Hiragino Sans GB" w:hAnsi="Hiragino Sans GB" w:eastAsia="Hiragino Sans GB"/>
          <w:b/>
          <w:sz w:val="21"/>
        </w:rPr>
        <w:t>10. 跨文献融合：</w:t>
      </w:r>
      <w:r>
        <w:rPr>
          <w:rFonts w:ascii="Hiragino Sans GB" w:hAnsi="Hiragino Sans GB" w:eastAsia="Hiragino Sans GB"/>
          <w:sz w:val="21"/>
        </w:rPr>
        <w:t>输入为证据知识库；处理采用实体对齐、重复 Claim 聚类和支持关系合并；输出为跨文献 Claim 图。</w:t>
      </w:r>
    </w:p>
    <w:p>
      <w:pPr>
        <w:spacing w:after="60"/>
        <w:ind w:left="312" w:hanging="312"/>
      </w:pPr>
      <w:r>
        <w:rPr>
          <w:rFonts w:ascii="Hiragino Sans GB" w:hAnsi="Hiragino Sans GB" w:eastAsia="Hiragino Sans GB"/>
          <w:b/>
          <w:sz w:val="21"/>
        </w:rPr>
        <w:t>11. 冲突与缺失连接检测：</w:t>
      </w:r>
      <w:r>
        <w:rPr>
          <w:rFonts w:ascii="Hiragino Sans GB" w:hAnsi="Hiragino Sans GB" w:eastAsia="Hiragino Sans GB"/>
          <w:sz w:val="21"/>
        </w:rPr>
        <w:t>输入为Claim 图与条件字段；处理采用可比性门控、冲突规则和缺失矩阵检测；输出为冲突组与缺失连接。</w:t>
      </w:r>
    </w:p>
    <w:p>
      <w:pPr>
        <w:spacing w:after="60"/>
        <w:ind w:left="312" w:hanging="312"/>
      </w:pPr>
      <w:r>
        <w:rPr>
          <w:rFonts w:ascii="Hiragino Sans GB" w:hAnsi="Hiragino Sans GB" w:eastAsia="Hiragino Sans GB"/>
          <w:b/>
          <w:sz w:val="21"/>
        </w:rPr>
        <w:t>12. Research Gap 生成：</w:t>
      </w:r>
      <w:r>
        <w:rPr>
          <w:rFonts w:ascii="Hiragino Sans GB" w:hAnsi="Hiragino Sans GB" w:eastAsia="Hiragino Sans GB"/>
          <w:sz w:val="21"/>
        </w:rPr>
        <w:t>输入为冲突组和缺失连接；处理采用受证据约束的 LLM 草拟与规则拒绝；输出为结构化 Gap 候选。</w:t>
      </w:r>
    </w:p>
    <w:p>
      <w:pPr>
        <w:spacing w:after="60"/>
        <w:ind w:left="312" w:hanging="312"/>
      </w:pPr>
      <w:r>
        <w:rPr>
          <w:rFonts w:ascii="Hiragino Sans GB" w:hAnsi="Hiragino Sans GB" w:eastAsia="Hiragino Sans GB"/>
          <w:b/>
          <w:sz w:val="21"/>
        </w:rPr>
        <w:t>13. 文献证据核验：</w:t>
      </w:r>
      <w:r>
        <w:rPr>
          <w:rFonts w:ascii="Hiragino Sans GB" w:hAnsi="Hiragino Sans GB" w:eastAsia="Hiragino Sans GB"/>
          <w:sz w:val="21"/>
        </w:rPr>
        <w:t>输入为Gap 候选和 EvidenceSpan；处理采用原文回查、引用支持性和单位一致性检查；输出为通过或驳回的 Gap。</w:t>
      </w:r>
    </w:p>
    <w:p>
      <w:pPr>
        <w:spacing w:after="60"/>
        <w:ind w:left="312" w:hanging="312"/>
      </w:pPr>
      <w:r>
        <w:rPr>
          <w:rFonts w:ascii="Hiragino Sans GB" w:hAnsi="Hiragino Sans GB" w:eastAsia="Hiragino Sans GB"/>
          <w:b/>
          <w:sz w:val="21"/>
        </w:rPr>
        <w:t>14. Gap 评分排序：</w:t>
      </w:r>
      <w:r>
        <w:rPr>
          <w:rFonts w:ascii="Hiragino Sans GB" w:hAnsi="Hiragino Sans GB" w:eastAsia="Hiragino Sans GB"/>
          <w:sz w:val="21"/>
        </w:rPr>
        <w:t>输入为核验后的 Gap；处理采用多维评分、人工复核和敏感性记录；输出为排序后的 Gap 清单。</w:t>
      </w:r>
    </w:p>
    <w:p>
      <w:pPr>
        <w:spacing w:after="60"/>
        <w:ind w:left="312" w:hanging="312"/>
      </w:pPr>
      <w:r>
        <w:rPr>
          <w:rFonts w:ascii="Hiragino Sans GB" w:hAnsi="Hiragino Sans GB" w:eastAsia="Hiragino Sans GB"/>
          <w:b/>
          <w:sz w:val="21"/>
        </w:rPr>
        <w:t>15. 调研报告生成：</w:t>
      </w:r>
      <w:r>
        <w:rPr>
          <w:rFonts w:ascii="Hiragino Sans GB" w:hAnsi="Hiragino Sans GB" w:eastAsia="Hiragino Sans GB"/>
          <w:sz w:val="21"/>
        </w:rPr>
        <w:t>输入为证据库和 Gap 清单；处理采用按 F/I/H 组织章节并生成交叉引用；输出为结构化调研报告。</w:t>
      </w:r>
    </w:p>
    <w:p>
      <w:pPr>
        <w:spacing w:after="60"/>
        <w:ind w:left="312" w:hanging="312"/>
      </w:pPr>
      <w:r>
        <w:rPr>
          <w:rFonts w:ascii="Hiragino Sans GB" w:hAnsi="Hiragino Sans GB" w:eastAsia="Hiragino Sans GB"/>
          <w:b/>
          <w:sz w:val="21"/>
        </w:rPr>
        <w:t>16. 引用与事实检查：</w:t>
      </w:r>
      <w:r>
        <w:rPr>
          <w:rFonts w:ascii="Hiragino Sans GB" w:hAnsi="Hiragino Sans GB" w:eastAsia="Hiragino Sans GB"/>
          <w:sz w:val="21"/>
        </w:rPr>
        <w:t>输入为报告和证据清单；处理采用逐句引用覆盖、标识一致性和链接检查；输出为可审计最终报告。</w:t>
      </w:r>
    </w:p>
    <w:p>
      <w:pPr>
        <w:pStyle w:val="4"/>
        <w:pageBreakBefore w:val="0"/>
      </w:pPr>
      <w:r>
        <w:rPr>
          <w:rFonts w:ascii="Hiragino Sans GB" w:hAnsi="Hiragino Sans GB" w:eastAsia="Hiragino Sans GB"/>
          <w:b/>
          <w:sz w:val="25"/>
        </w:rPr>
        <w:t>3.3 数据来源、依赖工具与运行流程</w:t>
      </w:r>
    </w:p>
    <w:tbl>
      <w:tblPr>
        <w:tblStyle w:val="33"/>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587"/>
            <w:shd w:fill="17365D"/>
            <w:vAlign w:val="center"/>
          </w:tcPr>
          <w:p>
            <w:pPr>
              <w:jc w:val="center"/>
            </w:pPr>
            <w:r>
              <w:rPr>
                <w:rFonts w:ascii="Hiragino Sans GB" w:hAnsi="Hiragino Sans GB" w:eastAsia="Hiragino Sans GB"/>
                <w:b/>
                <w:color w:val="FFFFFF"/>
                <w:sz w:val="18"/>
              </w:rPr>
              <w:t>资源</w:t>
            </w:r>
          </w:p>
        </w:tc>
        <w:tc>
          <w:tcPr>
            <w:tcW w:type="dxa" w:w="2324"/>
            <w:shd w:fill="17365D"/>
            <w:vAlign w:val="center"/>
          </w:tcPr>
          <w:p>
            <w:pPr>
              <w:jc w:val="center"/>
            </w:pPr>
            <w:r>
              <w:rPr>
                <w:rFonts w:ascii="Hiragino Sans GB" w:hAnsi="Hiragino Sans GB" w:eastAsia="Hiragino Sans GB"/>
                <w:b/>
                <w:color w:val="FFFFFF"/>
                <w:sz w:val="18"/>
              </w:rPr>
              <w:t>用途</w:t>
            </w:r>
          </w:p>
        </w:tc>
        <w:tc>
          <w:tcPr>
            <w:tcW w:type="dxa" w:w="2835"/>
            <w:shd w:fill="17365D"/>
            <w:vAlign w:val="center"/>
          </w:tcPr>
          <w:p>
            <w:pPr>
              <w:jc w:val="center"/>
            </w:pPr>
            <w:r>
              <w:rPr>
                <w:rFonts w:ascii="Hiragino Sans GB" w:hAnsi="Hiragino Sans GB" w:eastAsia="Hiragino Sans GB"/>
                <w:b/>
                <w:color w:val="FFFFFF"/>
                <w:sz w:val="18"/>
              </w:rPr>
              <w:t>开源/许可与外部依赖</w:t>
            </w:r>
          </w:p>
        </w:tc>
        <w:tc>
          <w:tcPr>
            <w:tcW w:type="dxa" w:w="2438"/>
            <w:shd w:fill="17365D"/>
            <w:vAlign w:val="center"/>
          </w:tcPr>
          <w:p>
            <w:pPr>
              <w:jc w:val="center"/>
            </w:pPr>
            <w:r>
              <w:rPr>
                <w:rFonts w:ascii="Hiragino Sans GB" w:hAnsi="Hiragino Sans GB" w:eastAsia="Hiragino Sans GB"/>
                <w:b/>
                <w:color w:val="FFFFFF"/>
                <w:sz w:val="18"/>
              </w:rPr>
              <w:t>复现影响及处理</w:t>
            </w:r>
          </w:p>
        </w:tc>
      </w:tr>
      <w:tr>
        <w:trPr>
          <w:cantSplit/>
        </w:trPr>
        <w:tc>
          <w:tcPr>
            <w:tcW w:type="dxa" w:w="1587"/>
            <w:vAlign w:val="center"/>
          </w:tcPr>
          <w:p>
            <w:pPr>
              <w:spacing w:after="0" w:line="264" w:lineRule="auto"/>
            </w:pPr>
            <w:r>
              <w:rPr>
                <w:rFonts w:ascii="Hiragino Sans GB" w:hAnsi="Hiragino Sans GB" w:eastAsia="Hiragino Sans GB"/>
                <w:sz w:val="17"/>
              </w:rPr>
              <w:t>Sci-Base / Hugging Face</w:t>
            </w:r>
          </w:p>
        </w:tc>
        <w:tc>
          <w:tcPr>
            <w:tcW w:type="dxa" w:w="2324"/>
            <w:vAlign w:val="center"/>
          </w:tcPr>
          <w:p>
            <w:pPr>
              <w:spacing w:after="0" w:line="264" w:lineRule="auto"/>
            </w:pPr>
            <w:r>
              <w:rPr>
                <w:rFonts w:ascii="Hiragino Sans GB" w:hAnsi="Hiragino Sans GB" w:eastAsia="Hiragino Sans GB"/>
                <w:sz w:val="17"/>
              </w:rPr>
              <w:t>本地开放文献数据与离线检索候选</w:t>
            </w:r>
          </w:p>
        </w:tc>
        <w:tc>
          <w:tcPr>
            <w:tcW w:type="dxa" w:w="2835"/>
            <w:vAlign w:val="center"/>
          </w:tcPr>
          <w:p>
            <w:pPr>
              <w:spacing w:after="0" w:line="264" w:lineRule="auto"/>
            </w:pPr>
            <w:r>
              <w:rPr>
                <w:rFonts w:ascii="Hiragino Sans GB" w:hAnsi="Hiragino Sans GB" w:eastAsia="Hiragino Sans GB"/>
                <w:sz w:val="17"/>
              </w:rPr>
              <w:t>数据集卡当前标注 CC BY 4.0；需保留署名和版本信息</w:t>
            </w:r>
          </w:p>
        </w:tc>
        <w:tc>
          <w:tcPr>
            <w:tcW w:type="dxa" w:w="2438"/>
            <w:vAlign w:val="center"/>
          </w:tcPr>
          <w:p>
            <w:pPr>
              <w:spacing w:after="0" w:line="264" w:lineRule="auto"/>
            </w:pPr>
            <w:r>
              <w:rPr>
                <w:rFonts w:ascii="Hiragino Sans GB" w:hAnsi="Hiragino Sans GB" w:eastAsia="Hiragino Sans GB"/>
                <w:sz w:val="17"/>
              </w:rPr>
              <w:t>数据体量大，MVP 仅下载材料领域子集并固定文件哈希</w:t>
            </w:r>
          </w:p>
        </w:tc>
      </w:tr>
      <w:tr>
        <w:trPr>
          <w:cantSplit/>
        </w:trPr>
        <w:tc>
          <w:tcPr>
            <w:tcW w:type="dxa" w:w="1587"/>
            <w:shd w:fill="F3F5F7"/>
            <w:vAlign w:val="center"/>
          </w:tcPr>
          <w:p>
            <w:pPr>
              <w:spacing w:after="0" w:line="264" w:lineRule="auto"/>
            </w:pPr>
            <w:r>
              <w:rPr>
                <w:rFonts w:ascii="Hiragino Sans GB" w:hAnsi="Hiragino Sans GB" w:eastAsia="Hiragino Sans GB"/>
                <w:sz w:val="17"/>
              </w:rPr>
              <w:t>Sciverse API / Skills</w:t>
            </w:r>
          </w:p>
        </w:tc>
        <w:tc>
          <w:tcPr>
            <w:tcW w:type="dxa" w:w="2324"/>
            <w:shd w:fill="F3F5F7"/>
            <w:vAlign w:val="center"/>
          </w:tcPr>
          <w:p>
            <w:pPr>
              <w:spacing w:after="0" w:line="264" w:lineRule="auto"/>
            </w:pPr>
            <w:r>
              <w:rPr>
                <w:rFonts w:ascii="Hiragino Sans GB" w:hAnsi="Hiragino Sans GB" w:eastAsia="Hiragino Sans GB"/>
                <w:sz w:val="17"/>
              </w:rPr>
              <w:t>元数据、语义检索、全文证据定位</w:t>
            </w:r>
          </w:p>
        </w:tc>
        <w:tc>
          <w:tcPr>
            <w:tcW w:type="dxa" w:w="2835"/>
            <w:shd w:fill="F3F5F7"/>
            <w:vAlign w:val="center"/>
          </w:tcPr>
          <w:p>
            <w:pPr>
              <w:spacing w:after="0" w:line="264" w:lineRule="auto"/>
            </w:pPr>
            <w:r>
              <w:rPr>
                <w:rFonts w:ascii="Hiragino Sans GB" w:hAnsi="Hiragino Sans GB" w:eastAsia="Hiragino Sans GB"/>
                <w:sz w:val="17"/>
              </w:rPr>
              <w:t>外部服务，需账号、Token、权限与配额；遵守平台条款</w:t>
            </w:r>
          </w:p>
        </w:tc>
        <w:tc>
          <w:tcPr>
            <w:tcW w:type="dxa" w:w="2438"/>
            <w:shd w:fill="F3F5F7"/>
            <w:vAlign w:val="center"/>
          </w:tcPr>
          <w:p>
            <w:pPr>
              <w:spacing w:after="0" w:line="264" w:lineRule="auto"/>
            </w:pPr>
            <w:r>
              <w:rPr>
                <w:rFonts w:ascii="Hiragino Sans GB" w:hAnsi="Hiragino Sans GB" w:eastAsia="Hiragino Sans GB"/>
                <w:sz w:val="17"/>
              </w:rPr>
              <w:t>接口不可用时切换本地适配器；缓存允许保存的标识和结果</w:t>
            </w:r>
          </w:p>
        </w:tc>
      </w:tr>
      <w:tr>
        <w:trPr>
          <w:cantSplit/>
        </w:trPr>
        <w:tc>
          <w:tcPr>
            <w:tcW w:type="dxa" w:w="1587"/>
            <w:vAlign w:val="center"/>
          </w:tcPr>
          <w:p>
            <w:pPr>
              <w:spacing w:after="0" w:line="264" w:lineRule="auto"/>
            </w:pPr>
            <w:r>
              <w:rPr>
                <w:rFonts w:ascii="Hiragino Sans GB" w:hAnsi="Hiragino Sans GB" w:eastAsia="Hiragino Sans GB"/>
                <w:sz w:val="17"/>
              </w:rPr>
              <w:t>MinerU</w:t>
            </w:r>
          </w:p>
        </w:tc>
        <w:tc>
          <w:tcPr>
            <w:tcW w:type="dxa" w:w="2324"/>
            <w:vAlign w:val="center"/>
          </w:tcPr>
          <w:p>
            <w:pPr>
              <w:spacing w:after="0" w:line="264" w:lineRule="auto"/>
            </w:pPr>
            <w:r>
              <w:rPr>
                <w:rFonts w:ascii="Hiragino Sans GB" w:hAnsi="Hiragino Sans GB" w:eastAsia="Hiragino Sans GB"/>
                <w:sz w:val="17"/>
              </w:rPr>
              <w:t>PDF 到结构化文本、表格和版面定位</w:t>
            </w:r>
          </w:p>
        </w:tc>
        <w:tc>
          <w:tcPr>
            <w:tcW w:type="dxa" w:w="2835"/>
            <w:vAlign w:val="center"/>
          </w:tcPr>
          <w:p>
            <w:pPr>
              <w:spacing w:after="0" w:line="264" w:lineRule="auto"/>
            </w:pPr>
            <w:r>
              <w:rPr>
                <w:rFonts w:ascii="Hiragino Sans GB" w:hAnsi="Hiragino Sans GB" w:eastAsia="Hiragino Sans GB"/>
                <w:sz w:val="17"/>
              </w:rPr>
              <w:t>当前采用基于 Apache 2.0 且含附加条款的 MinerU Open Source License</w:t>
            </w:r>
          </w:p>
        </w:tc>
        <w:tc>
          <w:tcPr>
            <w:tcW w:type="dxa" w:w="2438"/>
            <w:vAlign w:val="center"/>
          </w:tcPr>
          <w:p>
            <w:pPr>
              <w:spacing w:after="0" w:line="264" w:lineRule="auto"/>
            </w:pPr>
            <w:r>
              <w:rPr>
                <w:rFonts w:ascii="Hiragino Sans GB" w:hAnsi="Hiragino Sans GB" w:eastAsia="Hiragino Sans GB"/>
                <w:sz w:val="17"/>
              </w:rPr>
              <w:t>锁定代码提交与解析配置；在线服务需履行相应标识义务</w:t>
            </w:r>
          </w:p>
        </w:tc>
      </w:tr>
      <w:tr>
        <w:trPr>
          <w:cantSplit/>
        </w:trPr>
        <w:tc>
          <w:tcPr>
            <w:tcW w:type="dxa" w:w="1587"/>
            <w:shd w:fill="F3F5F7"/>
            <w:vAlign w:val="center"/>
          </w:tcPr>
          <w:p>
            <w:pPr>
              <w:spacing w:after="0" w:line="264" w:lineRule="auto"/>
            </w:pPr>
            <w:r>
              <w:rPr>
                <w:rFonts w:ascii="Hiragino Sans GB" w:hAnsi="Hiragino Sans GB" w:eastAsia="Hiragino Sans GB"/>
                <w:sz w:val="17"/>
              </w:rPr>
              <w:t>PostgreSQL＋pgvector</w:t>
            </w:r>
          </w:p>
        </w:tc>
        <w:tc>
          <w:tcPr>
            <w:tcW w:type="dxa" w:w="2324"/>
            <w:shd w:fill="F3F5F7"/>
            <w:vAlign w:val="center"/>
          </w:tcPr>
          <w:p>
            <w:pPr>
              <w:spacing w:after="0" w:line="264" w:lineRule="auto"/>
            </w:pPr>
            <w:r>
              <w:rPr>
                <w:rFonts w:ascii="Hiragino Sans GB" w:hAnsi="Hiragino Sans GB" w:eastAsia="Hiragino Sans GB"/>
                <w:sz w:val="17"/>
              </w:rPr>
              <w:t>关系字段、证据链和向量统一存储</w:t>
            </w:r>
          </w:p>
        </w:tc>
        <w:tc>
          <w:tcPr>
            <w:tcW w:type="dxa" w:w="2835"/>
            <w:shd w:fill="F3F5F7"/>
            <w:vAlign w:val="center"/>
          </w:tcPr>
          <w:p>
            <w:pPr>
              <w:spacing w:after="0" w:line="264" w:lineRule="auto"/>
            </w:pPr>
            <w:r>
              <w:rPr>
                <w:rFonts w:ascii="Hiragino Sans GB" w:hAnsi="Hiragino Sans GB" w:eastAsia="Hiragino Sans GB"/>
                <w:sz w:val="17"/>
              </w:rPr>
              <w:t>开源 PostgreSQL License</w:t>
            </w:r>
          </w:p>
        </w:tc>
        <w:tc>
          <w:tcPr>
            <w:tcW w:type="dxa" w:w="2438"/>
            <w:shd w:fill="F3F5F7"/>
            <w:vAlign w:val="center"/>
          </w:tcPr>
          <w:p>
            <w:pPr>
              <w:spacing w:after="0" w:line="264" w:lineRule="auto"/>
            </w:pPr>
            <w:r>
              <w:rPr>
                <w:rFonts w:ascii="Hiragino Sans GB" w:hAnsi="Hiragino Sans GB" w:eastAsia="Hiragino Sans GB"/>
                <w:sz w:val="17"/>
              </w:rPr>
              <w:t>Docker 化部署；数据库迁移脚本和 Schema 随代码发布</w:t>
            </w:r>
          </w:p>
        </w:tc>
      </w:tr>
      <w:tr>
        <w:trPr>
          <w:cantSplit/>
        </w:trPr>
        <w:tc>
          <w:tcPr>
            <w:tcW w:type="dxa" w:w="1587"/>
            <w:vAlign w:val="center"/>
          </w:tcPr>
          <w:p>
            <w:pPr>
              <w:spacing w:after="0" w:line="264" w:lineRule="auto"/>
            </w:pPr>
            <w:r>
              <w:rPr>
                <w:rFonts w:ascii="Hiragino Sans GB" w:hAnsi="Hiragino Sans GB" w:eastAsia="Hiragino Sans GB"/>
                <w:sz w:val="17"/>
              </w:rPr>
              <w:t>Embedding / Reranker</w:t>
            </w:r>
          </w:p>
        </w:tc>
        <w:tc>
          <w:tcPr>
            <w:tcW w:type="dxa" w:w="2324"/>
            <w:vAlign w:val="center"/>
          </w:tcPr>
          <w:p>
            <w:pPr>
              <w:spacing w:after="0" w:line="264" w:lineRule="auto"/>
            </w:pPr>
            <w:r>
              <w:rPr>
                <w:rFonts w:ascii="Hiragino Sans GB" w:hAnsi="Hiragino Sans GB" w:eastAsia="Hiragino Sans GB"/>
                <w:sz w:val="17"/>
              </w:rPr>
              <w:t>语义召回、相关性重排和近似去重</w:t>
            </w:r>
          </w:p>
        </w:tc>
        <w:tc>
          <w:tcPr>
            <w:tcW w:type="dxa" w:w="2835"/>
            <w:vAlign w:val="center"/>
          </w:tcPr>
          <w:p>
            <w:pPr>
              <w:spacing w:after="0" w:line="264" w:lineRule="auto"/>
            </w:pPr>
            <w:r>
              <w:rPr>
                <w:rFonts w:ascii="Hiragino Sans GB" w:hAnsi="Hiragino Sans GB" w:eastAsia="Hiragino Sans GB"/>
                <w:sz w:val="17"/>
              </w:rPr>
              <w:t>具体模型【待确认】，按模型卡披露许可证</w:t>
            </w:r>
          </w:p>
        </w:tc>
        <w:tc>
          <w:tcPr>
            <w:tcW w:type="dxa" w:w="2438"/>
            <w:vAlign w:val="center"/>
          </w:tcPr>
          <w:p>
            <w:pPr>
              <w:spacing w:after="0" w:line="264" w:lineRule="auto"/>
            </w:pPr>
            <w:r>
              <w:rPr>
                <w:rFonts w:ascii="Hiragino Sans GB" w:hAnsi="Hiragino Sans GB" w:eastAsia="Hiragino Sans GB"/>
                <w:sz w:val="17"/>
              </w:rPr>
              <w:t>通过统一接口替换；记录模型标识、版本、维度和推理配置</w:t>
            </w:r>
          </w:p>
        </w:tc>
      </w:tr>
      <w:tr>
        <w:trPr>
          <w:cantSplit/>
        </w:trPr>
        <w:tc>
          <w:tcPr>
            <w:tcW w:type="dxa" w:w="1587"/>
            <w:shd w:fill="F3F5F7"/>
            <w:vAlign w:val="center"/>
          </w:tcPr>
          <w:p>
            <w:pPr>
              <w:spacing w:after="0" w:line="264" w:lineRule="auto"/>
            </w:pPr>
            <w:r>
              <w:rPr>
                <w:rFonts w:ascii="Hiragino Sans GB" w:hAnsi="Hiragino Sans GB" w:eastAsia="Hiragino Sans GB"/>
                <w:sz w:val="17"/>
              </w:rPr>
              <w:t>大语言模型</w:t>
            </w:r>
          </w:p>
        </w:tc>
        <w:tc>
          <w:tcPr>
            <w:tcW w:type="dxa" w:w="2324"/>
            <w:shd w:fill="F3F5F7"/>
            <w:vAlign w:val="center"/>
          </w:tcPr>
          <w:p>
            <w:pPr>
              <w:spacing w:after="0" w:line="264" w:lineRule="auto"/>
            </w:pPr>
            <w:r>
              <w:rPr>
                <w:rFonts w:ascii="Hiragino Sans GB" w:hAnsi="Hiragino Sans GB" w:eastAsia="Hiragino Sans GB"/>
                <w:sz w:val="17"/>
              </w:rPr>
              <w:t>任务拆解、受约束抽取、Gap 草拟和报告表达</w:t>
            </w:r>
          </w:p>
        </w:tc>
        <w:tc>
          <w:tcPr>
            <w:tcW w:type="dxa" w:w="2835"/>
            <w:shd w:fill="F3F5F7"/>
            <w:vAlign w:val="center"/>
          </w:tcPr>
          <w:p>
            <w:pPr>
              <w:spacing w:after="0" w:line="264" w:lineRule="auto"/>
            </w:pPr>
            <w:r>
              <w:rPr>
                <w:rFonts w:ascii="Hiragino Sans GB" w:hAnsi="Hiragino Sans GB" w:eastAsia="Hiragino Sans GB"/>
                <w:sz w:val="17"/>
              </w:rPr>
              <w:t>具体开源或商业模型【待确认】</w:t>
            </w:r>
          </w:p>
        </w:tc>
        <w:tc>
          <w:tcPr>
            <w:tcW w:type="dxa" w:w="2438"/>
            <w:shd w:fill="F3F5F7"/>
            <w:vAlign w:val="center"/>
          </w:tcPr>
          <w:p>
            <w:pPr>
              <w:spacing w:after="0" w:line="264" w:lineRule="auto"/>
            </w:pPr>
            <w:r>
              <w:rPr>
                <w:rFonts w:ascii="Hiragino Sans GB" w:hAnsi="Hiragino Sans GB" w:eastAsia="Hiragino Sans GB"/>
                <w:sz w:val="17"/>
              </w:rPr>
              <w:t>不得保存密钥；记录提供方、版本、提示词、成本和替代方案</w:t>
            </w:r>
          </w:p>
        </w:tc>
      </w:tr>
      <w:tr>
        <w:trPr>
          <w:cantSplit/>
        </w:trPr>
        <w:tc>
          <w:tcPr>
            <w:tcW w:type="dxa" w:w="1587"/>
            <w:vAlign w:val="center"/>
          </w:tcPr>
          <w:p>
            <w:pPr>
              <w:spacing w:after="0" w:line="264" w:lineRule="auto"/>
            </w:pPr>
            <w:r>
              <w:rPr>
                <w:rFonts w:ascii="Hiragino Sans GB" w:hAnsi="Hiragino Sans GB" w:eastAsia="Hiragino Sans GB"/>
                <w:sz w:val="17"/>
              </w:rPr>
              <w:t>Python / Hydra / OmegaConf</w:t>
            </w:r>
          </w:p>
        </w:tc>
        <w:tc>
          <w:tcPr>
            <w:tcW w:type="dxa" w:w="2324"/>
            <w:vAlign w:val="center"/>
          </w:tcPr>
          <w:p>
            <w:pPr>
              <w:spacing w:after="0" w:line="264" w:lineRule="auto"/>
            </w:pPr>
            <w:r>
              <w:rPr>
                <w:rFonts w:ascii="Hiragino Sans GB" w:hAnsi="Hiragino Sans GB" w:eastAsia="Hiragino Sans GB"/>
                <w:sz w:val="17"/>
              </w:rPr>
              <w:t>规则程序、工作流、配置组合和实验入口</w:t>
            </w:r>
          </w:p>
        </w:tc>
        <w:tc>
          <w:tcPr>
            <w:tcW w:type="dxa" w:w="2835"/>
            <w:vAlign w:val="center"/>
          </w:tcPr>
          <w:p>
            <w:pPr>
              <w:spacing w:after="0" w:line="264" w:lineRule="auto"/>
            </w:pPr>
            <w:r>
              <w:rPr>
                <w:rFonts w:ascii="Hiragino Sans GB" w:hAnsi="Hiragino Sans GB" w:eastAsia="Hiragino Sans GB"/>
                <w:sz w:val="17"/>
              </w:rPr>
              <w:t>开源依赖，按最终锁定清单逐项披露许可证</w:t>
            </w:r>
          </w:p>
        </w:tc>
        <w:tc>
          <w:tcPr>
            <w:tcW w:type="dxa" w:w="2438"/>
            <w:vAlign w:val="center"/>
          </w:tcPr>
          <w:p>
            <w:pPr>
              <w:spacing w:after="0" w:line="264" w:lineRule="auto"/>
            </w:pPr>
            <w:r>
              <w:rPr>
                <w:rFonts w:ascii="Hiragino Sans GB" w:hAnsi="Hiragino Sans GB" w:eastAsia="Hiragino Sans GB"/>
                <w:sz w:val="17"/>
              </w:rPr>
              <w:t>使用 uv 锁定环境；配置与代码分离，可命令行复现</w:t>
            </w:r>
          </w:p>
        </w:tc>
      </w:tr>
      <w:tr>
        <w:trPr>
          <w:cantSplit/>
        </w:trPr>
        <w:tc>
          <w:tcPr>
            <w:tcW w:type="dxa" w:w="1587"/>
            <w:shd w:fill="F3F5F7"/>
            <w:vAlign w:val="center"/>
          </w:tcPr>
          <w:p>
            <w:pPr>
              <w:spacing w:after="0" w:line="264" w:lineRule="auto"/>
            </w:pPr>
            <w:r>
              <w:rPr>
                <w:rFonts w:ascii="Hiragino Sans GB" w:hAnsi="Hiragino Sans GB" w:eastAsia="Hiragino Sans GB"/>
                <w:sz w:val="17"/>
              </w:rPr>
              <w:t>Docker</w:t>
            </w:r>
          </w:p>
        </w:tc>
        <w:tc>
          <w:tcPr>
            <w:tcW w:type="dxa" w:w="2324"/>
            <w:shd w:fill="F3F5F7"/>
            <w:vAlign w:val="center"/>
          </w:tcPr>
          <w:p>
            <w:pPr>
              <w:spacing w:after="0" w:line="264" w:lineRule="auto"/>
            </w:pPr>
            <w:r>
              <w:rPr>
                <w:rFonts w:ascii="Hiragino Sans GB" w:hAnsi="Hiragino Sans GB" w:eastAsia="Hiragino Sans GB"/>
                <w:sz w:val="17"/>
              </w:rPr>
              <w:t>封装 API、数据库和批处理服务</w:t>
            </w:r>
          </w:p>
        </w:tc>
        <w:tc>
          <w:tcPr>
            <w:tcW w:type="dxa" w:w="2835"/>
            <w:shd w:fill="F3F5F7"/>
            <w:vAlign w:val="center"/>
          </w:tcPr>
          <w:p>
            <w:pPr>
              <w:spacing w:after="0" w:line="264" w:lineRule="auto"/>
            </w:pPr>
            <w:r>
              <w:rPr>
                <w:rFonts w:ascii="Hiragino Sans GB" w:hAnsi="Hiragino Sans GB" w:eastAsia="Hiragino Sans GB"/>
                <w:sz w:val="17"/>
              </w:rPr>
              <w:t>容器配置可开源；Docker Desktop 受单独使用条款约束</w:t>
            </w:r>
          </w:p>
        </w:tc>
        <w:tc>
          <w:tcPr>
            <w:tcW w:type="dxa" w:w="2438"/>
            <w:shd w:fill="F3F5F7"/>
            <w:vAlign w:val="center"/>
          </w:tcPr>
          <w:p>
            <w:pPr>
              <w:spacing w:after="0" w:line="264" w:lineRule="auto"/>
            </w:pPr>
            <w:r>
              <w:rPr>
                <w:rFonts w:ascii="Hiragino Sans GB" w:hAnsi="Hiragino Sans GB" w:eastAsia="Hiragino Sans GB"/>
                <w:sz w:val="17"/>
              </w:rPr>
              <w:t>提供 Dockerfile 和 compose 文件，不强制依赖桌面版</w:t>
            </w:r>
          </w:p>
        </w:tc>
      </w:tr>
    </w:tbl>
    <w:p>
      <w:pPr>
        <w:spacing w:after="0"/>
      </w:pPr>
    </w:p>
    <w:p>
      <w:pPr>
        <w:spacing w:line="324" w:lineRule="auto" w:after="80"/>
        <w:ind w:firstLine="420"/>
      </w:pPr>
      <w:r>
        <w:rPr>
          <w:rFonts w:ascii="Hiragino Sans GB" w:hAnsi="Hiragino Sans GB" w:eastAsia="Hiragino Sans GB"/>
          <w:b w:val="0"/>
          <w:sz w:val="21"/>
        </w:rPr>
        <w:t>团队已完成 Sciverse 账号注册和一次最小 API 连通验证，尚未下载 Sci-Base。验证脚本采用隐藏输入读取 Token，仅把去除密钥后的查询配置、候选片段、doc_id、page_no、offset 和全文上下文写入结果文件；Token 不进入代码、文档、日志或容器镜像。后续在资源允许时下载 Sci-Base 材料子集，形成可离线复现的检索基线。</w:t>
      </w:r>
    </w:p>
    <w:p>
      <w:pPr>
        <w:pStyle w:val="3"/>
        <w:pageBreakBefore/>
      </w:pPr>
      <w:r>
        <w:rPr>
          <w:rFonts w:ascii="Hiragino Sans GB" w:hAnsi="Hiragino Sans GB" w:eastAsia="Hiragino Sans GB"/>
          <w:b/>
          <w:sz w:val="32"/>
        </w:rPr>
        <w:t>四、阶段性实验结果或可行性验证</w:t>
      </w:r>
    </w:p>
    <w:p>
      <w:pPr>
        <w:pStyle w:val="4"/>
        <w:pageBreakBefore w:val="0"/>
      </w:pPr>
      <w:r>
        <w:rPr>
          <w:rFonts w:ascii="Hiragino Sans GB" w:hAnsi="Hiragino Sans GB" w:eastAsia="Hiragino Sans GB"/>
          <w:b/>
          <w:sz w:val="25"/>
        </w:rPr>
        <w:t>4.1 阶段性实验或可行性验证</w:t>
      </w:r>
    </w:p>
    <w:p>
      <w:pPr>
        <w:spacing w:line="324" w:lineRule="auto" w:after="80"/>
        <w:ind w:firstLine="420"/>
      </w:pPr>
      <w:r>
        <w:rPr>
          <w:rFonts w:ascii="Hiragino Sans GB" w:hAnsi="Hiragino Sans GB" w:eastAsia="Hiragino Sans GB"/>
          <w:b w:val="0"/>
          <w:sz w:val="21"/>
        </w:rPr>
        <w:t>2026 年 8 月 4 日完成一次 Sciverse 小案例连通验证。研究问题为：保护性表面涂层如何影响高镍层状氧化物正极与硫化物固态电解质之间的化学/电化学界面稳定性，以及堆叠压力、截止电压、温度、面载量和循环制度能否解释文献结论差异。调用 agentic-search，设置 top_k=10、sub_queries=2、英文和 Physical Sciences 过滤；随后对相关性排序前 5 条调用 content，在原 offset 前移 300 字符处读取 2000 字符上下文。</w:t>
      </w:r>
    </w:p>
    <w:p>
      <w:pPr>
        <w:spacing w:line="324" w:lineRule="auto" w:after="80"/>
        <w:ind w:firstLine="0"/>
      </w:pPr>
      <w:r>
        <w:rPr>
          <w:rFonts w:ascii="Hiragino Sans GB" w:hAnsi="Hiragino Sans GB" w:eastAsia="Hiragino Sans GB"/>
          <w:b/>
          <w:sz w:val="21"/>
        </w:rPr>
        <w:t>验证记录与判定规则：</w:t>
      </w:r>
    </w:p>
    <w:p>
      <w:pPr>
        <w:spacing w:after="50"/>
        <w:ind w:left="420" w:hanging="283"/>
      </w:pPr>
      <w:r>
        <w:rPr>
          <w:rFonts w:ascii="Hiragino Sans GB" w:hAnsi="Hiragino Sans GB" w:eastAsia="Hiragino Sans GB"/>
          <w:sz w:val="21"/>
        </w:rPr>
        <w:t>• 保留查询文本、参数、生成时间、全部候选、doc_id、chunk_id、page_no、offset、原始 chunk 与 content 上下文；证据清单不保存 Token。</w:t>
      </w:r>
    </w:p>
    <w:p>
      <w:pPr>
        <w:spacing w:after="50"/>
        <w:ind w:left="420" w:hanging="283"/>
      </w:pPr>
      <w:r>
        <w:rPr>
          <w:rFonts w:ascii="Hiragino Sans GB" w:hAnsi="Hiragino Sans GB" w:eastAsia="Hiragino Sans GB"/>
          <w:sz w:val="21"/>
        </w:rPr>
        <w:t>• 人工把候选分为直接相关、背景相关和偏题三类；只有直接相关且读取上下文成功的记录可进入文献事实 F。仅有检索片段的记录只能作为待核验候选。</w:t>
      </w:r>
    </w:p>
    <w:p>
      <w:pPr>
        <w:spacing w:after="50"/>
        <w:ind w:left="420" w:hanging="283"/>
      </w:pPr>
      <w:r>
        <w:rPr>
          <w:rFonts w:ascii="Hiragino Sans GB" w:hAnsi="Hiragino Sans GB" w:eastAsia="Hiragino Sans GB"/>
          <w:sz w:val="21"/>
        </w:rPr>
        <w:t>• 本次验证只证明数据源连通、语义召回和证据定位可行，不代表已完成系统评测。后续仍需构建人工金标准，比较关键词、语义和混合检索并报告 Precision、Recall@K 与 nDCG@K。</w:t>
      </w:r>
    </w:p>
    <w:p>
      <w:pPr>
        <w:spacing w:line="324" w:lineRule="auto" w:after="80"/>
        <w:ind w:firstLine="420"/>
      </w:pPr>
      <w:r>
        <w:rPr>
          <w:rFonts w:ascii="Hiragino Sans GB" w:hAnsi="Hiragino Sans GB" w:eastAsia="Hiragino Sans GB"/>
          <w:b w:val="0"/>
          <w:sz w:val="21"/>
        </w:rPr>
        <w:t>本次输出已另存为“Sciverse_小案例证据清单.json”，其中保留完整 doc_id 与上下文。该文件用于复核而非直接作为科学结论；正式报告仍需打开原文、清洗重复作者/标题元数据，并由材料背景成员确认。</w:t>
      </w:r>
    </w:p>
    <w:p>
      <w:pPr>
        <w:pStyle w:val="4"/>
        <w:pageBreakBefore w:val="0"/>
      </w:pPr>
      <w:r>
        <w:rPr>
          <w:rFonts w:ascii="Hiragino Sans GB" w:hAnsi="Hiragino Sans GB" w:eastAsia="Hiragino Sans GB"/>
          <w:b/>
          <w:sz w:val="25"/>
        </w:rPr>
        <w:t>4.2 当前结果</w:t>
      </w:r>
    </w:p>
    <w:p>
      <w:pPr>
        <w:spacing w:line="324" w:lineRule="auto" w:after="80"/>
        <w:ind w:firstLine="420"/>
      </w:pPr>
      <w:r>
        <w:rPr>
          <w:rFonts w:ascii="Hiragino Sans GB" w:hAnsi="Hiragino Sans GB" w:eastAsia="Hiragino Sans GB"/>
          <w:b w:val="0"/>
          <w:sz w:val="21"/>
        </w:rPr>
        <w:t>本次 agentic-search 实际返回 10 条候选片段，前 5 条 content 上下文读取全部成功，content_errors 为空。初步人工筛查发现至少 4 条标题/片段直接涉及全固态电池或氧化物正极-硫化物电解质界面，其余结果包含液态电解质中的高镍正极涂层和一般薄膜制备研究。说明语义检索能召回相关机制证据，但仅按相似度取前若干条会产生领域漂移，需要文献筛选 Agent、材料体系过滤和 Reranker 二次排序。</w:t>
      </w:r>
    </w:p>
    <w:tbl>
      <w:tblPr>
        <w:tblStyle w:val="33"/>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680"/>
            <w:shd w:fill="17365D"/>
            <w:vAlign w:val="center"/>
          </w:tcPr>
          <w:p>
            <w:pPr>
              <w:jc w:val="center"/>
            </w:pPr>
            <w:r>
              <w:rPr>
                <w:rFonts w:ascii="Hiragino Sans GB" w:hAnsi="Hiragino Sans GB" w:eastAsia="Hiragino Sans GB"/>
                <w:b/>
                <w:color w:val="FFFFFF"/>
                <w:sz w:val="18"/>
              </w:rPr>
              <w:t>编号</w:t>
            </w:r>
          </w:p>
        </w:tc>
        <w:tc>
          <w:tcPr>
            <w:tcW w:type="dxa" w:w="2494"/>
            <w:shd w:fill="17365D"/>
            <w:vAlign w:val="center"/>
          </w:tcPr>
          <w:p>
            <w:pPr>
              <w:jc w:val="center"/>
            </w:pPr>
            <w:r>
              <w:rPr>
                <w:rFonts w:ascii="Hiragino Sans GB" w:hAnsi="Hiragino Sans GB" w:eastAsia="Hiragino Sans GB"/>
                <w:b/>
                <w:color w:val="FFFFFF"/>
                <w:sz w:val="18"/>
              </w:rPr>
              <w:t>文献与年份</w:t>
            </w:r>
          </w:p>
        </w:tc>
        <w:tc>
          <w:tcPr>
            <w:tcW w:type="dxa" w:w="2551"/>
            <w:shd w:fill="17365D"/>
            <w:vAlign w:val="center"/>
          </w:tcPr>
          <w:p>
            <w:pPr>
              <w:jc w:val="center"/>
            </w:pPr>
            <w:r>
              <w:rPr>
                <w:rFonts w:ascii="Hiragino Sans GB" w:hAnsi="Hiragino Sans GB" w:eastAsia="Hiragino Sans GB"/>
                <w:b/>
                <w:color w:val="FFFFFF"/>
                <w:sz w:val="18"/>
              </w:rPr>
              <w:t>证据定位</w:t>
            </w:r>
          </w:p>
        </w:tc>
        <w:tc>
          <w:tcPr>
            <w:tcW w:type="dxa" w:w="3458"/>
            <w:shd w:fill="17365D"/>
            <w:vAlign w:val="center"/>
          </w:tcPr>
          <w:p>
            <w:pPr>
              <w:jc w:val="center"/>
            </w:pPr>
            <w:r>
              <w:rPr>
                <w:rFonts w:ascii="Hiragino Sans GB" w:hAnsi="Hiragino Sans GB" w:eastAsia="Hiragino Sans GB"/>
                <w:b/>
                <w:color w:val="FFFFFF"/>
                <w:sz w:val="18"/>
              </w:rPr>
              <w:t>当前可支持的陈述与限制</w:t>
            </w:r>
          </w:p>
        </w:tc>
      </w:tr>
      <w:tr>
        <w:trPr>
          <w:cantSplit/>
        </w:trPr>
        <w:tc>
          <w:tcPr>
            <w:tcW w:type="dxa" w:w="680"/>
            <w:vAlign w:val="center"/>
          </w:tcPr>
          <w:p>
            <w:pPr>
              <w:spacing w:after="0" w:line="264" w:lineRule="auto"/>
            </w:pPr>
            <w:r>
              <w:rPr>
                <w:rFonts w:ascii="Hiragino Sans GB" w:hAnsi="Hiragino Sans GB" w:eastAsia="Hiragino Sans GB"/>
                <w:sz w:val="17"/>
              </w:rPr>
              <w:t>E1</w:t>
            </w:r>
          </w:p>
        </w:tc>
        <w:tc>
          <w:tcPr>
            <w:tcW w:type="dxa" w:w="2494"/>
            <w:vAlign w:val="center"/>
          </w:tcPr>
          <w:p>
            <w:pPr>
              <w:spacing w:after="0" w:line="264" w:lineRule="auto"/>
            </w:pPr>
            <w:r>
              <w:rPr>
                <w:rFonts w:ascii="Hiragino Sans GB" w:hAnsi="Hiragino Sans GB" w:eastAsia="Hiragino Sans GB"/>
                <w:sz w:val="17"/>
              </w:rPr>
              <w:t>Trimethylsilyl Compounds...（2023）</w:t>
            </w:r>
          </w:p>
        </w:tc>
        <w:tc>
          <w:tcPr>
            <w:tcW w:type="dxa" w:w="2551"/>
            <w:vAlign w:val="center"/>
          </w:tcPr>
          <w:p>
            <w:pPr>
              <w:spacing w:after="0" w:line="264" w:lineRule="auto"/>
            </w:pPr>
            <w:r>
              <w:rPr>
                <w:rFonts w:ascii="Hiragino Sans GB" w:hAnsi="Hiragino Sans GB" w:eastAsia="Hiragino Sans GB"/>
                <w:sz w:val="17"/>
              </w:rPr>
              <w:t>doc_id 9387230080d3…；page_no=0；offset=2865；content 已读取</w:t>
            </w:r>
          </w:p>
        </w:tc>
        <w:tc>
          <w:tcPr>
            <w:tcW w:type="dxa" w:w="3458"/>
            <w:vAlign w:val="center"/>
          </w:tcPr>
          <w:p>
            <w:pPr>
              <w:spacing w:after="0" w:line="264" w:lineRule="auto"/>
            </w:pPr>
            <w:r>
              <w:rPr>
                <w:rFonts w:ascii="Hiragino Sans GB" w:hAnsi="Hiragino Sans GB" w:eastAsia="Hiragino Sans GB"/>
                <w:sz w:val="17"/>
              </w:rPr>
              <w:t>硫代磷酸盐电解质稳定窗口窄，界面分解产物离子电导较差并增加阻抗；LiNbO3 为保护层实例。还指出碳添加剂表面分解是另一失效模式。</w:t>
            </w:r>
          </w:p>
        </w:tc>
      </w:tr>
      <w:tr>
        <w:trPr>
          <w:cantSplit/>
        </w:trPr>
        <w:tc>
          <w:tcPr>
            <w:tcW w:type="dxa" w:w="680"/>
            <w:shd w:fill="F3F5F7"/>
            <w:vAlign w:val="center"/>
          </w:tcPr>
          <w:p>
            <w:pPr>
              <w:spacing w:after="0" w:line="264" w:lineRule="auto"/>
            </w:pPr>
            <w:r>
              <w:rPr>
                <w:rFonts w:ascii="Hiragino Sans GB" w:hAnsi="Hiragino Sans GB" w:eastAsia="Hiragino Sans GB"/>
                <w:sz w:val="17"/>
              </w:rPr>
              <w:t>E2</w:t>
            </w:r>
          </w:p>
        </w:tc>
        <w:tc>
          <w:tcPr>
            <w:tcW w:type="dxa" w:w="2494"/>
            <w:shd w:fill="F3F5F7"/>
            <w:vAlign w:val="center"/>
          </w:tcPr>
          <w:p>
            <w:pPr>
              <w:spacing w:after="0" w:line="264" w:lineRule="auto"/>
            </w:pPr>
            <w:r>
              <w:rPr>
                <w:rFonts w:ascii="Hiragino Sans GB" w:hAnsi="Hiragino Sans GB" w:eastAsia="Hiragino Sans GB"/>
                <w:sz w:val="17"/>
              </w:rPr>
              <w:t>Improving Interfacial Problems...（2020）</w:t>
            </w:r>
          </w:p>
        </w:tc>
        <w:tc>
          <w:tcPr>
            <w:tcW w:type="dxa" w:w="2551"/>
            <w:shd w:fill="F3F5F7"/>
            <w:vAlign w:val="center"/>
          </w:tcPr>
          <w:p>
            <w:pPr>
              <w:spacing w:after="0" w:line="264" w:lineRule="auto"/>
            </w:pPr>
            <w:r>
              <w:rPr>
                <w:rFonts w:ascii="Hiragino Sans GB" w:hAnsi="Hiragino Sans GB" w:eastAsia="Hiragino Sans GB"/>
                <w:sz w:val="17"/>
              </w:rPr>
              <w:t>doc_id a4397e82adb1…；page_no=0；offset=1384；content 已读取</w:t>
            </w:r>
          </w:p>
        </w:tc>
        <w:tc>
          <w:tcPr>
            <w:tcW w:type="dxa" w:w="3458"/>
            <w:shd w:fill="F3F5F7"/>
            <w:vAlign w:val="center"/>
          </w:tcPr>
          <w:p>
            <w:pPr>
              <w:spacing w:after="0" w:line="264" w:lineRule="auto"/>
            </w:pPr>
            <w:r>
              <w:rPr>
                <w:rFonts w:ascii="Hiragino Sans GB" w:hAnsi="Hiragino Sans GB" w:eastAsia="Hiragino Sans GB"/>
                <w:sz w:val="17"/>
              </w:rPr>
              <w:t>作者报告 ETPA-PEG 包覆 NCM811 后 100 次循环容量保持率为 84%，界面阻抗降低，2 C 下容量为 34 mAh g-1；具体电解质化学与测试条件仍需全文核验。</w:t>
            </w:r>
          </w:p>
        </w:tc>
      </w:tr>
      <w:tr>
        <w:trPr>
          <w:cantSplit/>
        </w:trPr>
        <w:tc>
          <w:tcPr>
            <w:tcW w:type="dxa" w:w="680"/>
            <w:vAlign w:val="center"/>
          </w:tcPr>
          <w:p>
            <w:pPr>
              <w:spacing w:after="0" w:line="264" w:lineRule="auto"/>
            </w:pPr>
            <w:r>
              <w:rPr>
                <w:rFonts w:ascii="Hiragino Sans GB" w:hAnsi="Hiragino Sans GB" w:eastAsia="Hiragino Sans GB"/>
                <w:sz w:val="17"/>
              </w:rPr>
              <w:t>E3</w:t>
            </w:r>
          </w:p>
        </w:tc>
        <w:tc>
          <w:tcPr>
            <w:tcW w:type="dxa" w:w="2494"/>
            <w:vAlign w:val="center"/>
          </w:tcPr>
          <w:p>
            <w:pPr>
              <w:spacing w:after="0" w:line="264" w:lineRule="auto"/>
            </w:pPr>
            <w:r>
              <w:rPr>
                <w:rFonts w:ascii="Hiragino Sans GB" w:hAnsi="Hiragino Sans GB" w:eastAsia="Hiragino Sans GB"/>
                <w:sz w:val="17"/>
              </w:rPr>
              <w:t>Revealing Nanoscale Solid-Solid Interfacial Phenomena...（2019）</w:t>
            </w:r>
          </w:p>
        </w:tc>
        <w:tc>
          <w:tcPr>
            <w:tcW w:type="dxa" w:w="2551"/>
            <w:vAlign w:val="center"/>
          </w:tcPr>
          <w:p>
            <w:pPr>
              <w:spacing w:after="0" w:line="264" w:lineRule="auto"/>
            </w:pPr>
            <w:r>
              <w:rPr>
                <w:rFonts w:ascii="Hiragino Sans GB" w:hAnsi="Hiragino Sans GB" w:eastAsia="Hiragino Sans GB"/>
                <w:sz w:val="17"/>
              </w:rPr>
              <w:t>doc_id b82f31b3e57…；page_no=1；offset=3001；仅检索片段</w:t>
            </w:r>
          </w:p>
        </w:tc>
        <w:tc>
          <w:tcPr>
            <w:tcW w:type="dxa" w:w="3458"/>
            <w:vAlign w:val="center"/>
          </w:tcPr>
          <w:p>
            <w:pPr>
              <w:spacing w:after="0" w:line="264" w:lineRule="auto"/>
            </w:pPr>
            <w:r>
              <w:rPr>
                <w:rFonts w:ascii="Hiragino Sans GB" w:hAnsi="Hiragino Sans GB" w:eastAsia="Hiragino Sans GB"/>
                <w:sz w:val="17"/>
              </w:rPr>
              <w:t>片段指出高电压氧化物正极与硫化物电解质界面稳定性是挑战，LiNbO3 的精确作用机制仍未完全明确；尚未读取扩展上下文。</w:t>
            </w:r>
          </w:p>
        </w:tc>
      </w:tr>
      <w:tr>
        <w:trPr>
          <w:cantSplit/>
        </w:trPr>
        <w:tc>
          <w:tcPr>
            <w:tcW w:type="dxa" w:w="680"/>
            <w:shd w:fill="F3F5F7"/>
            <w:vAlign w:val="center"/>
          </w:tcPr>
          <w:p>
            <w:pPr>
              <w:spacing w:after="0" w:line="264" w:lineRule="auto"/>
            </w:pPr>
            <w:r>
              <w:rPr>
                <w:rFonts w:ascii="Hiragino Sans GB" w:hAnsi="Hiragino Sans GB" w:eastAsia="Hiragino Sans GB"/>
                <w:sz w:val="17"/>
              </w:rPr>
              <w:t>E4</w:t>
            </w:r>
          </w:p>
        </w:tc>
        <w:tc>
          <w:tcPr>
            <w:tcW w:type="dxa" w:w="2494"/>
            <w:shd w:fill="F3F5F7"/>
            <w:vAlign w:val="center"/>
          </w:tcPr>
          <w:p>
            <w:pPr>
              <w:spacing w:after="0" w:line="264" w:lineRule="auto"/>
            </w:pPr>
            <w:r>
              <w:rPr>
                <w:rFonts w:ascii="Hiragino Sans GB" w:hAnsi="Hiragino Sans GB" w:eastAsia="Hiragino Sans GB"/>
                <w:sz w:val="17"/>
              </w:rPr>
              <w:t>The Nature and Suppression Strategies...（2023）</w:t>
            </w:r>
          </w:p>
        </w:tc>
        <w:tc>
          <w:tcPr>
            <w:tcW w:type="dxa" w:w="2551"/>
            <w:shd w:fill="F3F5F7"/>
            <w:vAlign w:val="center"/>
          </w:tcPr>
          <w:p>
            <w:pPr>
              <w:spacing w:after="0" w:line="264" w:lineRule="auto"/>
            </w:pPr>
            <w:r>
              <w:rPr>
                <w:rFonts w:ascii="Hiragino Sans GB" w:hAnsi="Hiragino Sans GB" w:eastAsia="Hiragino Sans GB"/>
                <w:sz w:val="17"/>
              </w:rPr>
              <w:t>doc_id 6500ba50f39…；page_no=0；offset=996；仅检索片段</w:t>
            </w:r>
          </w:p>
        </w:tc>
        <w:tc>
          <w:tcPr>
            <w:tcW w:type="dxa" w:w="3458"/>
            <w:shd w:fill="F3F5F7"/>
            <w:vAlign w:val="center"/>
          </w:tcPr>
          <w:p>
            <w:pPr>
              <w:spacing w:after="0" w:line="264" w:lineRule="auto"/>
            </w:pPr>
            <w:r>
              <w:rPr>
                <w:rFonts w:ascii="Hiragino Sans GB" w:hAnsi="Hiragino Sans GB" w:eastAsia="Hiragino Sans GB"/>
                <w:sz w:val="17"/>
              </w:rPr>
              <w:t>片段涉及氧化物正极/涂层与硫化物电解质的化学、电化学反应及电解质自分解，可作为后续机制核验入口。</w:t>
            </w:r>
          </w:p>
        </w:tc>
      </w:tr>
    </w:tbl>
    <w:p>
      <w:pPr>
        <w:spacing w:after="0"/>
      </w:pPr>
    </w:p>
    <w:p>
      <w:pPr>
        <w:spacing w:line="324" w:lineRule="auto" w:after="80"/>
        <w:ind w:firstLine="420"/>
      </w:pPr>
      <w:r>
        <w:rPr>
          <w:rFonts w:ascii="Hiragino Sans GB" w:hAnsi="Hiragino Sans GB" w:eastAsia="Hiragino Sans GB"/>
          <w:b w:val="0"/>
          <w:sz w:val="21"/>
        </w:rPr>
        <w:t>初步待验证假设 H1：仅在正极颗粒表面增加保护层，可能不足以同时消除电解质稳定窗口不匹配和碳添加剂相关副反应；涂层效果应按截止电压、碳含量、压力、温度和面载量分层比较。该假设由 E1 与 E3 提供方向性依据，但当前样本不足，不能宣称为已确认 Research Gap。建议后续补读 E3/E4 全文，并以界面阻抗增长和界面相组成作为可证伪观测量。</w:t>
      </w:r>
    </w:p>
    <w:p>
      <w:pPr>
        <w:pStyle w:val="3"/>
        <w:pageBreakBefore/>
      </w:pPr>
      <w:r>
        <w:rPr>
          <w:rFonts w:ascii="Hiragino Sans GB" w:hAnsi="Hiragino Sans GB" w:eastAsia="Hiragino Sans GB"/>
          <w:b/>
          <w:sz w:val="32"/>
        </w:rPr>
        <w:t>五、复现与开放计划</w:t>
      </w:r>
    </w:p>
    <w:p>
      <w:pPr>
        <w:pStyle w:val="4"/>
        <w:pageBreakBefore w:val="0"/>
      </w:pPr>
      <w:r>
        <w:rPr>
          <w:rFonts w:ascii="Hiragino Sans GB" w:hAnsi="Hiragino Sans GB" w:eastAsia="Hiragino Sans GB"/>
          <w:b/>
          <w:sz w:val="25"/>
        </w:rPr>
        <w:t>5.1 复现方式</w:t>
      </w:r>
    </w:p>
    <w:p>
      <w:pPr>
        <w:spacing w:line="324" w:lineRule="auto" w:after="80"/>
        <w:ind w:firstLine="420"/>
      </w:pPr>
      <w:r>
        <w:rPr>
          <w:rFonts w:ascii="Hiragino Sans GB" w:hAnsi="Hiragino Sans GB" w:eastAsia="Hiragino Sans GB"/>
          <w:b w:val="0"/>
          <w:sz w:val="21"/>
        </w:rPr>
        <w:t>计划以 Python 项目形式提供统一入口，使用 uv 锁定依赖，Hydra 与 OmegaConf 管理数据源、模型、检索、抽取和评测配置，并通过 Docker Compose 启动应用服务与 PostgreSQL/pgvector。复现实验时从配置选择 online_sciverse 或 local_scibase 适配器，依次执行 ingest、retrieve、parse、extract、normalize、fuse、gap、verify、report 和 evaluate 阶段。每次运行生成 manifest，记录代码提交、依赖锁文件、数据版本、DOI 或文献标识、文件哈希、提示词版本、模型标识和时间成本。</w:t>
      </w:r>
    </w:p>
    <w:p>
      <w:pPr>
        <w:spacing w:line="324" w:lineRule="auto" w:after="80"/>
        <w:ind w:firstLine="420"/>
      </w:pPr>
      <w:r>
        <w:rPr>
          <w:rFonts w:ascii="Hiragino Sans GB" w:hAnsi="Hiragino Sans GB" w:eastAsia="Hiragino Sans GB"/>
          <w:b w:val="0"/>
          <w:sz w:val="21"/>
        </w:rPr>
        <w:t>仓库提供 .env.example，但不包含 Token；Sciverse Token 通过环境变量注入。对于无法公开再分发的 PDF 或 API 返回内容，只发布获取说明、文献标识、派生 Schema 和评测脚本。复现者可先完成离线冒烟测试，再在具备权限时运行在线流程。</w:t>
      </w:r>
    </w:p>
    <w:p>
      <w:pPr>
        <w:pStyle w:val="4"/>
        <w:pageBreakBefore w:val="0"/>
      </w:pPr>
      <w:r>
        <w:rPr>
          <w:rFonts w:ascii="Hiragino Sans GB" w:hAnsi="Hiragino Sans GB" w:eastAsia="Hiragino Sans GB"/>
          <w:b/>
          <w:sz w:val="25"/>
        </w:rPr>
        <w:t>5.2 开源计划</w:t>
      </w:r>
    </w:p>
    <w:p>
      <w:pPr>
        <w:spacing w:line="324" w:lineRule="auto" w:after="80"/>
        <w:ind w:firstLine="420"/>
      </w:pPr>
      <w:r>
        <w:rPr>
          <w:rFonts w:ascii="Hiragino Sans GB" w:hAnsi="Hiragino Sans GB" w:eastAsia="Hiragino Sans GB"/>
          <w:b w:val="0"/>
          <w:sz w:val="21"/>
        </w:rPr>
        <w:t>计划开放工作流、数据源适配器、Schema、提示词、规则、评测和 Docker 配置。项目许可证【待确认】；第三方数据、模型和工具遵守各自许可证。发布时提供变更记录、示例、失败案例和已知限制；商业 LLM 或受限 API 保留可替换接口。</w:t>
      </w:r>
    </w:p>
    <w:p>
      <w:pPr>
        <w:pStyle w:val="4"/>
        <w:pageBreakBefore w:val="0"/>
      </w:pPr>
      <w:r>
        <w:rPr>
          <w:rFonts w:ascii="Hiragino Sans GB" w:hAnsi="Hiragino Sans GB" w:eastAsia="Hiragino Sans GB"/>
          <w:b/>
          <w:sz w:val="25"/>
        </w:rPr>
        <w:t>5.3 依赖、数据来源与合规披露</w:t>
      </w:r>
    </w:p>
    <w:p>
      <w:pPr>
        <w:spacing w:line="324" w:lineRule="auto" w:after="80"/>
        <w:ind w:firstLine="420"/>
      </w:pPr>
      <w:r>
        <w:rPr>
          <w:rFonts w:ascii="Hiragino Sans GB" w:hAnsi="Hiragino Sans GB" w:eastAsia="Hiragino Sans GB"/>
          <w:b w:val="0"/>
          <w:sz w:val="21"/>
        </w:rPr>
        <w:t>Sci-Base 当前数据集卡标注为 CC BY 4.0，使用时保留来源、作者和版本信息；Sciverse 属于外部服务，注册、配额、可用接口和返回内容使用范围以账号权限及平台最新条款为准；MinerU 当前许可证以 Apache 2.0 为基础并包含附加条款，若对外提供基于其解析能力的在线服务需按条款标识；PostgreSQL 与 pgvector 采用 PostgreSQL License。正式实现时将锁定具体版本和许可证快照，避免因上游变更导致披露失真。</w:t>
      </w:r>
    </w:p>
    <w:p>
      <w:pPr>
        <w:spacing w:line="324" w:lineRule="auto" w:after="80"/>
        <w:ind w:firstLine="420"/>
      </w:pPr>
      <w:r>
        <w:rPr>
          <w:rFonts w:ascii="Hiragino Sans GB" w:hAnsi="Hiragino Sans GB" w:eastAsia="Hiragino Sans GB"/>
          <w:b w:val="0"/>
          <w:sz w:val="21"/>
        </w:rPr>
        <w:t>系统只处理合法获取的文献和允许使用的元数据，不绕过付费墙或访问控制。事实绑定文献标识和原文位置；跨文献推论与待验证假设显式标注。Token、个人信息和未公开数据不得进入代码仓库、日志或提交包。模型生成内容需由团队核验，并在提交前复核赛事 AI 辅助与数据合规规定。</w:t>
      </w:r>
    </w:p>
    <w:p>
      <w:pPr>
        <w:pStyle w:val="3"/>
        <w:pageBreakBefore/>
      </w:pPr>
      <w:r>
        <w:rPr>
          <w:rFonts w:ascii="Hiragino Sans GB" w:hAnsi="Hiragino Sans GB" w:eastAsia="Hiragino Sans GB"/>
          <w:b/>
          <w:sz w:val="32"/>
        </w:rPr>
        <w:t>六、团队介绍</w:t>
      </w:r>
    </w:p>
    <w:p>
      <w:pPr>
        <w:pStyle w:val="4"/>
        <w:pageBreakBefore w:val="0"/>
      </w:pPr>
      <w:r>
        <w:rPr>
          <w:rFonts w:ascii="Hiragino Sans GB" w:hAnsi="Hiragino Sans GB" w:eastAsia="Hiragino Sans GB"/>
          <w:b/>
          <w:sz w:val="25"/>
        </w:rPr>
        <w:t>6.1 成员背景</w:t>
      </w:r>
    </w:p>
    <w:p>
      <w:pPr>
        <w:spacing w:line="324" w:lineRule="auto" w:after="80"/>
        <w:ind w:firstLine="420"/>
      </w:pPr>
      <w:r>
        <w:t>吕志远（winnie）：博士在读，AI Agent 方向；核心技能＝智能体工程（Skill＋MCP＋工作流编排）、全链路工具开发、科研方案撰写。林夏槿：福建霞浦县职业中专学校，编程少年，1052OS 个人助手开发者；核心技能＝个人助手类 Agent 开发、工程实现与打包。谭力奎：桂林理工大学，AI agent 方向；核心技能＝harness 架构设计、多智能体协作（AI 天文望远镜自动化工作流、多望远镜智能体协作架构）。</w:t>
      </w:r>
    </w:p>
    <w:p>
      <w:pPr>
        <w:pStyle w:val="4"/>
        <w:pageBreakBefore w:val="0"/>
      </w:pPr>
      <w:r>
        <w:rPr>
          <w:rFonts w:ascii="Hiragino Sans GB" w:hAnsi="Hiragino Sans GB" w:eastAsia="Hiragino Sans GB"/>
          <w:b/>
          <w:sz w:val="25"/>
        </w:rPr>
        <w:t>6.2 团队分工</w:t>
      </w:r>
    </w:p>
    <w:p>
      <w:pPr>
        <w:spacing w:line="324" w:lineRule="auto" w:after="80"/>
        <w:ind w:firstLine="420"/>
      </w:pPr>
      <w:r>
        <w:t>winnie：总体架构、证据链与提交；林夏槿：Skill 工程实现（sciverse-search/evidence-ledger）、Docker 一键复现打包；谭力奎：多 Agent 协作架构（工作流编排/Agent 间协议）、harness 测试与新颖性复核。领域签审人【待补充：可选外援】。</w:t>
      </w:r>
    </w:p>
    <w:p>
      <w:pPr>
        <w:pStyle w:val="4"/>
        <w:pageBreakBefore w:val="0"/>
      </w:pPr>
      <w:r>
        <w:rPr>
          <w:rFonts w:ascii="Hiragino Sans GB" w:hAnsi="Hiragino Sans GB" w:eastAsia="Hiragino Sans GB"/>
          <w:b/>
          <w:sz w:val="25"/>
        </w:rPr>
        <w:t>6.3 团队成果</w:t>
      </w:r>
    </w:p>
    <w:p>
      <w:pPr>
        <w:spacing w:line="324" w:lineRule="auto" w:after="80"/>
        <w:ind w:firstLine="420"/>
      </w:pPr>
      <w:r>
        <w:t>winnie：AutoScience 研究方向、Claude Science 绿皮书/CSA 开源生态、hhu-social 全链路智能体项目；林夏槿：1052OS 个人助手；谭力奎：AI 天文望远镜自动化工作流与多望远镜智能体协作架构设计。作品链接【待补充】。</w:t>
      </w:r>
    </w:p>
    <w:p>
      <w:pPr>
        <w:pStyle w:val="3"/>
        <w:pageBreakBefore w:val="0"/>
      </w:pPr>
      <w:r>
        <w:rPr>
          <w:rFonts w:ascii="Hiragino Sans GB" w:hAnsi="Hiragino Sans GB" w:eastAsia="Hiragino Sans GB"/>
          <w:b/>
          <w:sz w:val="32"/>
        </w:rPr>
        <w:t>待团队补充信息清单</w:t>
      </w:r>
    </w:p>
    <w:p>
      <w:pPr>
        <w:spacing w:after="50"/>
        <w:ind w:left="420" w:hanging="283"/>
      </w:pPr>
      <w:r>
        <w:rPr>
          <w:rFonts w:ascii="Hiragino Sans GB" w:hAnsi="Hiragino Sans GB" w:eastAsia="Hiragino Sans GB"/>
          <w:sz w:val="21"/>
        </w:rPr>
        <w:t>• 确认进阶路线：路线 A 构效关系发现、路线 B 模拟方法创新或路线 C 合成路线与工艺设计。</w:t>
      </w:r>
    </w:p>
    <w:p>
      <w:pPr>
        <w:spacing w:after="50"/>
        <w:ind w:left="420" w:hanging="283"/>
      </w:pPr>
      <w:r>
        <w:rPr>
          <w:rFonts w:ascii="Hiragino Sans GB" w:hAnsi="Hiragino Sans GB" w:eastAsia="Hiragino Sans GB"/>
          <w:sz w:val="21"/>
        </w:rPr>
        <w:t>• 确认首批纳入的硫化物电解质和高镍正极化学体系，以及文献时间范围和排除标准。</w:t>
      </w:r>
    </w:p>
    <w:p>
      <w:pPr>
        <w:spacing w:after="50"/>
        <w:ind w:left="420" w:hanging="283"/>
      </w:pPr>
      <w:r>
        <w:rPr>
          <w:rFonts w:ascii="Hiragino Sans GB" w:hAnsi="Hiragino Sans GB" w:eastAsia="Hiragino Sans GB"/>
          <w:sz w:val="21"/>
        </w:rPr>
        <w:t>• 确定 Embedding、Reranker、大语言模型及工作流实现，并记录模型卡、许可证、版本和成本。</w:t>
      </w:r>
    </w:p>
    <w:p>
      <w:pPr>
        <w:spacing w:after="50"/>
        <w:ind w:left="420" w:hanging="283"/>
      </w:pPr>
      <w:r>
        <w:t>• 补充领域签审人（可选外援）及团队成果的公开作品链接。</w:t>
      </w:r>
    </w:p>
    <w:p>
      <w:pPr>
        <w:spacing w:after="50"/>
        <w:ind w:left="420" w:hanging="283"/>
      </w:pPr>
      <w:r>
        <w:rPr>
          <w:rFonts w:ascii="Hiragino Sans GB" w:hAnsi="Hiragino Sans GB" w:eastAsia="Hiragino Sans GB"/>
          <w:sz w:val="21"/>
        </w:rPr>
        <w:t>• 实施小规模标注与对比实验后，用真实结果替换第四章的验证计划；保留失败案例和原始记录。</w:t>
      </w:r>
    </w:p>
    <w:p>
      <w:pPr>
        <w:spacing w:after="50"/>
        <w:ind w:left="420" w:hanging="283"/>
      </w:pPr>
      <w:r>
        <w:rPr>
          <w:rFonts w:ascii="Hiragino Sans GB" w:hAnsi="Hiragino Sans GB" w:eastAsia="Hiragino Sans GB"/>
          <w:sz w:val="21"/>
        </w:rPr>
        <w:t>• 提交前由团队逐段审核科学判断、工具许可、数据来源及赛事 AI 辅助规定，并将 Word 文件压缩为 ZIP。</w:t>
      </w:r>
    </w:p>
    <w:sectPr>
      <w:footerReference r:id="rId5" w:type="default"/>
      <w:type w:val="continuous"/>
      <w:pgSz w:w="12240" w:h="15840"/>
      <w:pgMar w:top="1008" w:right="1181" w:bottom="893" w:left="1181"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auto"/>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1932">
    <w:pPr>
      <w:pStyle w:val="24"/>
      <w:jc w:val="right"/>
    </w:pPr>
    <w:r>
      <w:rPr>
        <w:rFonts w:hint="eastAsia" w:ascii="Hiragino Sans GB" w:hAnsi="Hiragino Sans GB" w:eastAsia="Hiragino Sans GB"/>
        <w:b w:val="0"/>
        <w:i w:val="0"/>
        <w:color w:val="5A6573"/>
        <w:sz w:val="17"/>
        <w:lang w:eastAsia="zh-CN"/>
      </w:rPr>
      <w:t>GOAI AI for Research赛道</w:t>
    </w:r>
    <w:r>
      <w:rPr>
        <w:rFonts w:ascii="Hiragino Sans GB" w:hAnsi="Hiragino Sans GB" w:eastAsia="Hiragino Sans GB"/>
        <w:b w:val="0"/>
        <w:i w:val="0"/>
        <w:color w:val="5A6573"/>
        <w:sz w:val="17"/>
      </w:rPr>
      <w:t xml:space="preserve"> | 算法赛初赛大纲模板</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567B46"/>
    <w:rsid w:val="3F6DDC68"/>
    <w:rsid w:val="49184B37"/>
    <w:rsid w:val="4B3D7BCD"/>
    <w:rsid w:val="629433AC"/>
    <w:rsid w:val="664870AD"/>
    <w:rsid w:val="6E0759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324" w:lineRule="auto"/>
    </w:pPr>
    <w:rPr>
      <w:rFonts w:ascii="Hiragino Sans GB" w:hAnsi="Hiragino Sans GB" w:eastAsia="Hiragino Sans GB" w:cstheme="minorBidi"/>
      <w:sz w:val="21"/>
      <w:szCs w:val="22"/>
      <w:lang w:val="en-US" w:eastAsia="en-US" w:bidi="ar-SA"/>
    </w:rPr>
  </w:style>
  <w:style w:type="paragraph" w:styleId="3">
    <w:name w:val="heading 1"/>
    <w:basedOn w:val="1"/>
    <w:next w:val="1"/>
    <w:link w:val="138"/>
    <w:qFormat/>
    <w:uiPriority w:val="9"/>
    <w:pPr>
      <w:keepNext/>
      <w:keepLines/>
      <w:widowControl/>
      <w:spacing w:before="200" w:after="120"/>
      <w:outlineLvl w:val="0"/>
    </w:pPr>
    <w:rPr>
      <w:rFonts w:asciiTheme="majorHAnsi" w:hAnsiTheme="majorHAnsi" w:eastAsiaTheme="majorEastAsia" w:cstheme="majorBidi" w:ascii="Hiragino Sans GB" w:hAnsi="Hiragino Sans GB" w:eastAsia="Hiragino Sans GB"/>
      <w:b/>
      <w:bCs/>
      <w:color w:val="17365D"/>
      <w:sz w:val="32"/>
      <w:szCs w:val="28"/>
    </w:rPr>
  </w:style>
  <w:style w:type="paragraph" w:styleId="4">
    <w:name w:val="heading 2"/>
    <w:basedOn w:val="1"/>
    <w:next w:val="1"/>
    <w:link w:val="139"/>
    <w:unhideWhenUsed/>
    <w:qFormat/>
    <w:uiPriority w:val="9"/>
    <w:pPr>
      <w:keepNext/>
      <w:keepLines/>
      <w:widowControl/>
      <w:spacing w:before="160" w:after="80"/>
      <w:outlineLvl w:val="1"/>
    </w:pPr>
    <w:rPr>
      <w:rFonts w:asciiTheme="majorHAnsi" w:hAnsiTheme="majorHAnsi" w:eastAsiaTheme="majorEastAsia" w:cstheme="majorBidi" w:ascii="Hiragino Sans GB" w:hAnsi="Hiragino Sans GB" w:eastAsia="Hiragino Sans GB"/>
      <w:b/>
      <w:bCs/>
      <w:color w:val="17365D"/>
      <w:sz w:val="25"/>
      <w:szCs w:val="26"/>
    </w:rPr>
  </w:style>
  <w:style w:type="paragraph" w:styleId="5">
    <w:name w:val="heading 3"/>
    <w:basedOn w:val="1"/>
    <w:next w:val="1"/>
    <w:link w:val="140"/>
    <w:unhideWhenUsed/>
    <w:qFormat/>
    <w:uiPriority w:val="9"/>
    <w:pPr>
      <w:keepNext/>
      <w:keepLines/>
      <w:spacing w:before="120" w:after="40"/>
      <w:outlineLvl w:val="2"/>
    </w:pPr>
    <w:rPr>
      <w:rFonts w:asciiTheme="majorHAnsi" w:hAnsiTheme="majorHAnsi" w:eastAsiaTheme="majorEastAsia" w:cstheme="majorBidi"/>
      <w:b/>
      <w:bCs/>
      <w:color w:val="1F4D78"/>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542</Words>
  <Characters>580</Characters>
  <Lines>0</Lines>
  <Paragraphs>0</Paragraphs>
  <TotalTime>0</TotalTime>
  <ScaleCrop>false</ScaleCrop>
  <LinksUpToDate>false</LinksUpToDate>
  <CharactersWithSpaces>597</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cindy</cp:lastModifiedBy>
  <dcterms:modified xsi:type="dcterms:W3CDTF">2026-08-01T20:06:35Z</dcterms:modified>
  <cp:revision>1</cp:revision>
  <dc:title>材料科学文献调研Agent_算法赛初赛方案</dc:title>
  <dc:subject>方向三：材料科学文献驱动的科学发现智能体</dc:subject>
  <cp:keywords>AI for Research, 材料科学, 文献调研 Agent, 全固态电池</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eyJoZGlkIjoiYTQ1NjY0NDMzN2NjOWRlMTc1ZWMzYmI4MmZlYTNhOTQiLCJ1c2VySWQiOiI5MDEyMDI0NDkifQ==</vt:lpwstr>
  </property>
  <property fmtid="{D5CDD505-2E9C-101B-9397-08002B2CF9AE}" pid="3" name="KSOProductBuildVer">
    <vt:lpwstr>2052-12.1.22218.22218</vt:lpwstr>
  </property>
  <property fmtid="{D5CDD505-2E9C-101B-9397-08002B2CF9AE}" pid="4" name="ICV">
    <vt:lpwstr>CDD5274CC1D44C419F88A10DFA15A0C6_12</vt:lpwstr>
  </property>
</Properties>
</file>