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5D20" w:rsidRDefault="00680FD3">
      <w:pPr>
        <w:pStyle w:val="normal0"/>
        <w:spacing w:line="360" w:lineRule="auto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Paolo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Silvio Marta,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Gaëlle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Bocksberger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Marten Winter,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Emiliano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Trucchi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Hjalmar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Kühl</w:t>
      </w:r>
      <w:proofErr w:type="spellEnd"/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 world of sequences.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Can we use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georeferenced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nucleotide databases for an Automated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Phylogeography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Journal of Biogeography</w:t>
      </w:r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Appendix S1.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Supplementary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Obtaining sequence metadata from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GenBank</w:t>
      </w:r>
      <w:proofErr w:type="spellEnd"/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downloaded authoritative lists of Tetrapod species from class-specific taxonomy databases available online (Amphibians: IUCN red lists </w:t>
      </w:r>
      <w:hyperlink r:id="rId5" w:anchor="amphibian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www.iucnredlist.org/technical-documents/spatial-data#amphibians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downloaded on Dec 8 2014, 6312 species; Birds: IOC World Bird List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http://www.worldbirdnames.org/ioc-l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ists/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downloaded on Nov 24 2014, 10695 species; Mammals Wilson &amp; Reeder’s Mammal Species of the World: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www.departments.bucknell.edu/biology/resources/msw3/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downloaded on Nov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 2014, 5416 species; Reptiles: The Reptiles Database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www.reptile-database.org/data/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released on Dec 1 2014, Downloaded on Dec 8 2014, 10119 species). We then translated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binomials into NC</w:t>
      </w:r>
      <w:r>
        <w:rPr>
          <w:rFonts w:ascii="Times New Roman" w:eastAsia="Times New Roman" w:hAnsi="Times New Roman" w:cs="Times New Roman"/>
          <w:sz w:val="24"/>
          <w:szCs w:val="24"/>
        </w:rPr>
        <w:t>BI species taxonomy identifiers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taxonIDs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by submitting the lists of species to the NCBI Taxonomy name/id Status Report Page (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www.ncbi.nlm.nih.gov/Taxonomy/TaxIdentif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ier/tax_identifier.cgi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and obtained genus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taxonIDs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R function (package CHNOSZ, Dick, 2008). The translation resulted into 21262 unique species-level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taxonIDs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(amphibians: 3839; birds 7755; mammals 3964; reptiles 5704). We used species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axonIDs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search the NCBI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(http://www.ncbi.nlm.nih.gov/genbank/) and collaborative databases adhering to the INSDC (International Nucleotide Sequence Database Collaboration: NCBI, DDBJ, EMBL) using a custom python script (including functions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Bio.Entrez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package, Cock et al., 2009). In our search, we applied the ‘DDBJ/EMBL/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(INSDC) with limits’ filter, which excludes Sequence-Tagged Sites (STS), Third-Party Annotation sequences (TPA), High-Throughput Genomic sequence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(HTG), Whole Genome Shotgun (WGS) and patents, and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further excluded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transcriptome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mRNA,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Transcriptome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Shotgun Assembly (TSA) and genome scaffolds data not yet filtered out (search string: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txid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limits[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transcriptome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[All Fields] NOT mRNA[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NOT TSA[All Fields] NOT scaffold[All Fields]’).</w:t>
      </w:r>
    </w:p>
    <w:p w:rsidR="00105D20" w:rsidRDefault="00680FD3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For each accession that matched our search criteria, we stored the metadata contained in the ‘accession’, ‘definition’, ‘organism',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speciesID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genusID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'organel</w:t>
      </w:r>
      <w:r>
        <w:rPr>
          <w:rFonts w:ascii="Times New Roman" w:eastAsia="Times New Roman" w:hAnsi="Times New Roman" w:cs="Times New Roman"/>
          <w:sz w:val="24"/>
          <w:szCs w:val="24"/>
        </w:rPr>
        <w:t>le', 'gene',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CDS_product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'haplotype', 'isolate',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pop_variant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'country',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lat_lon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ref_pubmed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ref_journal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ref_authors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and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ref_titles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fields. In addition, we retrieved the annotation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d-loop (control region)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‘D-loop’ field, the ‘miscellaneous’ field or the ‘definition’ field. Sequences longer than 20,000 bps were ignored. Humans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Homo sapiens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and a few highly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synanthropic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domesticated species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musculus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Rattus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rattus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Rattus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norvegicus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Chrysochlo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asiatica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Oryctolagus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cuniculus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silvestris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Canis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lupus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Mustela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putorius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scrofa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taurus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Ovis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Capra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hircus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Equus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caballus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Gallus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were excluded from our search. The complete list of searched taxa is avai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lable in Supplementary Table S1. A limit of 10000 retained sequences per species was applied, only affecting the reptilian species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Agkistrodon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contortrix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for which 14612 microsatellite sequences from a 454 shotgun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2010) were retrieved in o</w:t>
      </w:r>
      <w:r>
        <w:rPr>
          <w:rFonts w:ascii="Times New Roman" w:eastAsia="Times New Roman" w:hAnsi="Times New Roman" w:cs="Times New Roman"/>
          <w:sz w:val="24"/>
          <w:szCs w:val="24"/>
        </w:rPr>
        <w:t>ur search.</w:t>
      </w:r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Geocoding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GenBank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data</w:t>
      </w:r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assigned geographic coordinates (geocoded) the subset of ‘informative’ accessions using a custom pipeline written in R and relying on geographic information from two publicly available databases: Global Administrative Areas (GADM,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www.gadm.org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version 2.0 January 2012, containing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georeferenced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polygons with the boundaries of 556049 administrative units worldwide)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www.geonames.org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downloaded on Feb 4 2015,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ntaining point geographic coordinates for 9863141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worldwide).</w:t>
      </w:r>
    </w:p>
    <w:p w:rsidR="00105D20" w:rsidRDefault="00680FD3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Our pipeline started by isolating the country name from the rest of the text string (substring before the first ‘:’) and then removing most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toponomastic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by eliminating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all-lowercase words, many generic terms that do not usually form part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toponym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(e.g. ‘Province’, ‘State’, etc.) and several recurrent expressions (e.g. ‘25 Mi. N of’). ‘Country’ fields that did not contain a valid country name (i.e. a name that coul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be unambiguously referred to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country listed in the GADM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databases) were excluded. The resulting strings were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the most common separators found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‘country’ fields (more precisely: ‘)’ were removed before splitting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‘(‘, ‘,’, ’:’, ’;’, ‘/’ and ‘_’). Each substring was searched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countrywise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GADM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databases. We recorded whether the substring appeared as such in the ‘adm1’ to ‘adm5’ (names of the administrative units from level 1 to level 5) and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adm1’ to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adm4’ (variant names from level 1 to level 4) fields of the GADM database. When a substring matched more than one administrative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levels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we chose to conservatively consider the higher level match (unless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occurred 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than once: e.g. ‘New York, New York’ would match the city within the state). Any substring not matched in the GADM database was further searched for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(‘name’,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asciiname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and ‘alternate names’ fields). If at least one match was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 in GADM for the same record, the search was limited to those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whose geographic coordinates fell within the extent of the polygon corresponding to the smallest level matched administrative unit.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Searches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started by lookin</w:t>
      </w:r>
      <w:r>
        <w:rPr>
          <w:rFonts w:ascii="Times New Roman" w:eastAsia="Times New Roman" w:hAnsi="Times New Roman" w:cs="Times New Roman"/>
          <w:sz w:val="24"/>
          <w:szCs w:val="24"/>
        </w:rPr>
        <w:t>g for exact matches between the searched substring and the entire content of the field (or subfield in the case of ‘alternate names’).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no exact match was found, we searched for partial matches (whether the searched substring was contained in the field).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multiple matches occurred, we calculated distance matrices among all matched locations. If the maximum distance among matched locations was smaller than 100 km,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 assigned the substring to the centroid of matched locations, if it was larger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it was </w:t>
      </w:r>
      <w:r>
        <w:rPr>
          <w:rFonts w:ascii="Times New Roman" w:eastAsia="Times New Roman" w:hAnsi="Times New Roman" w:cs="Times New Roman"/>
          <w:sz w:val="24"/>
          <w:szCs w:val="24"/>
        </w:rPr>
        <w:t>not recorded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Further details about the search algorithm are given in Supplementary Figure S1.</w:t>
      </w:r>
    </w:p>
    <w:p w:rsidR="00105D20" w:rsidRDefault="00680FD3">
      <w:pPr>
        <w:pStyle w:val="normal0"/>
      </w:pPr>
      <w:r>
        <w:br w:type="page"/>
      </w:r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Supplementary Figure S1.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Flow-chart of the geocoding algorithm.</w:t>
      </w:r>
    </w:p>
    <w:p w:rsidR="00105D20" w:rsidRDefault="00105D20">
      <w:pPr>
        <w:pStyle w:val="normal0"/>
        <w:spacing w:line="360" w:lineRule="auto"/>
        <w:jc w:val="both"/>
      </w:pPr>
    </w:p>
    <w:p w:rsidR="00105D20" w:rsidRDefault="00105D20">
      <w:pPr>
        <w:pStyle w:val="normal0"/>
        <w:spacing w:line="360" w:lineRule="auto"/>
        <w:jc w:val="both"/>
      </w:pPr>
    </w:p>
    <w:p w:rsidR="00105D20" w:rsidRDefault="00680FD3">
      <w:pPr>
        <w:pStyle w:val="normal0"/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943600" cy="6464300"/>
            <wp:effectExtent l="0" t="0" r="0" b="0"/>
            <wp:docPr id="1" name="image01.png" descr="Appendix S3 Geocoding flow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Appendix S3 Geocoding flow-chart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5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5D20"/>
    <w:rsid w:val="00105D20"/>
    <w:rsid w:val="006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eonames.org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ucnredlist.org/technical-documents/spatial-data" TargetMode="External"/><Relationship Id="rId6" Type="http://schemas.openxmlformats.org/officeDocument/2006/relationships/hyperlink" Target="http://www.worldbirdnames.org/ioc-lists/" TargetMode="External"/><Relationship Id="rId7" Type="http://schemas.openxmlformats.org/officeDocument/2006/relationships/hyperlink" Target="http://www.departments.bucknell.edu/biology/resources/msw3/" TargetMode="External"/><Relationship Id="rId8" Type="http://schemas.openxmlformats.org/officeDocument/2006/relationships/hyperlink" Target="http://www.reptile-database.org/data/" TargetMode="External"/><Relationship Id="rId9" Type="http://schemas.openxmlformats.org/officeDocument/2006/relationships/hyperlink" Target="http://www.ncbi.nlm.nih.gov/Taxonomy/TaxIdentifier/tax_identifier.cgi" TargetMode="External"/><Relationship Id="rId10" Type="http://schemas.openxmlformats.org/officeDocument/2006/relationships/hyperlink" Target="http://www.gad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1023</Words>
  <Characters>5833</Characters>
  <Application>Microsoft Macintosh Word</Application>
  <DocSecurity>0</DocSecurity>
  <Lines>48</Lines>
  <Paragraphs>13</Paragraphs>
  <ScaleCrop>false</ScaleCrop>
  <Company>University of Glasgow</Company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Roderic Page</cp:lastModifiedBy>
  <cp:revision>2</cp:revision>
  <dcterms:created xsi:type="dcterms:W3CDTF">2017-04-20T16:02:00Z</dcterms:created>
  <dcterms:modified xsi:type="dcterms:W3CDTF">2017-04-20T16:02:00Z</dcterms:modified>
</cp:coreProperties>
</file>