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CE70F" w14:textId="77777777" w:rsidR="00FE05F3" w:rsidRPr="00E95B59" w:rsidRDefault="007466E4" w:rsidP="00FE05F3">
      <w:pPr>
        <w:spacing w:line="360" w:lineRule="auto"/>
        <w:rPr>
          <w:rFonts w:ascii="Times New Roman" w:eastAsia="Times New Roman" w:hAnsi="Times New Roman"/>
          <w:b/>
          <w:lang w:val="en-GB"/>
        </w:rPr>
      </w:pPr>
      <w:bookmarkStart w:id="0" w:name="OLE_LINK6"/>
      <w:bookmarkStart w:id="1" w:name="OLE_LINK9"/>
      <w:r w:rsidRPr="00E95B59">
        <w:rPr>
          <w:rFonts w:ascii="Times New Roman" w:eastAsia="Times New Roman" w:hAnsi="Times New Roman"/>
          <w:b/>
          <w:lang w:val="en-GB"/>
        </w:rPr>
        <w:t xml:space="preserve">Supplementary Information: </w:t>
      </w:r>
      <w:r w:rsidR="00FE05F3" w:rsidRPr="00E95B59">
        <w:rPr>
          <w:rFonts w:ascii="Times New Roman" w:eastAsia="Times New Roman" w:hAnsi="Times New Roman"/>
          <w:b/>
          <w:lang w:val="en-GB"/>
        </w:rPr>
        <w:t xml:space="preserve">Environmental correlates of phylogenetic endemism in amphibians and the conservation of refugia in the Coastal Forests of Eastern Africa </w:t>
      </w:r>
    </w:p>
    <w:p w14:paraId="6C790675" w14:textId="77777777" w:rsidR="00FE05F3" w:rsidRPr="00E95B59" w:rsidRDefault="00FE05F3" w:rsidP="00FE05F3">
      <w:pPr>
        <w:spacing w:line="360" w:lineRule="auto"/>
        <w:rPr>
          <w:rFonts w:ascii="Times New Roman" w:hAnsi="Times New Roman"/>
          <w:b/>
        </w:rPr>
      </w:pPr>
    </w:p>
    <w:bookmarkEnd w:id="0"/>
    <w:bookmarkEnd w:id="1"/>
    <w:p w14:paraId="3871CA76" w14:textId="77777777" w:rsidR="007466E4" w:rsidRPr="00E95B59" w:rsidRDefault="007466E4" w:rsidP="007466E4">
      <w:pPr>
        <w:spacing w:line="360" w:lineRule="auto"/>
        <w:rPr>
          <w:rFonts w:ascii="Times New Roman" w:hAnsi="Times New Roman"/>
          <w:vertAlign w:val="superscript"/>
        </w:rPr>
      </w:pPr>
      <w:r w:rsidRPr="00E95B59">
        <w:rPr>
          <w:rFonts w:ascii="Times New Roman" w:hAnsi="Times New Roman"/>
        </w:rPr>
        <w:t>Christopher D. Barratt, Beryl A. Bwong, Renske E. Onstein, Dan F. Rosauer, Michele Menegon, Nike Doggart,</w:t>
      </w:r>
      <w:r w:rsidRPr="00E95B59">
        <w:rPr>
          <w:rFonts w:ascii="Times New Roman" w:hAnsi="Times New Roman"/>
          <w:i/>
        </w:rPr>
        <w:t xml:space="preserve"> </w:t>
      </w:r>
      <w:r w:rsidRPr="00E95B59">
        <w:rPr>
          <w:rFonts w:ascii="Times New Roman" w:hAnsi="Times New Roman"/>
        </w:rPr>
        <w:t>Peter Nagel,</w:t>
      </w:r>
      <w:r w:rsidRPr="00E95B59">
        <w:rPr>
          <w:rFonts w:ascii="Times New Roman" w:hAnsi="Times New Roman"/>
          <w:i/>
        </w:rPr>
        <w:t xml:space="preserve"> </w:t>
      </w:r>
      <w:r w:rsidRPr="00E95B59">
        <w:rPr>
          <w:rFonts w:ascii="Times New Roman" w:hAnsi="Times New Roman"/>
        </w:rPr>
        <w:t>W. Daniel Kissling, Simon P. Loader</w:t>
      </w:r>
    </w:p>
    <w:p w14:paraId="6269972D" w14:textId="0070D189" w:rsidR="007466E4" w:rsidRPr="00E95B59" w:rsidRDefault="007466E4" w:rsidP="007466E4">
      <w:pPr>
        <w:spacing w:line="360" w:lineRule="auto"/>
        <w:rPr>
          <w:rFonts w:ascii="Times New Roman" w:hAnsi="Times New Roman"/>
        </w:rPr>
      </w:pPr>
      <w:r w:rsidRPr="00E95B59">
        <w:rPr>
          <w:rFonts w:ascii="Times New Roman" w:hAnsi="Times New Roman"/>
          <w:vertAlign w:val="superscript"/>
        </w:rPr>
        <w:t xml:space="preserve"> </w:t>
      </w:r>
    </w:p>
    <w:p w14:paraId="1C68BE27" w14:textId="1751C9BE" w:rsidR="008A36D7" w:rsidRPr="00E95B59" w:rsidRDefault="008A36D7" w:rsidP="008A36D7">
      <w:pPr>
        <w:spacing w:line="360" w:lineRule="auto"/>
        <w:rPr>
          <w:rFonts w:ascii="Times New Roman" w:hAnsi="Times New Roman"/>
          <w:i/>
        </w:rPr>
      </w:pPr>
      <w:r w:rsidRPr="00E95B59">
        <w:rPr>
          <w:rFonts w:ascii="Times New Roman" w:hAnsi="Times New Roman"/>
          <w:i/>
        </w:rPr>
        <w:t>Phylogenetic tree</w:t>
      </w:r>
    </w:p>
    <w:p w14:paraId="2C2B83B7" w14:textId="4675528C" w:rsidR="008A36D7" w:rsidRPr="00B80938" w:rsidRDefault="008A36D7" w:rsidP="008A36D7">
      <w:pPr>
        <w:spacing w:line="360" w:lineRule="auto"/>
        <w:rPr>
          <w:rFonts w:ascii="Times New Roman" w:hAnsi="Times New Roman"/>
          <w:i/>
        </w:rPr>
      </w:pPr>
      <w:r w:rsidRPr="00E95B59">
        <w:rPr>
          <w:rFonts w:ascii="Times New Roman" w:hAnsi="Times New Roman"/>
        </w:rPr>
        <w:t xml:space="preserve">Sequences were edited in </w:t>
      </w:r>
      <w:r w:rsidRPr="00E95B59">
        <w:rPr>
          <w:rFonts w:ascii="Times New Roman" w:hAnsi="Times New Roman"/>
          <w:smallCaps/>
        </w:rPr>
        <w:t>Geneious</w:t>
      </w:r>
      <w:r w:rsidRPr="00E95B59">
        <w:rPr>
          <w:rFonts w:ascii="Times New Roman" w:hAnsi="Times New Roman"/>
        </w:rPr>
        <w:t xml:space="preserve"> 6 and aligned with MUSCLE before Bayesian analyses were performed in </w:t>
      </w:r>
      <w:r w:rsidRPr="00E95B59">
        <w:rPr>
          <w:rFonts w:ascii="Times New Roman" w:hAnsi="Times New Roman"/>
          <w:smallCaps/>
        </w:rPr>
        <w:t xml:space="preserve">Beast </w:t>
      </w:r>
      <w:r w:rsidRPr="00E95B59">
        <w:rPr>
          <w:rFonts w:ascii="Times New Roman" w:hAnsi="Times New Roman"/>
        </w:rPr>
        <w:t>2.1.3 (</w:t>
      </w:r>
      <w:r w:rsidR="00C0220D" w:rsidRPr="00E95B59">
        <w:rPr>
          <w:rFonts w:ascii="Times New Roman" w:hAnsi="Times New Roman"/>
        </w:rPr>
        <w:t>Bouckaert et al., 2014</w:t>
      </w:r>
      <w:r w:rsidRPr="00E95B59">
        <w:rPr>
          <w:rFonts w:ascii="Times New Roman" w:hAnsi="Times New Roman"/>
        </w:rPr>
        <w:t xml:space="preserve">) on the concatenated 1,271 bp alignment with a secondary calibration point of </w:t>
      </w:r>
      <w:r w:rsidR="00194A5F">
        <w:rPr>
          <w:rFonts w:ascii="Times New Roman" w:hAnsi="Times New Roman"/>
        </w:rPr>
        <w:t>350</w:t>
      </w:r>
      <w:r w:rsidRPr="00E95B59">
        <w:rPr>
          <w:rFonts w:ascii="Times New Roman" w:hAnsi="Times New Roman"/>
        </w:rPr>
        <w:t xml:space="preserve"> million years</w:t>
      </w:r>
      <w:r w:rsidR="00400BDB" w:rsidRPr="00E95B59">
        <w:rPr>
          <w:rFonts w:ascii="Times New Roman" w:hAnsi="Times New Roman"/>
        </w:rPr>
        <w:t xml:space="preserve"> (normal prior, sigma =10.0) </w:t>
      </w:r>
      <w:r w:rsidRPr="00E95B59">
        <w:rPr>
          <w:rFonts w:ascii="Times New Roman" w:hAnsi="Times New Roman"/>
        </w:rPr>
        <w:t xml:space="preserve">as an approximate divergence date between caecilians (Gymnophiona) and frogs (Anura) following </w:t>
      </w:r>
      <w:r w:rsidR="002848E6" w:rsidRPr="00E95B59">
        <w:rPr>
          <w:rFonts w:ascii="Times New Roman" w:hAnsi="Times New Roman"/>
        </w:rPr>
        <w:t>Wilkinson et al. (2011)</w:t>
      </w:r>
      <w:r w:rsidRPr="00E95B59">
        <w:rPr>
          <w:rFonts w:ascii="Times New Roman" w:hAnsi="Times New Roman"/>
        </w:rPr>
        <w:t>.</w:t>
      </w:r>
      <w:r w:rsidRPr="00B80938">
        <w:rPr>
          <w:rFonts w:ascii="Times New Roman" w:hAnsi="Times New Roman"/>
        </w:rPr>
        <w:t xml:space="preserve"> We used the optimal models of evolution per partition (Table S</w:t>
      </w:r>
      <w:r w:rsidR="009C65D2">
        <w:rPr>
          <w:rFonts w:ascii="Times New Roman" w:hAnsi="Times New Roman"/>
        </w:rPr>
        <w:t>2</w:t>
      </w:r>
      <w:r w:rsidRPr="00B80938">
        <w:rPr>
          <w:rFonts w:ascii="Times New Roman" w:hAnsi="Times New Roman"/>
        </w:rPr>
        <w:t xml:space="preserve">) according to the Bayesian Information Criterion determined by </w:t>
      </w:r>
      <w:r w:rsidRPr="00B80938">
        <w:rPr>
          <w:rFonts w:ascii="Times New Roman" w:hAnsi="Times New Roman"/>
          <w:smallCaps/>
        </w:rPr>
        <w:t>PartitionFinder</w:t>
      </w:r>
      <w:r w:rsidRPr="00B80938">
        <w:rPr>
          <w:rFonts w:ascii="Times New Roman" w:hAnsi="Times New Roman"/>
        </w:rPr>
        <w:t xml:space="preserve"> 1.1.1 (Lanfear et al. 2013). For all partitions trees were linked, and models and clocks were unlinked. Markov Chain Monte Carlo (MCMC) simulations were run for 100 million iterations, with sampling every 5000 iterations. We checked for convergence using </w:t>
      </w:r>
      <w:r w:rsidRPr="00B80938">
        <w:rPr>
          <w:rFonts w:ascii="Times New Roman" w:hAnsi="Times New Roman"/>
          <w:smallCaps/>
        </w:rPr>
        <w:t xml:space="preserve">Tracer </w:t>
      </w:r>
      <w:r w:rsidRPr="00B80938">
        <w:rPr>
          <w:rFonts w:ascii="Times New Roman" w:hAnsi="Times New Roman"/>
        </w:rPr>
        <w:t xml:space="preserve">1.6, and investigated parameter variations including strict, relaxed and log normal clocks, and Yule/coalescent priors, but found the relaxed clock log normal model with a Yule prior as the best parameter combination (adequate mixing and ESS values&gt;200). We combined two independent runs in </w:t>
      </w:r>
      <w:r w:rsidRPr="00B80938">
        <w:rPr>
          <w:rFonts w:ascii="Times New Roman" w:hAnsi="Times New Roman"/>
          <w:smallCaps/>
        </w:rPr>
        <w:t>Logcombiner</w:t>
      </w:r>
      <w:r w:rsidRPr="00B80938">
        <w:rPr>
          <w:rFonts w:ascii="Times New Roman" w:hAnsi="Times New Roman"/>
        </w:rPr>
        <w:t xml:space="preserve"> 2.1.3 and calculated the maximum clade credibility tree (Fig. 2) with T</w:t>
      </w:r>
      <w:r w:rsidRPr="00B80938">
        <w:rPr>
          <w:rFonts w:ascii="Times New Roman" w:hAnsi="Times New Roman"/>
          <w:smallCaps/>
        </w:rPr>
        <w:t>reannotator</w:t>
      </w:r>
      <w:r w:rsidRPr="00B80938">
        <w:rPr>
          <w:rFonts w:ascii="Times New Roman" w:hAnsi="Times New Roman"/>
        </w:rPr>
        <w:t xml:space="preserve"> 2.1.2 which was used for further analyses, after the removal of 10% burn-in.</w:t>
      </w:r>
      <w:r w:rsidR="00010CDC">
        <w:rPr>
          <w:rFonts w:ascii="Times New Roman" w:hAnsi="Times New Roman"/>
        </w:rPr>
        <w:t xml:space="preserve"> Phylogenetic results are largely </w:t>
      </w:r>
      <w:r w:rsidR="00010CDC" w:rsidRPr="00BB0A47">
        <w:rPr>
          <w:rFonts w:ascii="Times New Roman" w:hAnsi="Times New Roman"/>
        </w:rPr>
        <w:t>concordant with previous large-scale amphibian tree reconstructions in terms of topology and branch</w:t>
      </w:r>
      <w:r w:rsidR="00010CDC">
        <w:rPr>
          <w:rFonts w:ascii="Times New Roman" w:hAnsi="Times New Roman"/>
        </w:rPr>
        <w:t xml:space="preserve"> lengths</w:t>
      </w:r>
      <w:r w:rsidR="00010CDC" w:rsidRPr="00BB0A47">
        <w:rPr>
          <w:rFonts w:ascii="Times New Roman" w:hAnsi="Times New Roman"/>
        </w:rPr>
        <w:t xml:space="preserve"> </w:t>
      </w:r>
      <w:r w:rsidR="00010CDC" w:rsidRPr="00BB0A47">
        <w:rPr>
          <w:rFonts w:ascii="Times New Roman" w:hAnsi="Times New Roman"/>
        </w:rPr>
        <w:fldChar w:fldCharType="begin" w:fldLock="1"/>
      </w:r>
      <w:r w:rsidR="00010CDC">
        <w:rPr>
          <w:rFonts w:ascii="Times New Roman" w:hAnsi="Times New Roman"/>
        </w:rPr>
        <w:instrText>ADDIN CSL_CITATION { "citationItems" : [ { "id" : "ITEM-1", "itemData" : { "DOI" : "10.1073/pnas.0608378104", "ISBN" : "0027-8424 (Print)\\r0027-8424 (Linking)", "ISSN" : "0027-8424", "PMID" : "17213318", "abstract" : "The fossil record of modern amphibians (frogs, salamanders, and caecilians) provides no evidence for major extinction or radiation episodes throughout most of the Mesozoic and early Tertiary. However, long-term gradual diversification is difficult to reconcile with the sensitivity of present-day amphibian faunas to rapid ecological changes and the incidence of similar environmental perturbations in the past that have been associated with high turnover rates in other land vertebrates. To provide a comprehensive overview of the history of amphibian diversification, we constructed a phylogenetic timetree based on a multigene data set of 3.75 kb for 171 species. Our analyses reveal several episodes of accelerated amphibian diversification, which do not fit models of gradual lineage accumulation. Global turning points in the phylogenetic and ecological diversification occurred after the end-Permian mass extinction and in the late Cretaceous. Fluctuations in amphibian diversification show strong temporal correlation with turnover rates in amniotes and the rise of angiosperm-dominated forests. Approximately 86% of modern frog species and &gt;81% of salamander species descended from only five ancestral lineages that produced major radiations in the late Cretaceous and early Tertiary. This proportionally late accumulation of extant lineage diversity contrasts with the long evolutionary history of amphibians but is in line with the Tertiary increase in fossil abundance toward the present.", "author" : [ { "dropping-particle" : "", "family" : "Roelants", "given" : "K", "non-dropping-particle" : "", "parse-names" : false, "suffix" : "" }, { "dropping-particle" : "", "family" : "Gower", "given" : "D J", "non-dropping-particle" : "", "parse-names" : false, "suffix" : "" }, { "dropping-particle" : "", "family" : "Wilkinson", "given" : "M", "non-dropping-particle" : "", "parse-names" : false, "suffix" : "" }, { "dropping-particle" : "", "family" : "Loader", "given" : "S P", "non-dropping-particle" : "", "parse-names" : false, "suffix" : "" }, { "dropping-particle" : "", "family" : "Biju", "given" : "S D", "non-dropping-particle" : "", "parse-names" : false, "suffix" : "" }, { "dropping-particle" : "", "family" : "Guillaume", "given" : "K", "non-dropping-particle" : "", "parse-names" : false, "suffix" : "" }, { "dropping-particle" : "", "family" : "Moriau", "given" : "L", "non-dropping-particle" : "", "parse-names" : false, "suffix" : "" }, { "dropping-particle" : "", "family" : "Bossuyt", "given" : "F", "non-dropping-particle" : "", "parse-names" : false, "suffix" : "" } ], "container-title" : "Proc Natl Acad Sci U S A", "id" : "ITEM-1", "issue" : "3", "issued" : { "date-parts" : [ [ "2007" ] ] }, "page" : "887-892", "title" : "Global patterns of diversification in the history of modern amphibians", "type" : "article-journal", "volume" : "104" }, "uris" : [ "http://www.mendeley.com/documents/?uuid=b32dcd29-b7f7-43ee-85a6-b6a34b942ac8" ] }, { "id" : "ITEM-2", "itemData" : { "DOI" : "http://research.amnh.org/herpetology/amphibia/index.html.", "PMID" : "1070", "URL" : "http://research.amnh.org/vz/herpetology/amphibia/\\nhttp://research.amnh.org/herpetology/amphibia/index.html.", "abstract" : "With the appearance of six publications (Chippindale et al., 2004; Faivovich et al., 2005; Macey, 2005; Frost et al., 2006; and Grant et al., 2006; Roelants et al., 2007), amphibian systematics moved substantially towards a taxonomy consistent with evolutionary relationships. Concomitantly, we entered a period of nomenclatural instability in which workers will rush to tie up all of the loose ends that are no longer concealed by nonmonophyletic groupings (e.g., the older senses of Pseudoeurycea, Plethodontinae, Bufo, Hyla, Hyperoliidae, Leptodactylidae, Eleutherodactylinae, Rana, Hylarana, Ranidae, Microhylidae, and Caeciliinae). Because taxonomic stability must be an artifact of understanding, not authoritarian decree, I think this instability reflects the health of amphibian systematics as a scientific endeavor driven by evidence and not something that makes systematics a \"laughingstock\" of science (Wake, 2006 [cf. Sokal and Sneath, 1963]; for more scientific views of this issue see Dominguez and Wheeler, 1997, and Grant and Kluge, 2005). Adherence to nonevolutionary/nonmonophyletic groups by social compact would be quaintly anachronistic were it not such a threat to progress in systematics research. Over the next several years there will be considerable discussion of the higher taxonomy of amphibians. This will include nomenclatural discussions of how best to name evolutionary groups as well as more important discussions of epistemology, evidence, and analytical methods as they impact inferential biology. Throughout the ensuing debate, it will be important to distinguish legitimate scientific disagreements grounded in evidence and analysis from authoritarian posturing based only on opinion and deference to tradition and social conservativeness. This kind of resistance will rest largely on nonscientific propaganda and innuendo. Nevertheless, what should come out of the scientific exercises associated with the controversies will be a huge increase in the amount of evidence and the number of explicitly tested phylogenetic hypotheses, as well as more philosophically rigorous discussions of analytical methods and their underlying justifications. Even though I have been part of this recent push towards monophyly in amphibian taxonomy, my ongoing objective is to continue to update ASW as evidence accumulates and the current phylogenetic hypotheses (e.g., Chippindale et al., 2004; Faivovich et al., 2005; Macey, 2005; Frost et al., 2006; and Grant et al., 2006\u2026", "author" : [ { "dropping-particle" : "", "family" : "Frost", "given" : "Darrel R. 2014.", "non-dropping-particle" : "", "parse-names" : false, "suffix" : "" } ], "container-title" : "American Museums of Natural History, New York, USA", "id" : "ITEM-2", "issued" : { "date-parts" : [ [ "2016" ] ] }, "title" : "Amphibian Species of the World: an Online Reference. Version 6.0", "type" : "webpage" }, "uris" : [ "http://www.mendeley.com/documents/?uuid=ef93c64c-4e70-472d-848e-fec9e8f75a64" ] }, { "id" : "ITEM-3", "itemData" : { "DOI" : "10.1016/j.ympev.2011.06.012", "ISBN" : "1055-7903", "ISSN" : "10557903", "PMID" : "21723399", "abstract" : "The extant amphibians are one of the most diverse radiations of terrestrial vertebrates (&gt;6800 species). Despite much recent focus on their conservation, diversification, and systematics, no previous phylogeny for the group has contained more than 522 species. However, numerous studies with limited taxon sampling have generated large amounts of partially overlapping sequence data for many species. Here, we combine these data and produce a novel estimate of extant amphibian phylogeny, containing 2871 species (~40% of the known extant species) from 432 genera (~85% of the ~500 currently recognized extant genera). Each sampled species contains up to 12,712. bp from 12 genes (three mitochondrial, nine nuclear), with an average of 2563. bp per species. This data set provides strong support for many groups recognized in previous studies, but it also suggests non-monophyly for several currently recognized families, particularly in hyloid frogs (e.g., Ceratophryidae, Cycloramphidae, Leptodactylidae, Strabomantidae). To correct these and other problems, we provide a revised classification of extant amphibians for taxa traditionally delimited at the family and subfamily levels. This new taxonomy includes several families not recognized in current classifications (e.g., Alsodidae, Batrachylidae, Rhinodermatidae, Odontophrynidae, Telmatobiidae), but which are strongly supported and important for avoiding non-monophyly of current families. Finally, this study provides further evidence that the supermatrix approach provides an effective strategy for inferring large-scale phylogenies using the combined results of previous studies, despite many taxa having extensive missing data. ?? 2011 Elsevier Inc.", "author" : [ { "dropping-particle" : "", "family" : "Pyron", "given" : "R.A.", "non-dropping-particle" : "", "parse-names" : false, "suffix" : "" }, { "dropping-particle" : "", "family" : "Wiens", "given" : "John J.", "non-dropping-particle" : "", "parse-names" : false, "suffix" : "" } ], "container-title" : "Molecular Phylogenetics and Evolution", "id" : "ITEM-3", "issue" : "2", "issued" : { "date-parts" : [ [ "2011" ] ] }, "page" : "543-583", "title" : "A large-scale phylogeny of Amphibia including over 2800 species, and a revised classification of extant frogs, salamanders, and caecilians", "type" : "article-journal", "volume" : "61" }, "uris" : [ "http://www.mendeley.com/documents/?uuid=a7c1a0ac-1a4a-48c9-aeec-e9da9a4b2f5a" ] } ], "mendeley" : { "formattedCitation" : "(Roelants et al., 2007; Pyron &amp; Wiens, 2011; Frost, 2016)", "manualFormatting" : "(Roelants et al., 2007; Frost, 2016; Pyron &amp; Wiens, 2011)", "plainTextFormattedCitation" : "(Roelants et al., 2007; Pyron &amp; Wiens, 2011; Frost, 2016)", "previouslyFormattedCitation" : "(Roelants et al., 2007; Pyron &amp; Wiens, 2011; Frost, 2016)" }, "properties" : { "noteIndex" : 0 }, "schema" : "https://github.com/citation-style-language/schema/raw/master/csl-citation.json" }</w:instrText>
      </w:r>
      <w:r w:rsidR="00010CDC" w:rsidRPr="00BB0A47">
        <w:rPr>
          <w:rFonts w:ascii="Times New Roman" w:hAnsi="Times New Roman"/>
        </w:rPr>
        <w:fldChar w:fldCharType="separate"/>
      </w:r>
      <w:r w:rsidR="00010CDC" w:rsidRPr="00BB0A47">
        <w:rPr>
          <w:rFonts w:ascii="Times New Roman" w:hAnsi="Times New Roman"/>
          <w:noProof/>
        </w:rPr>
        <w:t>(Roelants et al., 2007; Frost, 2016; Pyron &amp; Wiens, 2011)</w:t>
      </w:r>
      <w:r w:rsidR="00010CDC" w:rsidRPr="00BB0A47">
        <w:rPr>
          <w:rFonts w:ascii="Times New Roman" w:hAnsi="Times New Roman"/>
        </w:rPr>
        <w:fldChar w:fldCharType="end"/>
      </w:r>
      <w:r w:rsidR="00010CDC">
        <w:rPr>
          <w:rFonts w:ascii="Times New Roman" w:hAnsi="Times New Roman"/>
        </w:rPr>
        <w:t>.</w:t>
      </w:r>
    </w:p>
    <w:p w14:paraId="7F03605C" w14:textId="3F94B52A" w:rsidR="00401452" w:rsidRPr="00B80938" w:rsidRDefault="00401452" w:rsidP="00AF19DA">
      <w:pPr>
        <w:spacing w:line="360" w:lineRule="auto"/>
        <w:rPr>
          <w:rFonts w:ascii="Times New Roman" w:hAnsi="Times New Roman"/>
        </w:rPr>
      </w:pPr>
    </w:p>
    <w:p w14:paraId="21BA0CEC" w14:textId="64E910AD" w:rsidR="00AF19DA" w:rsidRPr="00B80938" w:rsidRDefault="00AF19DA" w:rsidP="00AF19DA">
      <w:pPr>
        <w:spacing w:line="360" w:lineRule="auto"/>
        <w:rPr>
          <w:rFonts w:ascii="Times New Roman" w:hAnsi="Times New Roman"/>
          <w:i/>
        </w:rPr>
      </w:pPr>
      <w:r w:rsidRPr="00B80938">
        <w:rPr>
          <w:rFonts w:ascii="Times New Roman" w:hAnsi="Times New Roman"/>
          <w:i/>
        </w:rPr>
        <w:t>Spatial data</w:t>
      </w:r>
      <w:r w:rsidR="00FA7BFB" w:rsidRPr="00B80938">
        <w:rPr>
          <w:rFonts w:ascii="Times New Roman" w:hAnsi="Times New Roman"/>
          <w:i/>
        </w:rPr>
        <w:t xml:space="preserve"> filtering</w:t>
      </w:r>
    </w:p>
    <w:p w14:paraId="798E7F7D" w14:textId="29168549" w:rsidR="00AF19DA" w:rsidRPr="00B80938" w:rsidRDefault="00AF19DA" w:rsidP="00397266">
      <w:pPr>
        <w:spacing w:line="360" w:lineRule="auto"/>
        <w:jc w:val="both"/>
        <w:rPr>
          <w:rFonts w:ascii="Times New Roman" w:hAnsi="Times New Roman"/>
        </w:rPr>
      </w:pPr>
      <w:r w:rsidRPr="00B80938">
        <w:rPr>
          <w:rFonts w:ascii="Times New Roman" w:hAnsi="Times New Roman"/>
        </w:rPr>
        <w:t xml:space="preserve">All lineage data was compiled from our own and collaborators field work since 2001, relevant CFEA literature (Burgess and Clarke, </w:t>
      </w:r>
      <w:r w:rsidR="004F7D79">
        <w:rPr>
          <w:rFonts w:ascii="Times New Roman" w:hAnsi="Times New Roman"/>
        </w:rPr>
        <w:t>2000</w:t>
      </w:r>
      <w:r w:rsidRPr="00B80938">
        <w:rPr>
          <w:rFonts w:ascii="Times New Roman" w:hAnsi="Times New Roman"/>
        </w:rPr>
        <w:t xml:space="preserve">), and available distribution records from the Global Biodiversity Information Facility (GBIF). We utilized spatial records from amphibian collections housed at the University of Dar es Salaam, National Museums of Kenya, Natural History Museum London, Science Museum of Trento, Museum of Vertebrate Zoology Berkeley, Museum of Comparative Zoology Harvard, and Field Museum of Natural History Chicago. Due to uncertainty in some data sources such as GBIF and museum records we were conservative regarding which data points were retained, only keeping spatial data which we </w:t>
      </w:r>
      <w:r w:rsidRPr="00B80938">
        <w:rPr>
          <w:rFonts w:ascii="Times New Roman" w:hAnsi="Times New Roman"/>
        </w:rPr>
        <w:lastRenderedPageBreak/>
        <w:t xml:space="preserve">could be certain were accurate. </w:t>
      </w:r>
      <w:r w:rsidR="006D4C42">
        <w:rPr>
          <w:rFonts w:ascii="Times New Roman" w:hAnsi="Times New Roman"/>
        </w:rPr>
        <w:t>A</w:t>
      </w:r>
      <w:r w:rsidR="00CB55B2">
        <w:rPr>
          <w:rFonts w:ascii="Times New Roman" w:hAnsi="Times New Roman"/>
        </w:rPr>
        <w:t xml:space="preserve">ll </w:t>
      </w:r>
      <w:r w:rsidR="006D4C42">
        <w:rPr>
          <w:rFonts w:ascii="Times New Roman" w:hAnsi="Times New Roman"/>
        </w:rPr>
        <w:t xml:space="preserve">spatial </w:t>
      </w:r>
      <w:r w:rsidR="00CB55B2">
        <w:rPr>
          <w:rFonts w:ascii="Times New Roman" w:hAnsi="Times New Roman"/>
        </w:rPr>
        <w:t xml:space="preserve">records correspond </w:t>
      </w:r>
      <w:r w:rsidR="005F003C">
        <w:rPr>
          <w:rFonts w:ascii="Times New Roman" w:hAnsi="Times New Roman"/>
        </w:rPr>
        <w:t xml:space="preserve">approximately </w:t>
      </w:r>
      <w:r w:rsidR="00CB55B2">
        <w:rPr>
          <w:rFonts w:ascii="Times New Roman" w:hAnsi="Times New Roman"/>
        </w:rPr>
        <w:t>to the timeframe of the ecological variables used for species distribution modelling</w:t>
      </w:r>
      <w:r w:rsidR="001D71E2">
        <w:rPr>
          <w:rFonts w:ascii="Times New Roman" w:hAnsi="Times New Roman"/>
        </w:rPr>
        <w:t xml:space="preserve"> (i.e. </w:t>
      </w:r>
      <w:r w:rsidR="005F003C">
        <w:rPr>
          <w:rFonts w:ascii="Times New Roman" w:hAnsi="Times New Roman"/>
        </w:rPr>
        <w:t>between</w:t>
      </w:r>
      <w:r w:rsidR="001D71E2">
        <w:rPr>
          <w:rFonts w:ascii="Times New Roman" w:hAnsi="Times New Roman"/>
        </w:rPr>
        <w:t xml:space="preserve"> </w:t>
      </w:r>
      <w:r w:rsidR="005533DC">
        <w:rPr>
          <w:rFonts w:ascii="Times New Roman" w:hAnsi="Times New Roman"/>
        </w:rPr>
        <w:t xml:space="preserve">ca. </w:t>
      </w:r>
      <w:r w:rsidR="001D71E2">
        <w:rPr>
          <w:rFonts w:ascii="Times New Roman" w:hAnsi="Times New Roman"/>
        </w:rPr>
        <w:t>19</w:t>
      </w:r>
      <w:r w:rsidR="005533DC">
        <w:rPr>
          <w:rFonts w:ascii="Times New Roman" w:hAnsi="Times New Roman"/>
        </w:rPr>
        <w:t>2</w:t>
      </w:r>
      <w:r w:rsidR="005D4188">
        <w:rPr>
          <w:rFonts w:ascii="Times New Roman" w:hAnsi="Times New Roman"/>
        </w:rPr>
        <w:t>8</w:t>
      </w:r>
      <w:r w:rsidR="005F003C">
        <w:rPr>
          <w:rFonts w:ascii="Times New Roman" w:hAnsi="Times New Roman"/>
        </w:rPr>
        <w:t xml:space="preserve"> and 2014</w:t>
      </w:r>
      <w:r w:rsidR="001D71E2">
        <w:rPr>
          <w:rFonts w:ascii="Times New Roman" w:hAnsi="Times New Roman"/>
        </w:rPr>
        <w:t>)</w:t>
      </w:r>
      <w:r w:rsidR="002853FC">
        <w:rPr>
          <w:rFonts w:ascii="Times New Roman" w:hAnsi="Times New Roman"/>
        </w:rPr>
        <w:t>, with the vast majority</w:t>
      </w:r>
      <w:r w:rsidR="00336491">
        <w:rPr>
          <w:rFonts w:ascii="Times New Roman" w:hAnsi="Times New Roman"/>
        </w:rPr>
        <w:t xml:space="preserve"> (ca. 98%)</w:t>
      </w:r>
      <w:bookmarkStart w:id="2" w:name="_GoBack"/>
      <w:bookmarkEnd w:id="2"/>
      <w:r w:rsidR="002853FC">
        <w:rPr>
          <w:rFonts w:ascii="Times New Roman" w:hAnsi="Times New Roman"/>
        </w:rPr>
        <w:t xml:space="preserve"> from between 1975 and 2014</w:t>
      </w:r>
      <w:r w:rsidR="00CB55B2">
        <w:rPr>
          <w:rFonts w:ascii="Times New Roman" w:hAnsi="Times New Roman"/>
        </w:rPr>
        <w:t xml:space="preserve">. </w:t>
      </w:r>
      <w:r w:rsidR="00D16287">
        <w:rPr>
          <w:rFonts w:ascii="Times New Roman" w:hAnsi="Times New Roman"/>
        </w:rPr>
        <w:t>To assess this, a</w:t>
      </w:r>
      <w:r w:rsidRPr="00B80938">
        <w:rPr>
          <w:rFonts w:ascii="Times New Roman" w:hAnsi="Times New Roman"/>
        </w:rPr>
        <w:t xml:space="preserve"> rigorous filtering and correction procedure to these data prior to further analysis was made. We excluded records not present in our CFEA study region &lt;1000m in altitude (i.e. specific EA restricted species and other species not considered as part of or interacting with the CFEA assemblage) and us</w:t>
      </w:r>
      <w:r w:rsidR="00A800A7">
        <w:rPr>
          <w:rFonts w:ascii="Times New Roman" w:hAnsi="Times New Roman"/>
        </w:rPr>
        <w:t>ed</w:t>
      </w:r>
      <w:r w:rsidRPr="00B80938">
        <w:rPr>
          <w:rFonts w:ascii="Times New Roman" w:hAnsi="Times New Roman"/>
        </w:rPr>
        <w:t xml:space="preserve"> only </w:t>
      </w:r>
      <w:r w:rsidR="00A800A7">
        <w:rPr>
          <w:rFonts w:ascii="Times New Roman" w:hAnsi="Times New Roman"/>
        </w:rPr>
        <w:t>occurrence</w:t>
      </w:r>
      <w:r w:rsidR="00A800A7" w:rsidRPr="00B80938">
        <w:rPr>
          <w:rFonts w:ascii="Times New Roman" w:hAnsi="Times New Roman"/>
        </w:rPr>
        <w:t xml:space="preserve"> </w:t>
      </w:r>
      <w:r w:rsidRPr="00B80938">
        <w:rPr>
          <w:rFonts w:ascii="Times New Roman" w:hAnsi="Times New Roman"/>
        </w:rPr>
        <w:t xml:space="preserve">data that accurately matched the recorded locality names. Species names were corrected to reflect currently recognized taxonomy following Frost et al. (2016), </w:t>
      </w:r>
      <w:r w:rsidR="00635437">
        <w:rPr>
          <w:rFonts w:ascii="Times New Roman" w:hAnsi="Times New Roman"/>
        </w:rPr>
        <w:t xml:space="preserve">excluding </w:t>
      </w:r>
      <w:r w:rsidRPr="00B80938">
        <w:rPr>
          <w:rFonts w:ascii="Times New Roman" w:hAnsi="Times New Roman"/>
        </w:rPr>
        <w:t xml:space="preserve">ambiguous records listed as ”sp.” or  “indet.” that could not be confidently matched to a species tip on the tree. </w:t>
      </w:r>
    </w:p>
    <w:p w14:paraId="6AB4737E" w14:textId="77777777" w:rsidR="00680B5D" w:rsidRPr="00B80938" w:rsidRDefault="00680B5D" w:rsidP="00AF19DA">
      <w:pPr>
        <w:spacing w:line="360" w:lineRule="auto"/>
        <w:rPr>
          <w:rFonts w:ascii="Times New Roman" w:hAnsi="Times New Roman"/>
        </w:rPr>
      </w:pPr>
    </w:p>
    <w:p w14:paraId="4CAF8701" w14:textId="04DB21D6" w:rsidR="00B34E23" w:rsidRPr="00B80938" w:rsidRDefault="00B34E23" w:rsidP="00AF19DA">
      <w:pPr>
        <w:spacing w:line="360" w:lineRule="auto"/>
        <w:rPr>
          <w:rFonts w:ascii="Times New Roman" w:eastAsia="Times New Roman" w:hAnsi="Times New Roman"/>
          <w:i/>
        </w:rPr>
      </w:pPr>
      <w:r w:rsidRPr="00B80938">
        <w:rPr>
          <w:rFonts w:ascii="Times New Roman" w:eastAsia="Times New Roman" w:hAnsi="Times New Roman"/>
          <w:i/>
        </w:rPr>
        <w:t>Forest modelling</w:t>
      </w:r>
    </w:p>
    <w:p w14:paraId="2D26AEA6" w14:textId="77122690" w:rsidR="00A137AF" w:rsidRPr="00BB0A47" w:rsidRDefault="003438EB" w:rsidP="00A137AF">
      <w:pPr>
        <w:spacing w:line="360" w:lineRule="auto"/>
        <w:rPr>
          <w:rFonts w:ascii="Times New Roman" w:hAnsi="Times New Roman"/>
          <w:i/>
        </w:rPr>
      </w:pPr>
      <w:r w:rsidRPr="00B80938">
        <w:rPr>
          <w:rFonts w:ascii="Times New Roman" w:hAnsi="Times New Roman"/>
        </w:rPr>
        <w:t xml:space="preserve">As no accurate historical vegetation </w:t>
      </w:r>
      <w:r w:rsidR="00C87694" w:rsidRPr="00B80938">
        <w:rPr>
          <w:rFonts w:ascii="Times New Roman" w:hAnsi="Times New Roman"/>
        </w:rPr>
        <w:t xml:space="preserve">maps of sub-Saharan Africa exist for the time-scales we </w:t>
      </w:r>
      <w:r w:rsidR="00164289" w:rsidRPr="00B80938">
        <w:rPr>
          <w:rFonts w:ascii="Times New Roman" w:hAnsi="Times New Roman"/>
        </w:rPr>
        <w:t>investigate</w:t>
      </w:r>
      <w:r w:rsidRPr="00B80938">
        <w:rPr>
          <w:rFonts w:ascii="Times New Roman" w:hAnsi="Times New Roman"/>
        </w:rPr>
        <w:t xml:space="preserve">, </w:t>
      </w:r>
      <w:r w:rsidR="00C87694" w:rsidRPr="00B80938">
        <w:rPr>
          <w:rFonts w:ascii="Times New Roman" w:hAnsi="Times New Roman"/>
        </w:rPr>
        <w:t>we use modelling methods to estimate forest distribution, firstly in the present time</w:t>
      </w:r>
      <w:r w:rsidR="00F753C8">
        <w:rPr>
          <w:rFonts w:ascii="Times New Roman" w:hAnsi="Times New Roman"/>
        </w:rPr>
        <w:t xml:space="preserve"> and then projected back onto g</w:t>
      </w:r>
      <w:r w:rsidR="00C87694" w:rsidRPr="00B80938">
        <w:rPr>
          <w:rFonts w:ascii="Times New Roman" w:hAnsi="Times New Roman"/>
        </w:rPr>
        <w:t>lobal circulation model climate data for the mid-Holocene (6 ka</w:t>
      </w:r>
      <w:r w:rsidR="00EC6BF9">
        <w:rPr>
          <w:rFonts w:ascii="Times New Roman" w:hAnsi="Times New Roman"/>
        </w:rPr>
        <w:t xml:space="preserve"> BP</w:t>
      </w:r>
      <w:r w:rsidR="00C87694" w:rsidRPr="00B80938">
        <w:rPr>
          <w:rFonts w:ascii="Times New Roman" w:hAnsi="Times New Roman"/>
        </w:rPr>
        <w:t xml:space="preserve">), </w:t>
      </w:r>
      <w:r w:rsidR="00ED669A">
        <w:rPr>
          <w:rFonts w:ascii="Times New Roman" w:hAnsi="Times New Roman"/>
        </w:rPr>
        <w:t>Last Glacial Maximum (</w:t>
      </w:r>
      <w:r w:rsidR="00C87694" w:rsidRPr="00B80938">
        <w:rPr>
          <w:rFonts w:ascii="Times New Roman" w:hAnsi="Times New Roman"/>
        </w:rPr>
        <w:t>LGM</w:t>
      </w:r>
      <w:r w:rsidR="00ED669A">
        <w:rPr>
          <w:rFonts w:ascii="Times New Roman" w:hAnsi="Times New Roman"/>
        </w:rPr>
        <w:t xml:space="preserve">; </w:t>
      </w:r>
      <w:r w:rsidR="00C87694" w:rsidRPr="00B80938">
        <w:rPr>
          <w:rFonts w:ascii="Times New Roman" w:hAnsi="Times New Roman"/>
        </w:rPr>
        <w:t>21 ka</w:t>
      </w:r>
      <w:r w:rsidR="00EC6BF9">
        <w:rPr>
          <w:rFonts w:ascii="Times New Roman" w:hAnsi="Times New Roman"/>
        </w:rPr>
        <w:t xml:space="preserve"> BP</w:t>
      </w:r>
      <w:r w:rsidR="00C87694" w:rsidRPr="00B80938">
        <w:rPr>
          <w:rFonts w:ascii="Times New Roman" w:hAnsi="Times New Roman"/>
        </w:rPr>
        <w:t xml:space="preserve">) and </w:t>
      </w:r>
      <w:r w:rsidR="00ED669A">
        <w:rPr>
          <w:rFonts w:ascii="Times New Roman" w:hAnsi="Times New Roman"/>
        </w:rPr>
        <w:t>Last Interglacial (</w:t>
      </w:r>
      <w:r w:rsidR="00C87694" w:rsidRPr="00B80938">
        <w:rPr>
          <w:rFonts w:ascii="Times New Roman" w:hAnsi="Times New Roman"/>
        </w:rPr>
        <w:t>LIG</w:t>
      </w:r>
      <w:r w:rsidR="00ED669A">
        <w:rPr>
          <w:rFonts w:ascii="Times New Roman" w:hAnsi="Times New Roman"/>
        </w:rPr>
        <w:t xml:space="preserve">; </w:t>
      </w:r>
      <w:r w:rsidR="00C87694" w:rsidRPr="00B80938">
        <w:rPr>
          <w:rFonts w:ascii="Times New Roman" w:hAnsi="Times New Roman"/>
        </w:rPr>
        <w:t>120 ka</w:t>
      </w:r>
      <w:r w:rsidR="00EC6BF9">
        <w:rPr>
          <w:rFonts w:ascii="Times New Roman" w:hAnsi="Times New Roman"/>
        </w:rPr>
        <w:t xml:space="preserve"> BP</w:t>
      </w:r>
      <w:r w:rsidR="00C87694" w:rsidRPr="00B80938">
        <w:rPr>
          <w:rFonts w:ascii="Times New Roman" w:hAnsi="Times New Roman"/>
        </w:rPr>
        <w:t>) time periods (Hijmans et a</w:t>
      </w:r>
      <w:r w:rsidR="00401452" w:rsidRPr="00B80938">
        <w:rPr>
          <w:rFonts w:ascii="Times New Roman" w:hAnsi="Times New Roman"/>
        </w:rPr>
        <w:t>l</w:t>
      </w:r>
      <w:r w:rsidR="00C87694" w:rsidRPr="00B80938">
        <w:rPr>
          <w:rFonts w:ascii="Times New Roman" w:hAnsi="Times New Roman"/>
        </w:rPr>
        <w:t>. 2005</w:t>
      </w:r>
      <w:r w:rsidR="00EC6BF9">
        <w:rPr>
          <w:rFonts w:ascii="Times New Roman" w:hAnsi="Times New Roman"/>
        </w:rPr>
        <w:t>, Braconno</w:t>
      </w:r>
      <w:r w:rsidR="00494220">
        <w:rPr>
          <w:rFonts w:ascii="Times New Roman" w:hAnsi="Times New Roman"/>
        </w:rPr>
        <w:t>t</w:t>
      </w:r>
      <w:r w:rsidR="00EC6BF9">
        <w:rPr>
          <w:rFonts w:ascii="Times New Roman" w:hAnsi="Times New Roman"/>
        </w:rPr>
        <w:t xml:space="preserve"> et al., 2007, Otto-Bliesner et al., </w:t>
      </w:r>
      <w:r w:rsidR="00EE2A35">
        <w:rPr>
          <w:rFonts w:ascii="Times New Roman" w:hAnsi="Times New Roman"/>
        </w:rPr>
        <w:t>2006</w:t>
      </w:r>
      <w:r w:rsidR="00C87694" w:rsidRPr="00B80938">
        <w:rPr>
          <w:rFonts w:ascii="Times New Roman" w:hAnsi="Times New Roman"/>
        </w:rPr>
        <w:t xml:space="preserve">). </w:t>
      </w:r>
      <w:r w:rsidR="00C87694" w:rsidRPr="00B80938">
        <w:rPr>
          <w:rFonts w:ascii="Times New Roman" w:eastAsia="Times New Roman" w:hAnsi="Times New Roman"/>
        </w:rPr>
        <w:t>C</w:t>
      </w:r>
      <w:r w:rsidRPr="00B80938">
        <w:rPr>
          <w:rFonts w:ascii="Times New Roman" w:eastAsia="Times New Roman" w:hAnsi="Times New Roman"/>
        </w:rPr>
        <w:t>urrent forest extent was estimated by creating a forest distribution model</w:t>
      </w:r>
      <w:r w:rsidRPr="00B80938">
        <w:rPr>
          <w:rFonts w:ascii="Times New Roman" w:hAnsi="Times New Roman"/>
        </w:rPr>
        <w:t xml:space="preserve"> using</w:t>
      </w:r>
      <w:r w:rsidRPr="00B80938">
        <w:rPr>
          <w:rFonts w:ascii="Times New Roman" w:eastAsia="Times New Roman" w:hAnsi="Times New Roman"/>
        </w:rPr>
        <w:t xml:space="preserve"> the </w:t>
      </w:r>
      <w:r w:rsidR="00EC6BF9">
        <w:rPr>
          <w:rFonts w:ascii="Times New Roman" w:eastAsia="Times New Roman" w:hAnsi="Times New Roman"/>
        </w:rPr>
        <w:t>global 1km consensus</w:t>
      </w:r>
      <w:r w:rsidRPr="00B80938">
        <w:rPr>
          <w:rFonts w:ascii="Times New Roman" w:eastAsia="Times New Roman" w:hAnsi="Times New Roman"/>
        </w:rPr>
        <w:t xml:space="preserve"> land cover </w:t>
      </w:r>
      <w:r w:rsidR="00EC6BF9">
        <w:rPr>
          <w:rFonts w:ascii="Times New Roman" w:eastAsia="Times New Roman" w:hAnsi="Times New Roman"/>
        </w:rPr>
        <w:t>product (</w:t>
      </w:r>
      <w:r w:rsidR="00EC6BF9" w:rsidRPr="00B80938">
        <w:rPr>
          <w:rFonts w:ascii="Times New Roman" w:eastAsia="Times New Roman" w:hAnsi="Times New Roman"/>
        </w:rPr>
        <w:t>Tuanmu and Jetz</w:t>
      </w:r>
      <w:r w:rsidR="00EC6BF9">
        <w:rPr>
          <w:rFonts w:ascii="Times New Roman" w:eastAsia="Times New Roman" w:hAnsi="Times New Roman"/>
        </w:rPr>
        <w:t>,</w:t>
      </w:r>
      <w:r w:rsidR="00EC6BF9" w:rsidRPr="00B80938">
        <w:rPr>
          <w:rFonts w:ascii="Times New Roman" w:eastAsia="Times New Roman" w:hAnsi="Times New Roman"/>
        </w:rPr>
        <w:t xml:space="preserve"> 2015) </w:t>
      </w:r>
      <w:r w:rsidRPr="00B80938">
        <w:rPr>
          <w:rFonts w:ascii="Times New Roman" w:eastAsia="Times New Roman" w:hAnsi="Times New Roman"/>
        </w:rPr>
        <w:t xml:space="preserve">to classify </w:t>
      </w:r>
      <w:r w:rsidR="00D62048" w:rsidRPr="00B80938">
        <w:rPr>
          <w:rFonts w:ascii="Times New Roman" w:eastAsia="Times New Roman" w:hAnsi="Times New Roman"/>
        </w:rPr>
        <w:t>the</w:t>
      </w:r>
      <w:r w:rsidRPr="00B80938">
        <w:rPr>
          <w:rFonts w:ascii="Times New Roman" w:eastAsia="Times New Roman" w:hAnsi="Times New Roman"/>
        </w:rPr>
        <w:t xml:space="preserve"> study </w:t>
      </w:r>
      <w:r w:rsidR="00D62048" w:rsidRPr="00B80938">
        <w:rPr>
          <w:rFonts w:ascii="Times New Roman" w:eastAsia="Times New Roman" w:hAnsi="Times New Roman"/>
        </w:rPr>
        <w:t>region</w:t>
      </w:r>
      <w:r w:rsidRPr="00B80938">
        <w:rPr>
          <w:rFonts w:ascii="Times New Roman" w:eastAsia="Times New Roman" w:hAnsi="Times New Roman"/>
        </w:rPr>
        <w:t xml:space="preserve"> based on evergreen forest presence (excluding mangroves which are not part of the CFEA). </w:t>
      </w:r>
      <w:r w:rsidR="00C87694" w:rsidRPr="00B80938">
        <w:rPr>
          <w:rFonts w:ascii="Times New Roman" w:eastAsia="Times New Roman" w:hAnsi="Times New Roman"/>
        </w:rPr>
        <w:t xml:space="preserve">Firstly we reclassified their raster layer, taking only pixels representing the top </w:t>
      </w:r>
      <w:r w:rsidR="00AB43F2">
        <w:rPr>
          <w:rFonts w:ascii="Times New Roman" w:eastAsia="Times New Roman" w:hAnsi="Times New Roman"/>
        </w:rPr>
        <w:t>10</w:t>
      </w:r>
      <w:r w:rsidR="00C87694" w:rsidRPr="00B80938">
        <w:rPr>
          <w:rFonts w:ascii="Times New Roman" w:eastAsia="Times New Roman" w:hAnsi="Times New Roman"/>
        </w:rPr>
        <w:t xml:space="preserve">% of </w:t>
      </w:r>
      <w:r w:rsidR="00D62048" w:rsidRPr="00B80938">
        <w:rPr>
          <w:rFonts w:ascii="Times New Roman" w:eastAsia="Times New Roman" w:hAnsi="Times New Roman"/>
        </w:rPr>
        <w:t xml:space="preserve">all </w:t>
      </w:r>
      <w:r w:rsidR="00C87694" w:rsidRPr="00B80938">
        <w:rPr>
          <w:rFonts w:ascii="Times New Roman" w:eastAsia="Times New Roman" w:hAnsi="Times New Roman"/>
        </w:rPr>
        <w:t>values for evergreen forest</w:t>
      </w:r>
      <w:r w:rsidR="001D416C">
        <w:rPr>
          <w:rFonts w:ascii="Times New Roman" w:eastAsia="Times New Roman" w:hAnsi="Times New Roman"/>
        </w:rPr>
        <w:t xml:space="preserve"> to ensure an accurate representation of current forest was maintained</w:t>
      </w:r>
      <w:r w:rsidR="00C87694" w:rsidRPr="00B80938">
        <w:rPr>
          <w:rFonts w:ascii="Times New Roman" w:eastAsia="Times New Roman" w:hAnsi="Times New Roman"/>
        </w:rPr>
        <w:t xml:space="preserve">. We transformed the resulting raster into a single polygon and generated 500 random points within this area, with a constraint that the points had a buffer of at least 10 km apart </w:t>
      </w:r>
      <w:r w:rsidR="001D416C">
        <w:rPr>
          <w:rFonts w:ascii="Times New Roman" w:eastAsia="Times New Roman" w:hAnsi="Times New Roman"/>
        </w:rPr>
        <w:t xml:space="preserve">to minimize bias </w:t>
      </w:r>
      <w:r w:rsidR="00C87694" w:rsidRPr="00B80938">
        <w:rPr>
          <w:rFonts w:ascii="Times New Roman" w:eastAsia="Times New Roman" w:hAnsi="Times New Roman"/>
        </w:rPr>
        <w:t xml:space="preserve">(sensu Graham et al. 2010). We verified that the points covered an accurate representation of current forest habitat by overlaying them on satellite imagery from Google Earth and ground truthing based on first-hand knowledge of the region from recent fieldwork. We subsequently created a predictive model of current forest cover in </w:t>
      </w:r>
      <w:r w:rsidR="00C87694" w:rsidRPr="00B80938">
        <w:rPr>
          <w:rFonts w:ascii="Times New Roman" w:eastAsia="Times New Roman" w:hAnsi="Times New Roman"/>
          <w:smallCaps/>
        </w:rPr>
        <w:t>MaxEnt</w:t>
      </w:r>
      <w:r w:rsidR="00C87694" w:rsidRPr="00B80938">
        <w:rPr>
          <w:rFonts w:ascii="Times New Roman" w:eastAsia="Times New Roman" w:hAnsi="Times New Roman"/>
        </w:rPr>
        <w:t xml:space="preserve"> 3.3.3k using </w:t>
      </w:r>
      <w:r w:rsidR="00ED669A">
        <w:rPr>
          <w:rFonts w:ascii="Times New Roman" w:eastAsia="Times New Roman" w:hAnsi="Times New Roman"/>
        </w:rPr>
        <w:t>bioclimatic</w:t>
      </w:r>
      <w:r w:rsidR="00ED669A" w:rsidRPr="00B80938">
        <w:rPr>
          <w:rFonts w:ascii="Times New Roman" w:eastAsia="Times New Roman" w:hAnsi="Times New Roman"/>
        </w:rPr>
        <w:t xml:space="preserve"> </w:t>
      </w:r>
      <w:r w:rsidR="00C87694" w:rsidRPr="00B80938">
        <w:rPr>
          <w:rFonts w:ascii="Times New Roman" w:eastAsia="Times New Roman" w:hAnsi="Times New Roman"/>
        </w:rPr>
        <w:t>variables (bio</w:t>
      </w:r>
      <w:r w:rsidR="00494220">
        <w:rPr>
          <w:rFonts w:ascii="Times New Roman" w:eastAsia="Times New Roman" w:hAnsi="Times New Roman"/>
        </w:rPr>
        <w:t xml:space="preserve">2, bio4, bio5, </w:t>
      </w:r>
      <w:r w:rsidR="00C87694" w:rsidRPr="00B80938">
        <w:rPr>
          <w:rFonts w:ascii="Times New Roman" w:eastAsia="Times New Roman" w:hAnsi="Times New Roman"/>
        </w:rPr>
        <w:t>bio</w:t>
      </w:r>
      <w:r w:rsidR="00494220">
        <w:rPr>
          <w:rFonts w:ascii="Times New Roman" w:eastAsia="Times New Roman" w:hAnsi="Times New Roman"/>
        </w:rPr>
        <w:t>12, bio</w:t>
      </w:r>
      <w:r w:rsidR="00C87694" w:rsidRPr="00B80938">
        <w:rPr>
          <w:rFonts w:ascii="Times New Roman" w:eastAsia="Times New Roman" w:hAnsi="Times New Roman"/>
        </w:rPr>
        <w:t>1</w:t>
      </w:r>
      <w:r w:rsidR="00494220">
        <w:rPr>
          <w:rFonts w:ascii="Times New Roman" w:eastAsia="Times New Roman" w:hAnsi="Times New Roman"/>
        </w:rPr>
        <w:t>4, bio18 from the CCSM global circulation model</w:t>
      </w:r>
      <w:r w:rsidR="00C87694" w:rsidRPr="00B80938">
        <w:rPr>
          <w:rFonts w:ascii="Times New Roman" w:eastAsia="Times New Roman" w:hAnsi="Times New Roman"/>
        </w:rPr>
        <w:t xml:space="preserve">) </w:t>
      </w:r>
      <w:r w:rsidR="002A4C14" w:rsidRPr="00B80938">
        <w:rPr>
          <w:rFonts w:ascii="Times New Roman" w:hAnsi="Times New Roman"/>
        </w:rPr>
        <w:t>and a digital elevation model</w:t>
      </w:r>
      <w:r w:rsidR="00ED669A">
        <w:rPr>
          <w:rFonts w:ascii="Times New Roman" w:hAnsi="Times New Roman"/>
        </w:rPr>
        <w:t xml:space="preserve"> </w:t>
      </w:r>
      <w:r w:rsidR="002A4C14" w:rsidRPr="00B80938">
        <w:rPr>
          <w:rFonts w:ascii="Times New Roman" w:hAnsi="Times New Roman"/>
        </w:rPr>
        <w:t xml:space="preserve">(GTOPO30; USGS, </w:t>
      </w:r>
      <w:r w:rsidR="00ED669A">
        <w:rPr>
          <w:rFonts w:ascii="Times New Roman" w:hAnsi="Times New Roman"/>
        </w:rPr>
        <w:t xml:space="preserve">available from: </w:t>
      </w:r>
      <w:r w:rsidR="002A4C14" w:rsidRPr="00B80938">
        <w:rPr>
          <w:rFonts w:ascii="Times New Roman" w:hAnsi="Times New Roman"/>
        </w:rPr>
        <w:t>http://csgtm.iscgm.org/dataset/gtopo30) at 30 arc-second resolution (</w:t>
      </w:r>
      <w:r w:rsidR="002A4C14" w:rsidRPr="00B80938">
        <w:rPr>
          <w:rStyle w:val="tgc"/>
          <w:rFonts w:ascii="Times New Roman" w:eastAsia="Times New Roman" w:hAnsi="Times New Roman"/>
        </w:rPr>
        <w:t xml:space="preserve">approximately </w:t>
      </w:r>
      <w:r w:rsidR="00ED669A">
        <w:rPr>
          <w:rStyle w:val="tgc"/>
          <w:rFonts w:ascii="Times New Roman" w:eastAsia="Times New Roman" w:hAnsi="Times New Roman"/>
        </w:rPr>
        <w:t>1 km</w:t>
      </w:r>
      <w:r w:rsidR="00ED669A" w:rsidRPr="00ED669A">
        <w:rPr>
          <w:rStyle w:val="tgc"/>
          <w:rFonts w:ascii="Times New Roman" w:eastAsia="Times New Roman" w:hAnsi="Times New Roman"/>
          <w:vertAlign w:val="superscript"/>
        </w:rPr>
        <w:t>2</w:t>
      </w:r>
      <w:r w:rsidR="002A4C14" w:rsidRPr="00B80938">
        <w:rPr>
          <w:rStyle w:val="tgc"/>
          <w:rFonts w:ascii="Times New Roman" w:eastAsia="Times New Roman" w:hAnsi="Times New Roman"/>
        </w:rPr>
        <w:t>)</w:t>
      </w:r>
      <w:r w:rsidR="0011768D" w:rsidRPr="00B80938">
        <w:rPr>
          <w:rStyle w:val="tgc"/>
          <w:rFonts w:ascii="Times New Roman" w:eastAsia="Times New Roman" w:hAnsi="Times New Roman"/>
        </w:rPr>
        <w:t xml:space="preserve"> </w:t>
      </w:r>
      <w:r w:rsidR="00C87694" w:rsidRPr="00B80938">
        <w:rPr>
          <w:rFonts w:ascii="Times New Roman" w:eastAsia="Times New Roman" w:hAnsi="Times New Roman"/>
        </w:rPr>
        <w:t xml:space="preserve">with the </w:t>
      </w:r>
      <w:r w:rsidR="00C87694" w:rsidRPr="00B80938">
        <w:rPr>
          <w:rFonts w:ascii="Times New Roman" w:hAnsi="Times New Roman"/>
        </w:rPr>
        <w:t xml:space="preserve">subsample modeling algorithm, </w:t>
      </w:r>
      <w:r w:rsidR="00ED669A">
        <w:rPr>
          <w:rFonts w:ascii="Times New Roman" w:hAnsi="Times New Roman"/>
        </w:rPr>
        <w:t xml:space="preserve">and </w:t>
      </w:r>
      <w:r w:rsidR="00C87694" w:rsidRPr="00B80938">
        <w:rPr>
          <w:rFonts w:ascii="Times New Roman" w:hAnsi="Times New Roman"/>
        </w:rPr>
        <w:t>regularization multiplier of 1</w:t>
      </w:r>
      <w:r w:rsidR="00B95308" w:rsidRPr="00B80938">
        <w:rPr>
          <w:rFonts w:ascii="Times New Roman" w:hAnsi="Times New Roman"/>
        </w:rPr>
        <w:t xml:space="preserve">. </w:t>
      </w:r>
      <w:r w:rsidR="0011768D" w:rsidRPr="00B80938">
        <w:rPr>
          <w:rFonts w:ascii="Times New Roman" w:hAnsi="Times New Roman"/>
        </w:rPr>
        <w:t xml:space="preserve">After inspection of </w:t>
      </w:r>
      <w:r w:rsidR="00ED669A" w:rsidRPr="00B80938">
        <w:rPr>
          <w:rFonts w:ascii="Times New Roman" w:hAnsi="Times New Roman"/>
        </w:rPr>
        <w:t>th</w:t>
      </w:r>
      <w:r w:rsidR="00ED669A">
        <w:rPr>
          <w:rFonts w:ascii="Times New Roman" w:hAnsi="Times New Roman"/>
        </w:rPr>
        <w:t>e</w:t>
      </w:r>
      <w:r w:rsidR="00ED669A" w:rsidRPr="00B80938">
        <w:rPr>
          <w:rFonts w:ascii="Times New Roman" w:hAnsi="Times New Roman"/>
        </w:rPr>
        <w:t xml:space="preserve"> </w:t>
      </w:r>
      <w:r w:rsidR="00ED669A">
        <w:rPr>
          <w:rFonts w:ascii="Times New Roman" w:hAnsi="Times New Roman"/>
        </w:rPr>
        <w:t xml:space="preserve">predictive </w:t>
      </w:r>
      <w:r w:rsidR="0011768D" w:rsidRPr="00B80938">
        <w:rPr>
          <w:rFonts w:ascii="Times New Roman" w:hAnsi="Times New Roman"/>
        </w:rPr>
        <w:t xml:space="preserve">forest model to verify that it accurately represented </w:t>
      </w:r>
      <w:r w:rsidR="00ED669A">
        <w:rPr>
          <w:rFonts w:ascii="Times New Roman" w:hAnsi="Times New Roman"/>
        </w:rPr>
        <w:t xml:space="preserve">currently </w:t>
      </w:r>
      <w:r w:rsidR="0011768D" w:rsidRPr="00B80938">
        <w:rPr>
          <w:rFonts w:ascii="Times New Roman" w:hAnsi="Times New Roman"/>
        </w:rPr>
        <w:t>forest</w:t>
      </w:r>
      <w:r w:rsidR="00ED669A">
        <w:rPr>
          <w:rFonts w:ascii="Times New Roman" w:hAnsi="Times New Roman"/>
        </w:rPr>
        <w:t>ed</w:t>
      </w:r>
      <w:r w:rsidR="0011768D" w:rsidRPr="00B80938">
        <w:rPr>
          <w:rFonts w:ascii="Times New Roman" w:hAnsi="Times New Roman"/>
        </w:rPr>
        <w:t xml:space="preserve"> habitats</w:t>
      </w:r>
      <w:r w:rsidR="00ED669A">
        <w:rPr>
          <w:rFonts w:ascii="Times New Roman" w:hAnsi="Times New Roman"/>
        </w:rPr>
        <w:t>,</w:t>
      </w:r>
      <w:r w:rsidR="0011768D" w:rsidRPr="00B80938">
        <w:rPr>
          <w:rFonts w:ascii="Times New Roman" w:hAnsi="Times New Roman"/>
        </w:rPr>
        <w:t xml:space="preserve"> </w:t>
      </w:r>
      <w:r w:rsidR="0011768D" w:rsidRPr="00B80938">
        <w:rPr>
          <w:rFonts w:ascii="Times New Roman" w:eastAsia="Times New Roman" w:hAnsi="Times New Roman"/>
        </w:rPr>
        <w:t>w</w:t>
      </w:r>
      <w:r w:rsidRPr="00B80938">
        <w:rPr>
          <w:rFonts w:ascii="Times New Roman" w:eastAsia="Times New Roman" w:hAnsi="Times New Roman"/>
        </w:rPr>
        <w:t xml:space="preserve">e </w:t>
      </w:r>
      <w:r w:rsidR="00ED669A">
        <w:rPr>
          <w:rFonts w:ascii="Times New Roman" w:eastAsia="Times New Roman" w:hAnsi="Times New Roman"/>
        </w:rPr>
        <w:t xml:space="preserve">created historical projections based on past climate data, by </w:t>
      </w:r>
      <w:r w:rsidRPr="00B80938">
        <w:rPr>
          <w:rFonts w:ascii="Times New Roman" w:eastAsia="Times New Roman" w:hAnsi="Times New Roman"/>
        </w:rPr>
        <w:t>project</w:t>
      </w:r>
      <w:r w:rsidR="00ED669A">
        <w:rPr>
          <w:rFonts w:ascii="Times New Roman" w:eastAsia="Times New Roman" w:hAnsi="Times New Roman"/>
        </w:rPr>
        <w:t>ing the model</w:t>
      </w:r>
      <w:r w:rsidRPr="00B80938">
        <w:rPr>
          <w:rFonts w:ascii="Times New Roman" w:eastAsia="Times New Roman" w:hAnsi="Times New Roman"/>
        </w:rPr>
        <w:t xml:space="preserve"> </w:t>
      </w:r>
      <w:r w:rsidRPr="00B80938">
        <w:rPr>
          <w:rFonts w:ascii="Times New Roman" w:eastAsia="Times New Roman" w:hAnsi="Times New Roman"/>
        </w:rPr>
        <w:lastRenderedPageBreak/>
        <w:t xml:space="preserve">onto </w:t>
      </w:r>
      <w:r w:rsidR="004F7D79">
        <w:rPr>
          <w:rFonts w:ascii="Times New Roman" w:eastAsia="Times New Roman" w:hAnsi="Times New Roman"/>
        </w:rPr>
        <w:t xml:space="preserve">the </w:t>
      </w:r>
      <w:r w:rsidRPr="00B80938">
        <w:rPr>
          <w:rFonts w:ascii="Times New Roman" w:eastAsia="Times New Roman" w:hAnsi="Times New Roman"/>
        </w:rPr>
        <w:t xml:space="preserve">three time slices with available </w:t>
      </w:r>
      <w:r w:rsidR="004F7D79">
        <w:rPr>
          <w:rFonts w:ascii="Times New Roman" w:eastAsia="Times New Roman" w:hAnsi="Times New Roman"/>
        </w:rPr>
        <w:t xml:space="preserve">historical </w:t>
      </w:r>
      <w:r w:rsidRPr="00B80938">
        <w:rPr>
          <w:rFonts w:ascii="Times New Roman" w:eastAsia="Times New Roman" w:hAnsi="Times New Roman"/>
        </w:rPr>
        <w:t>climate data</w:t>
      </w:r>
      <w:r w:rsidR="00ED669A">
        <w:rPr>
          <w:rFonts w:ascii="Times New Roman" w:eastAsia="Times New Roman" w:hAnsi="Times New Roman"/>
        </w:rPr>
        <w:t>. We</w:t>
      </w:r>
      <w:r w:rsidR="00494220">
        <w:rPr>
          <w:rFonts w:ascii="Times New Roman" w:eastAsia="Times New Roman" w:hAnsi="Times New Roman"/>
        </w:rPr>
        <w:t xml:space="preserve"> followed Graham et al. (2010) </w:t>
      </w:r>
      <w:r w:rsidRPr="00B80938">
        <w:rPr>
          <w:rFonts w:ascii="Times New Roman" w:eastAsia="Times New Roman" w:hAnsi="Times New Roman"/>
        </w:rPr>
        <w:t xml:space="preserve">to derive a measure of forest stability over time by transforming the forest model at each time slice into its log value and averaging the values across the four time periods (i.e. from the present back to the LIG over 120k years). The exponent of this average value </w:t>
      </w:r>
      <w:r w:rsidR="00ED669A">
        <w:rPr>
          <w:rFonts w:ascii="Times New Roman" w:eastAsia="Times New Roman" w:hAnsi="Times New Roman"/>
        </w:rPr>
        <w:t xml:space="preserve">(EXP function in ARCGIS raster calculator) </w:t>
      </w:r>
      <w:r w:rsidRPr="00B80938">
        <w:rPr>
          <w:rFonts w:ascii="Times New Roman" w:eastAsia="Times New Roman" w:hAnsi="Times New Roman"/>
        </w:rPr>
        <w:t xml:space="preserve">was then used </w:t>
      </w:r>
      <w:r w:rsidR="00ED669A">
        <w:rPr>
          <w:rFonts w:ascii="Times New Roman" w:eastAsia="Times New Roman" w:hAnsi="Times New Roman"/>
        </w:rPr>
        <w:t>to transform the resulting number into a continuous variable, representing a</w:t>
      </w:r>
      <w:r w:rsidRPr="00B80938">
        <w:rPr>
          <w:rFonts w:ascii="Times New Roman" w:eastAsia="Times New Roman" w:hAnsi="Times New Roman"/>
        </w:rPr>
        <w:t xml:space="preserve"> measure of forest stability </w:t>
      </w:r>
      <w:r w:rsidR="008D6D94" w:rsidRPr="00B80938">
        <w:rPr>
          <w:rFonts w:ascii="Times New Roman" w:eastAsia="Times New Roman" w:hAnsi="Times New Roman"/>
        </w:rPr>
        <w:t xml:space="preserve">in each grid cell </w:t>
      </w:r>
      <w:r w:rsidRPr="00B80938">
        <w:rPr>
          <w:rFonts w:ascii="Times New Roman" w:eastAsia="Times New Roman" w:hAnsi="Times New Roman"/>
        </w:rPr>
        <w:t xml:space="preserve">(ranging from 0 to 1) following </w:t>
      </w:r>
      <w:r w:rsidR="00ED669A">
        <w:rPr>
          <w:rFonts w:ascii="Times New Roman" w:eastAsia="Times New Roman" w:hAnsi="Times New Roman"/>
        </w:rPr>
        <w:t xml:space="preserve">Rosauer et al. (2015) and </w:t>
      </w:r>
      <w:r w:rsidRPr="00B80938">
        <w:rPr>
          <w:rFonts w:ascii="Times New Roman" w:eastAsia="Times New Roman" w:hAnsi="Times New Roman"/>
        </w:rPr>
        <w:fldChar w:fldCharType="begin" w:fldLock="1"/>
      </w:r>
      <w:r w:rsidRPr="00B80938">
        <w:rPr>
          <w:rFonts w:ascii="Times New Roman" w:eastAsia="Times New Roman" w:hAnsi="Times New Roman"/>
        </w:rPr>
        <w:instrText>ADDIN CSL_CITATION { "citationItems" : [ { "id" : "ITEM-1", "itemData" : { "DOI" : "10.1111/j.1600-0587.2010.06430.x", "ISBN" : "0906-7590", "ISSN" : "09067590", "abstract" : "Historical climate is known to influence contemporary patterns of biological diversity. Species distribution modeling methods, combined with paleoclimatic surfaces, have been used to identify regions that were likely stable across long periods of time. To date, this approach has produced a static representation of refugia by identifying regions of suitable climate across a series of time-slices. However, suitable habitat for a given species (or suite of species) may have shifted contiguously in response to changing climates through geologic time. We develop a new approach that takes into consideration habitat connectivity through time. We use the Australian Wet Tropics as a case study to demonstrate how our method works and suggest additional insights the method might give for understanding the determinants of biological diversity.", "author" : [ { "dropping-particle" : "", "family" : "Graham", "given" : "Catherine H.", "non-dropping-particle" : "", "parse-names" : false, "suffix" : "" }, { "dropping-particle" : "", "family" : "VanDerWal", "given" : "Jeremy", "non-dropping-particle" : "", "parse-names" : false, "suffix" : "" }, { "dropping-particle" : "", "family" : "Phillips", "given" : "Steven J.", "non-dropping-particle" : "", "parse-names" : false, "suffix" : "" }, { "dropping-particle" : "", "family" : "Moritz", "given" : "Craig", "non-dropping-particle" : "", "parse-names" : false, "suffix" : "" }, { "dropping-particle" : "", "family" : "Williams", "given" : "Stephen E.", "non-dropping-particle" : "", "parse-names" : false, "suffix" : "" } ], "container-title" : "Ecography", "id" : "ITEM-1", "issue" : "6", "issued" : { "date-parts" : [ [ "2010" ] ] }, "page" : "1062-1069", "title" : "Dynamic refugia and species persistence: Tracking spatial shifts in habitat through time", "type" : "article-journal", "volume" : "33" }, "uris" : [ "http://www.mendeley.com/documents/?uuid=df62cf0e-b485-4a4c-a124-daed9e07694d" ] } ], "mendeley" : { "formattedCitation" : "(Graham et al., 2010)", "manualFormatting" : "Graham et al. (2010)", "plainTextFormattedCitation" : "(Graham et al., 2010)", "previouslyFormattedCitation" : "(Graham et al., 2010)" }, "properties" : { "noteIndex" : 0 }, "schema" : "https://github.com/citation-style-language/schema/raw/master/csl-citation.json" }</w:instrText>
      </w:r>
      <w:r w:rsidRPr="00B80938">
        <w:rPr>
          <w:rFonts w:ascii="Times New Roman" w:eastAsia="Times New Roman" w:hAnsi="Times New Roman"/>
        </w:rPr>
        <w:fldChar w:fldCharType="separate"/>
      </w:r>
      <w:r w:rsidRPr="00B80938">
        <w:rPr>
          <w:rFonts w:ascii="Times New Roman" w:eastAsia="Times New Roman" w:hAnsi="Times New Roman"/>
          <w:noProof/>
        </w:rPr>
        <w:t>Graham et al. (2010)</w:t>
      </w:r>
      <w:r w:rsidRPr="00B80938">
        <w:rPr>
          <w:rFonts w:ascii="Times New Roman" w:eastAsia="Times New Roman" w:hAnsi="Times New Roman"/>
        </w:rPr>
        <w:fldChar w:fldCharType="end"/>
      </w:r>
      <w:r w:rsidRPr="00B80938">
        <w:rPr>
          <w:rFonts w:ascii="Times New Roman" w:eastAsia="Times New Roman" w:hAnsi="Times New Roman"/>
        </w:rPr>
        <w:t xml:space="preserve">. </w:t>
      </w:r>
    </w:p>
    <w:p w14:paraId="2DB6F57F" w14:textId="16B815B0" w:rsidR="003438EB" w:rsidRPr="00B80938" w:rsidRDefault="00A137AF" w:rsidP="00681153">
      <w:pPr>
        <w:spacing w:line="360" w:lineRule="auto"/>
        <w:ind w:firstLine="720"/>
        <w:rPr>
          <w:rFonts w:ascii="Times New Roman" w:eastAsia="Times New Roman" w:hAnsi="Times New Roman"/>
        </w:rPr>
      </w:pPr>
      <w:r w:rsidRPr="00BB0A47">
        <w:rPr>
          <w:rFonts w:ascii="Times New Roman" w:hAnsi="Times New Roman"/>
        </w:rPr>
        <w:t xml:space="preserve">The </w:t>
      </w:r>
      <w:r w:rsidR="00CD11B0">
        <w:rPr>
          <w:rFonts w:ascii="Times New Roman" w:hAnsi="Times New Roman"/>
        </w:rPr>
        <w:t>f</w:t>
      </w:r>
      <w:r w:rsidRPr="00BB0A47">
        <w:rPr>
          <w:rFonts w:ascii="Times New Roman" w:hAnsi="Times New Roman"/>
        </w:rPr>
        <w:t>orest model performed well, with</w:t>
      </w:r>
      <w:r w:rsidR="00CD11B0">
        <w:rPr>
          <w:rFonts w:ascii="Times New Roman" w:hAnsi="Times New Roman"/>
        </w:rPr>
        <w:t xml:space="preserve"> a</w:t>
      </w:r>
      <w:r w:rsidRPr="00BB0A47">
        <w:rPr>
          <w:rFonts w:ascii="Times New Roman" w:hAnsi="Times New Roman"/>
        </w:rPr>
        <w:t xml:space="preserve"> high AUC values (</w:t>
      </w:r>
      <w:r w:rsidR="00CD11B0">
        <w:rPr>
          <w:rFonts w:ascii="Times New Roman" w:hAnsi="Times New Roman"/>
        </w:rPr>
        <w:t>0.811</w:t>
      </w:r>
      <w:r w:rsidRPr="00BB0A47">
        <w:rPr>
          <w:rFonts w:ascii="Times New Roman" w:hAnsi="Times New Roman"/>
        </w:rPr>
        <w:t>). Variable contribution</w:t>
      </w:r>
      <w:r w:rsidR="0032045A">
        <w:rPr>
          <w:rFonts w:ascii="Times New Roman" w:hAnsi="Times New Roman"/>
        </w:rPr>
        <w:t xml:space="preserve"> was highest for bio14 (53.73%) with each other variable contributing between 6.33 and 13.69% with the exception of bio5</w:t>
      </w:r>
      <w:r w:rsidRPr="00BB0A47">
        <w:rPr>
          <w:rFonts w:ascii="Times New Roman" w:hAnsi="Times New Roman"/>
        </w:rPr>
        <w:t xml:space="preserve"> (Table S</w:t>
      </w:r>
      <w:r w:rsidR="009C65D2">
        <w:rPr>
          <w:rFonts w:ascii="Times New Roman" w:hAnsi="Times New Roman"/>
        </w:rPr>
        <w:t>6</w:t>
      </w:r>
      <w:r w:rsidRPr="00BB0A47">
        <w:rPr>
          <w:rFonts w:ascii="Times New Roman" w:hAnsi="Times New Roman"/>
        </w:rPr>
        <w:t xml:space="preserve">). </w:t>
      </w:r>
      <w:r w:rsidR="00B80938" w:rsidRPr="00B80938">
        <w:rPr>
          <w:rFonts w:ascii="Times New Roman" w:eastAsia="Times New Roman" w:hAnsi="Times New Roman"/>
        </w:rPr>
        <w:t>Forest projections at 6 ka</w:t>
      </w:r>
      <w:r w:rsidR="00DE1667">
        <w:rPr>
          <w:rFonts w:ascii="Times New Roman" w:eastAsia="Times New Roman" w:hAnsi="Times New Roman"/>
        </w:rPr>
        <w:t xml:space="preserve"> BP</w:t>
      </w:r>
      <w:r w:rsidR="00B80938" w:rsidRPr="00B80938">
        <w:rPr>
          <w:rFonts w:ascii="Times New Roman" w:eastAsia="Times New Roman" w:hAnsi="Times New Roman"/>
        </w:rPr>
        <w:t>, 21 ka</w:t>
      </w:r>
      <w:r w:rsidR="00DE1667">
        <w:rPr>
          <w:rFonts w:ascii="Times New Roman" w:eastAsia="Times New Roman" w:hAnsi="Times New Roman"/>
        </w:rPr>
        <w:t xml:space="preserve"> BP</w:t>
      </w:r>
      <w:r w:rsidR="00B80938" w:rsidRPr="00B80938">
        <w:rPr>
          <w:rFonts w:ascii="Times New Roman" w:eastAsia="Times New Roman" w:hAnsi="Times New Roman"/>
        </w:rPr>
        <w:t xml:space="preserve">, 120 ka </w:t>
      </w:r>
      <w:r w:rsidR="00DE1667">
        <w:rPr>
          <w:rFonts w:ascii="Times New Roman" w:eastAsia="Times New Roman" w:hAnsi="Times New Roman"/>
        </w:rPr>
        <w:t>BP</w:t>
      </w:r>
      <w:r w:rsidR="00E64C4E">
        <w:rPr>
          <w:rFonts w:ascii="Times New Roman" w:eastAsia="Times New Roman" w:hAnsi="Times New Roman"/>
        </w:rPr>
        <w:t xml:space="preserve"> </w:t>
      </w:r>
      <w:r w:rsidR="00B80938" w:rsidRPr="00B80938">
        <w:rPr>
          <w:rFonts w:ascii="Times New Roman" w:eastAsia="Times New Roman" w:hAnsi="Times New Roman"/>
        </w:rPr>
        <w:t xml:space="preserve">and the calculated forest stability surface measure over this time period show that several areas have retained high stability throughout. These areas correspond to lowland parts of the EA and surrounding areas, parts of central coastal Tanzania, with additional areas scattered along the coastline to the east of our map. Remaining low elevation areas and those extending inland have mainly been unstable in terms of forest cover, probably affected by sea level inundation and periods of severe climate change (Fig. </w:t>
      </w:r>
      <w:r w:rsidR="004F7D79" w:rsidRPr="00B80938">
        <w:rPr>
          <w:rFonts w:ascii="Times New Roman" w:eastAsia="Times New Roman" w:hAnsi="Times New Roman"/>
        </w:rPr>
        <w:t>S</w:t>
      </w:r>
      <w:r w:rsidR="004F7D79">
        <w:rPr>
          <w:rFonts w:ascii="Times New Roman" w:eastAsia="Times New Roman" w:hAnsi="Times New Roman"/>
        </w:rPr>
        <w:t>3</w:t>
      </w:r>
      <w:r w:rsidR="00B80938" w:rsidRPr="00B80938">
        <w:rPr>
          <w:rFonts w:ascii="Times New Roman" w:eastAsia="Times New Roman" w:hAnsi="Times New Roman"/>
        </w:rPr>
        <w:t>).</w:t>
      </w:r>
    </w:p>
    <w:p w14:paraId="65ADB481" w14:textId="77777777" w:rsidR="00B34E23" w:rsidRPr="00B80938" w:rsidRDefault="00B34E23" w:rsidP="00C87694">
      <w:pPr>
        <w:spacing w:line="360" w:lineRule="auto"/>
        <w:rPr>
          <w:rFonts w:ascii="Times New Roman" w:eastAsia="Times New Roman" w:hAnsi="Times New Roman"/>
          <w:i/>
        </w:rPr>
      </w:pPr>
    </w:p>
    <w:p w14:paraId="0F4A1AC9" w14:textId="151FCA3F" w:rsidR="00103A70" w:rsidRDefault="000D3275" w:rsidP="00C87694">
      <w:pPr>
        <w:spacing w:line="360" w:lineRule="auto"/>
        <w:rPr>
          <w:rFonts w:ascii="Times New Roman" w:hAnsi="Times New Roman"/>
          <w:i/>
        </w:rPr>
      </w:pPr>
      <w:r>
        <w:rPr>
          <w:rFonts w:ascii="Times New Roman" w:hAnsi="Times New Roman"/>
          <w:i/>
        </w:rPr>
        <w:t>S</w:t>
      </w:r>
      <w:r w:rsidR="00B204D0">
        <w:rPr>
          <w:rFonts w:ascii="Times New Roman" w:hAnsi="Times New Roman"/>
          <w:i/>
        </w:rPr>
        <w:t>patial autocorrelation</w:t>
      </w:r>
    </w:p>
    <w:p w14:paraId="75F0E66A" w14:textId="055615AF" w:rsidR="00E87129" w:rsidRDefault="00951F56" w:rsidP="00573D37">
      <w:pPr>
        <w:spacing w:line="360" w:lineRule="auto"/>
        <w:rPr>
          <w:rFonts w:ascii="Times New Roman" w:hAnsi="Times New Roman"/>
        </w:rPr>
      </w:pPr>
      <w:r>
        <w:rPr>
          <w:rFonts w:ascii="Times New Roman" w:hAnsi="Times New Roman"/>
        </w:rPr>
        <w:t>To test for spatial autocorrelation w</w:t>
      </w:r>
      <w:r w:rsidR="005D5BBD">
        <w:rPr>
          <w:rFonts w:ascii="Times New Roman" w:hAnsi="Times New Roman"/>
        </w:rPr>
        <w:t xml:space="preserve">e examined the correlation structure of the </w:t>
      </w:r>
      <w:r>
        <w:rPr>
          <w:rFonts w:ascii="Times New Roman" w:hAnsi="Times New Roman"/>
        </w:rPr>
        <w:t>log transformed response variable (PE)</w:t>
      </w:r>
      <w:r w:rsidR="005D5BBD">
        <w:rPr>
          <w:rFonts w:ascii="Times New Roman" w:eastAsia="Times New Roman" w:hAnsi="Times New Roman"/>
        </w:rPr>
        <w:t xml:space="preserve"> and residuals of the best GLM</w:t>
      </w:r>
      <w:r>
        <w:rPr>
          <w:rFonts w:ascii="Times New Roman" w:eastAsia="Times New Roman" w:hAnsi="Times New Roman"/>
        </w:rPr>
        <w:t>,</w:t>
      </w:r>
      <w:r w:rsidR="005D5BBD">
        <w:rPr>
          <w:rFonts w:ascii="Times New Roman" w:eastAsia="Times New Roman" w:hAnsi="Times New Roman"/>
        </w:rPr>
        <w:t xml:space="preserve"> visualizing correlograms of Moran’</w:t>
      </w:r>
      <w:r>
        <w:rPr>
          <w:rFonts w:ascii="Times New Roman" w:eastAsia="Times New Roman" w:hAnsi="Times New Roman"/>
        </w:rPr>
        <w:t xml:space="preserve">s </w:t>
      </w:r>
      <w:r w:rsidRPr="003A4A29">
        <w:rPr>
          <w:rFonts w:ascii="Times New Roman" w:eastAsia="Times New Roman" w:hAnsi="Times New Roman"/>
          <w:i/>
        </w:rPr>
        <w:t>I</w:t>
      </w:r>
      <w:r>
        <w:rPr>
          <w:rFonts w:ascii="Times New Roman" w:eastAsia="Times New Roman" w:hAnsi="Times New Roman"/>
        </w:rPr>
        <w:t xml:space="preserve"> across distance classes of </w:t>
      </w:r>
      <w:r w:rsidR="005D5BBD">
        <w:rPr>
          <w:rFonts w:ascii="Times New Roman" w:eastAsia="Times New Roman" w:hAnsi="Times New Roman"/>
        </w:rPr>
        <w:t>10 km increments</w:t>
      </w:r>
      <w:r>
        <w:rPr>
          <w:rFonts w:ascii="Times New Roman" w:eastAsia="Times New Roman" w:hAnsi="Times New Roman"/>
        </w:rPr>
        <w:t>.</w:t>
      </w:r>
      <w:r w:rsidR="001F67E5">
        <w:rPr>
          <w:rFonts w:ascii="Times New Roman" w:eastAsia="Times New Roman" w:hAnsi="Times New Roman"/>
        </w:rPr>
        <w:t xml:space="preserve"> </w:t>
      </w:r>
      <w:r w:rsidR="001B1E94">
        <w:rPr>
          <w:rFonts w:ascii="Times New Roman" w:eastAsia="Times New Roman" w:hAnsi="Times New Roman"/>
        </w:rPr>
        <w:t>Model residuals of the GLM were</w:t>
      </w:r>
      <w:r w:rsidR="008873DB">
        <w:rPr>
          <w:rFonts w:ascii="Times New Roman" w:eastAsia="Times New Roman" w:hAnsi="Times New Roman"/>
        </w:rPr>
        <w:t xml:space="preserve"> spatially autocorrelated at </w:t>
      </w:r>
      <w:r>
        <w:rPr>
          <w:rFonts w:ascii="Times New Roman" w:eastAsia="Times New Roman" w:hAnsi="Times New Roman"/>
        </w:rPr>
        <w:t xml:space="preserve">small distance classes </w:t>
      </w:r>
      <w:r w:rsidR="008873DB">
        <w:rPr>
          <w:rFonts w:ascii="Times New Roman" w:eastAsia="Times New Roman" w:hAnsi="Times New Roman"/>
        </w:rPr>
        <w:t xml:space="preserve">(i.e. </w:t>
      </w:r>
      <w:r>
        <w:rPr>
          <w:rFonts w:ascii="Times New Roman" w:eastAsia="Times New Roman" w:hAnsi="Times New Roman"/>
        </w:rPr>
        <w:t>Moran’s</w:t>
      </w:r>
      <w:r w:rsidRPr="003A4A29">
        <w:rPr>
          <w:rFonts w:ascii="Times New Roman" w:eastAsia="Times New Roman" w:hAnsi="Times New Roman"/>
          <w:i/>
        </w:rPr>
        <w:t xml:space="preserve"> I</w:t>
      </w:r>
      <w:r>
        <w:rPr>
          <w:rFonts w:ascii="Times New Roman" w:eastAsia="Times New Roman" w:hAnsi="Times New Roman"/>
        </w:rPr>
        <w:t xml:space="preserve"> values</w:t>
      </w:r>
      <w:r w:rsidR="0001211D">
        <w:rPr>
          <w:rFonts w:ascii="Times New Roman" w:eastAsia="Times New Roman" w:hAnsi="Times New Roman"/>
        </w:rPr>
        <w:t xml:space="preserve"> &gt; 0.7</w:t>
      </w:r>
      <w:r w:rsidR="001B1E94">
        <w:rPr>
          <w:rFonts w:ascii="Times New Roman" w:eastAsia="Times New Roman" w:hAnsi="Times New Roman"/>
        </w:rPr>
        <w:t xml:space="preserve"> up to </w:t>
      </w:r>
      <w:r w:rsidR="0001211D">
        <w:rPr>
          <w:rFonts w:ascii="Times New Roman" w:eastAsia="Times New Roman" w:hAnsi="Times New Roman"/>
        </w:rPr>
        <w:t>20 km distance between grid cells</w:t>
      </w:r>
      <w:r w:rsidR="008873DB">
        <w:rPr>
          <w:rFonts w:ascii="Times New Roman" w:eastAsia="Times New Roman" w:hAnsi="Times New Roman"/>
        </w:rPr>
        <w:t>)</w:t>
      </w:r>
      <w:r>
        <w:rPr>
          <w:rFonts w:ascii="Times New Roman" w:eastAsia="Times New Roman" w:hAnsi="Times New Roman"/>
        </w:rPr>
        <w:t>,</w:t>
      </w:r>
      <w:r w:rsidR="00262D09">
        <w:rPr>
          <w:rFonts w:ascii="Times New Roman" w:eastAsia="Times New Roman" w:hAnsi="Times New Roman"/>
        </w:rPr>
        <w:t xml:space="preserve"> suggesting the need for a spatial model.</w:t>
      </w:r>
      <w:r w:rsidR="00573D37" w:rsidRPr="00FF5267">
        <w:rPr>
          <w:rFonts w:ascii="Times New Roman" w:hAnsi="Times New Roman"/>
        </w:rPr>
        <w:t xml:space="preserve"> </w:t>
      </w:r>
      <w:bookmarkStart w:id="3" w:name="OLE_LINK42"/>
      <w:bookmarkStart w:id="4" w:name="OLE_LINK43"/>
      <w:bookmarkStart w:id="5" w:name="OLE_LINK44"/>
      <w:r>
        <w:rPr>
          <w:rFonts w:ascii="Times New Roman" w:hAnsi="Times New Roman"/>
        </w:rPr>
        <w:t xml:space="preserve">To </w:t>
      </w:r>
      <w:r w:rsidR="00E87129">
        <w:rPr>
          <w:rFonts w:ascii="Times New Roman" w:hAnsi="Times New Roman"/>
        </w:rPr>
        <w:t>define a spatial weights matrix</w:t>
      </w:r>
      <w:r>
        <w:rPr>
          <w:rFonts w:ascii="Times New Roman" w:hAnsi="Times New Roman"/>
        </w:rPr>
        <w:t xml:space="preserve"> we used the knearneigh function (</w:t>
      </w:r>
      <w:r w:rsidR="001B1E94">
        <w:rPr>
          <w:rFonts w:ascii="Times New Roman" w:hAnsi="Times New Roman"/>
        </w:rPr>
        <w:t xml:space="preserve">with </w:t>
      </w:r>
      <w:r>
        <w:rPr>
          <w:rFonts w:ascii="Times New Roman" w:hAnsi="Times New Roman"/>
        </w:rPr>
        <w:t>k</w:t>
      </w:r>
      <w:r w:rsidR="001B1E94">
        <w:rPr>
          <w:rFonts w:ascii="Times New Roman" w:hAnsi="Times New Roman"/>
        </w:rPr>
        <w:t xml:space="preserve"> </w:t>
      </w:r>
      <w:r>
        <w:rPr>
          <w:rFonts w:ascii="Times New Roman" w:hAnsi="Times New Roman"/>
        </w:rPr>
        <w:t>=</w:t>
      </w:r>
      <w:r w:rsidR="001B1E94">
        <w:rPr>
          <w:rFonts w:ascii="Times New Roman" w:hAnsi="Times New Roman"/>
        </w:rPr>
        <w:t xml:space="preserve"> </w:t>
      </w:r>
      <w:r>
        <w:rPr>
          <w:rFonts w:ascii="Times New Roman" w:hAnsi="Times New Roman"/>
        </w:rPr>
        <w:t xml:space="preserve">1) to </w:t>
      </w:r>
      <w:r w:rsidR="001B1E94">
        <w:rPr>
          <w:rFonts w:ascii="Times New Roman" w:hAnsi="Times New Roman"/>
        </w:rPr>
        <w:t xml:space="preserve">derive </w:t>
      </w:r>
      <w:r w:rsidR="00E87129">
        <w:rPr>
          <w:rFonts w:ascii="Times New Roman" w:hAnsi="Times New Roman"/>
        </w:rPr>
        <w:t xml:space="preserve">the </w:t>
      </w:r>
      <w:r w:rsidR="001B1E94">
        <w:rPr>
          <w:rFonts w:ascii="Times New Roman" w:hAnsi="Times New Roman"/>
        </w:rPr>
        <w:t xml:space="preserve">minimum </w:t>
      </w:r>
      <w:r w:rsidR="00E87129">
        <w:rPr>
          <w:rFonts w:ascii="Times New Roman" w:hAnsi="Times New Roman"/>
        </w:rPr>
        <w:t xml:space="preserve">distance connecting each cell to at least one neighbor. Using this </w:t>
      </w:r>
      <w:r w:rsidR="001B1E94">
        <w:rPr>
          <w:rFonts w:ascii="Times New Roman" w:hAnsi="Times New Roman"/>
        </w:rPr>
        <w:t xml:space="preserve">minimum </w:t>
      </w:r>
      <w:r w:rsidR="00E87129">
        <w:rPr>
          <w:rFonts w:ascii="Times New Roman" w:hAnsi="Times New Roman"/>
        </w:rPr>
        <w:t xml:space="preserve">distance we </w:t>
      </w:r>
      <w:r w:rsidR="001B1E94">
        <w:rPr>
          <w:rFonts w:ascii="Times New Roman" w:hAnsi="Times New Roman"/>
        </w:rPr>
        <w:t>then</w:t>
      </w:r>
      <w:r w:rsidR="00E87129">
        <w:rPr>
          <w:rFonts w:ascii="Times New Roman" w:hAnsi="Times New Roman"/>
        </w:rPr>
        <w:t xml:space="preserve"> define</w:t>
      </w:r>
      <w:r w:rsidR="001B1E94">
        <w:rPr>
          <w:rFonts w:ascii="Times New Roman" w:hAnsi="Times New Roman"/>
        </w:rPr>
        <w:t>d</w:t>
      </w:r>
      <w:r w:rsidR="00E87129">
        <w:rPr>
          <w:rFonts w:ascii="Times New Roman" w:hAnsi="Times New Roman"/>
        </w:rPr>
        <w:t xml:space="preserve"> the neighborhood structure using the dnearneigh function, and create</w:t>
      </w:r>
      <w:r w:rsidR="001B1E94">
        <w:rPr>
          <w:rFonts w:ascii="Times New Roman" w:hAnsi="Times New Roman"/>
        </w:rPr>
        <w:t>d</w:t>
      </w:r>
      <w:r w:rsidR="00E87129">
        <w:rPr>
          <w:rFonts w:ascii="Times New Roman" w:hAnsi="Times New Roman"/>
        </w:rPr>
        <w:t xml:space="preserve"> </w:t>
      </w:r>
      <w:r w:rsidR="001B1E94">
        <w:rPr>
          <w:rFonts w:ascii="Times New Roman" w:hAnsi="Times New Roman"/>
        </w:rPr>
        <w:t xml:space="preserve">a </w:t>
      </w:r>
      <w:r w:rsidR="00E87129">
        <w:rPr>
          <w:rFonts w:ascii="Times New Roman" w:hAnsi="Times New Roman"/>
        </w:rPr>
        <w:t>spatial weights matrix using the nb2listw function</w:t>
      </w:r>
      <w:r w:rsidR="007466E4">
        <w:rPr>
          <w:rFonts w:ascii="Times New Roman" w:hAnsi="Times New Roman"/>
        </w:rPr>
        <w:t xml:space="preserve">, </w:t>
      </w:r>
      <w:r w:rsidR="001B1E94">
        <w:rPr>
          <w:rFonts w:ascii="Times New Roman" w:hAnsi="Times New Roman"/>
        </w:rPr>
        <w:t xml:space="preserve">for details see </w:t>
      </w:r>
      <w:r w:rsidR="007466E4">
        <w:rPr>
          <w:rFonts w:ascii="Times New Roman" w:hAnsi="Times New Roman"/>
        </w:rPr>
        <w:t>Kissling &amp; Carl (2008</w:t>
      </w:r>
      <w:r w:rsidR="001B1E94">
        <w:rPr>
          <w:rFonts w:ascii="Times New Roman" w:hAnsi="Times New Roman"/>
        </w:rPr>
        <w:t>)</w:t>
      </w:r>
      <w:bookmarkEnd w:id="3"/>
      <w:bookmarkEnd w:id="4"/>
      <w:bookmarkEnd w:id="5"/>
      <w:r w:rsidR="00E87129">
        <w:rPr>
          <w:rFonts w:ascii="Times New Roman" w:hAnsi="Times New Roman"/>
        </w:rPr>
        <w:t xml:space="preserve">. </w:t>
      </w:r>
      <w:r w:rsidR="009661F3">
        <w:rPr>
          <w:rFonts w:ascii="Times New Roman" w:hAnsi="Times New Roman"/>
        </w:rPr>
        <w:t xml:space="preserve">We then </w:t>
      </w:r>
      <w:r w:rsidR="001B1E94">
        <w:rPr>
          <w:rFonts w:ascii="Times New Roman" w:hAnsi="Times New Roman"/>
        </w:rPr>
        <w:t xml:space="preserve">used </w:t>
      </w:r>
      <w:r w:rsidR="009661F3">
        <w:rPr>
          <w:rFonts w:ascii="Times New Roman" w:hAnsi="Times New Roman"/>
        </w:rPr>
        <w:t>the</w:t>
      </w:r>
      <w:r w:rsidR="00E87129">
        <w:rPr>
          <w:rFonts w:ascii="Times New Roman" w:hAnsi="Times New Roman"/>
        </w:rPr>
        <w:t xml:space="preserve"> </w:t>
      </w:r>
      <w:r w:rsidR="009661F3">
        <w:rPr>
          <w:rFonts w:ascii="Times New Roman" w:hAnsi="Times New Roman"/>
        </w:rPr>
        <w:t>best GLM</w:t>
      </w:r>
      <w:r w:rsidR="001B1E94">
        <w:rPr>
          <w:rFonts w:ascii="Times New Roman" w:hAnsi="Times New Roman"/>
        </w:rPr>
        <w:t xml:space="preserve"> and r</w:t>
      </w:r>
      <w:r w:rsidR="003A4A29">
        <w:rPr>
          <w:rFonts w:ascii="Times New Roman" w:hAnsi="Times New Roman"/>
        </w:rPr>
        <w:t>a</w:t>
      </w:r>
      <w:r w:rsidR="001B1E94">
        <w:rPr>
          <w:rFonts w:ascii="Times New Roman" w:hAnsi="Times New Roman"/>
        </w:rPr>
        <w:t xml:space="preserve">n a </w:t>
      </w:r>
      <w:r w:rsidR="001B1E94" w:rsidRPr="00FF5267">
        <w:rPr>
          <w:rFonts w:ascii="Times New Roman" w:hAnsi="Times New Roman"/>
        </w:rPr>
        <w:t>spatial autoregressive error model</w:t>
      </w:r>
      <w:r w:rsidR="009661F3">
        <w:rPr>
          <w:rFonts w:ascii="Times New Roman" w:hAnsi="Times New Roman"/>
        </w:rPr>
        <w:t xml:space="preserve"> with the spatial weights matrix to account for spatial autocorrelation using the </w:t>
      </w:r>
      <w:r w:rsidR="00E87129" w:rsidRPr="00FF5267">
        <w:rPr>
          <w:rFonts w:ascii="Times New Roman" w:hAnsi="Times New Roman"/>
        </w:rPr>
        <w:t xml:space="preserve">errorsarlm </w:t>
      </w:r>
      <w:r w:rsidR="00E87129">
        <w:rPr>
          <w:rFonts w:ascii="Times New Roman" w:hAnsi="Times New Roman"/>
        </w:rPr>
        <w:t xml:space="preserve">function </w:t>
      </w:r>
      <w:r w:rsidR="00E87129" w:rsidRPr="00FF5267">
        <w:rPr>
          <w:rFonts w:ascii="Times New Roman" w:hAnsi="Times New Roman"/>
        </w:rPr>
        <w:t xml:space="preserve">in R package </w:t>
      </w:r>
      <w:r w:rsidR="00E87129">
        <w:rPr>
          <w:rFonts w:ascii="Times New Roman" w:hAnsi="Times New Roman"/>
        </w:rPr>
        <w:t>‘</w:t>
      </w:r>
      <w:r w:rsidR="00E87129" w:rsidRPr="00FF5267">
        <w:rPr>
          <w:rStyle w:val="Emphasis"/>
          <w:rFonts w:ascii="Times New Roman" w:hAnsi="Times New Roman"/>
        </w:rPr>
        <w:t>spdep</w:t>
      </w:r>
      <w:r w:rsidR="00E87129">
        <w:rPr>
          <w:rFonts w:ascii="Times New Roman" w:hAnsi="Times New Roman"/>
        </w:rPr>
        <w:t xml:space="preserve">’ </w:t>
      </w:r>
      <w:r w:rsidR="00E87129">
        <w:rPr>
          <w:rFonts w:ascii="Times New Roman" w:hAnsi="Times New Roman"/>
        </w:rPr>
        <w:fldChar w:fldCharType="begin" w:fldLock="1"/>
      </w:r>
      <w:r w:rsidR="00E87129">
        <w:rPr>
          <w:rFonts w:ascii="Times New Roman" w:hAnsi="Times New Roman"/>
        </w:rPr>
        <w:instrText>ADDIN CSL_CITATION { "citationItems" : [ { "id" : "ITEM-1", "itemData" : { "abstract" : "Manual de las funciones del package spdep. Incluye functions to create spatial weights matrix objects from polygon contiguities, from point patterns by distance and tesselations, for summarising these objects, and for permitting their use in spatial data analysis, including regional aggregation by minimum spanning tree; a collection of tests for spatial autocorrelation, including global Moran\u2019s I,APLE, Geary\u2019s C, Hubert/Mantel general cross product statistic,Empirical Bayes estimates and Assun\u00e7\u00e3o/Reis Index, Getis/Ord G and multicoloured join count statistics, local Moran\u2019s I and Getis/Ord G, saddlepoint approximations and exact tests for global and local Moran\u2019s I; and functions for estimating spatial simultaneous autoregressive (SAR) lag and error models,impact measures for lag mod- els, weighted and unweighted SAR and CAR spatial regression models, semi-parametric and Moran eigenvector spatial filtering, GM SAR error models, and generalized spatial two stage least squares models.", "author" : [ { "dropping-particle" : "", "family" : "Anselin", "given" : "Luc", "non-dropping-particle" : "", "parse-names" : false, "suffix" : "" }, { "dropping-particle" : "", "family" : "Assun\u00e7\u00e3o", "given" : "Renato", "non-dropping-particle" : "", "parse-names" : false, "suffix" : "" }, { "dropping-particle" : "", "family" : "Berke", "given" : "Olaf", "non-dropping-particle" : "", "parse-names" : false, "suffix" : "" }, { "dropping-particle" : "", "family" : "Blanchet", "given" : "Guillaume", "non-dropping-particle" : "", "parse-names" : false, "suffix" : "" }, { "dropping-particle" : "", "family" : "Blankmeyer", "given" : "Eric", "non-dropping-particle" : "", "parse-names" : false, "suffix" : "" }, { "dropping-particle" : "", "family" : "Carvalho", "given" : "Marilia", "non-dropping-particle" : "", "parse-names" : false, "suffix" : "" }, { "dropping-particle" : "", "family" : "Christensen", "given" : "Bjarke", "non-dropping-particle" : "", "parse-names" : false, "suffix" : "" }, { "dropping-particle" : "", "family" : "Dormann", "given" : "Carsten", "non-dropping-particle" : "", "parse-names" : false, "suffix" : "" }, { "dropping-particle" : "", "family" : "Halbersma", "given" : "Rein", "non-dropping-particle" : "", "parse-names" : false, "suffix" : "" }, { "dropping-particle" : "", "family" : "Krainski", "given" : "Elias", "non-dropping-particle" : "", "parse-names" : false, "suffix" : "" }, { "dropping-particle" : "", "family" : "Legendre", "given" : "Pierre", "non-dropping-particle" : "", "parse-names" : false, "suffix" : "" }, { "dropping-particle" : "", "family" : "Li", "given" : "Hongfei", "non-dropping-particle" : "", "parse-names" : false, "suffix" : "" }, { "dropping-particle" : "", "family" : "Ma", "given" : "Jielai", "non-dropping-particle" : "", "parse-names" : false, "suffix" : "" }, { "dropping-particle" : "", "family" : "Millo", "given" : "Giovanni", "non-dropping-particle" : "", "parse-names" : false, "suffix" : "" }, { "dropping-particle" : "", "family" : "Ono", "given" : "Hisaji", "non-dropping-particle" : "", "parse-names" : false, "suffix" : "" }, { "dropping-particle" : "", "family" : "Peres-neto", "given" : "Pedro", "non-dropping-particle" : "", "parse-names" : false, "suffix" : "" }, { "dropping-particle" : "", "family" : "Piras", "given" : "Gianfranco", "non-dropping-particle" : "", "parse-names" : false, "suffix" : "" }, { "dropping-particle" : "", "family" : "Tiefelsdorf", "given" : "Michael", "non-dropping-particle" : "", "parse-names" : false, "suffix" : "" }, { "dropping-particle" : "", "family" : "Yu", "given" : "Danlin", "non-dropping-particle" : "", "parse-names" : false, "suffix" : "" }, { "dropping-particle" : "", "family" : "Rogerbivandnhhno", "given" : "Maintainer Roger Bivand", "non-dropping-particle" : "", "parse-names" : false, "suffix" : "" } ], "container-title" : "R-Cran", "id" : "ITEM-1", "issued" : { "date-parts" : [ [ "2012" ] ] }, "page" : "1-204", "title" : "Package \u2018 spdep \u2019", "type" : "article-journal" }, "uris" : [ "http://www.mendeley.com/documents/?uuid=1d47445c-b90f-4410-9888-7aae73f8106b" ] } ], "mendeley" : { "formattedCitation" : "(Anselin et al., 2012)", "plainTextFormattedCitation" : "(Anselin et al., 2012)", "previouslyFormattedCitation" : "(Anselin et al., 2012)" }, "properties" : { "noteIndex" : 0 }, "schema" : "https://github.com/citation-style-language/schema/raw/master/csl-citation.json" }</w:instrText>
      </w:r>
      <w:r w:rsidR="00E87129">
        <w:rPr>
          <w:rFonts w:ascii="Times New Roman" w:hAnsi="Times New Roman"/>
        </w:rPr>
        <w:fldChar w:fldCharType="separate"/>
      </w:r>
      <w:r w:rsidR="00E87129" w:rsidRPr="00FF5267">
        <w:rPr>
          <w:rFonts w:ascii="Times New Roman" w:hAnsi="Times New Roman"/>
          <w:noProof/>
        </w:rPr>
        <w:t>(</w:t>
      </w:r>
      <w:r w:rsidR="007466E4">
        <w:rPr>
          <w:rFonts w:ascii="Times New Roman" w:hAnsi="Times New Roman"/>
          <w:noProof/>
        </w:rPr>
        <w:t>Bivand &amp; Piras, 2015</w:t>
      </w:r>
      <w:r w:rsidR="00E87129" w:rsidRPr="00FF5267">
        <w:rPr>
          <w:rFonts w:ascii="Times New Roman" w:hAnsi="Times New Roman"/>
          <w:noProof/>
        </w:rPr>
        <w:t>)</w:t>
      </w:r>
      <w:r w:rsidR="00E87129">
        <w:rPr>
          <w:rFonts w:ascii="Times New Roman" w:hAnsi="Times New Roman"/>
        </w:rPr>
        <w:fldChar w:fldCharType="end"/>
      </w:r>
      <w:r w:rsidR="009661F3">
        <w:rPr>
          <w:rFonts w:ascii="Times New Roman" w:hAnsi="Times New Roman"/>
        </w:rPr>
        <w:t xml:space="preserve">. </w:t>
      </w:r>
      <w:r w:rsidR="001B1E94">
        <w:rPr>
          <w:rFonts w:ascii="Times New Roman" w:hAnsi="Times New Roman"/>
        </w:rPr>
        <w:t xml:space="preserve">This </w:t>
      </w:r>
      <w:r w:rsidR="001B1E94" w:rsidRPr="00FF5267">
        <w:rPr>
          <w:rFonts w:ascii="Times New Roman" w:hAnsi="Times New Roman"/>
        </w:rPr>
        <w:t>spatial autoregressive error model</w:t>
      </w:r>
      <w:r w:rsidR="009661F3">
        <w:rPr>
          <w:rFonts w:ascii="Times New Roman" w:hAnsi="Times New Roman"/>
        </w:rPr>
        <w:t xml:space="preserve"> </w:t>
      </w:r>
      <w:r w:rsidR="001B1E94">
        <w:rPr>
          <w:rFonts w:ascii="Times New Roman" w:hAnsi="Times New Roman"/>
        </w:rPr>
        <w:t xml:space="preserve">accounted for </w:t>
      </w:r>
      <w:r w:rsidR="009661F3">
        <w:rPr>
          <w:rFonts w:ascii="Times New Roman" w:hAnsi="Times New Roman"/>
        </w:rPr>
        <w:t xml:space="preserve">spatial autocorrelation </w:t>
      </w:r>
      <w:r w:rsidR="001B1E94">
        <w:rPr>
          <w:rFonts w:ascii="Times New Roman" w:hAnsi="Times New Roman"/>
        </w:rPr>
        <w:t xml:space="preserve">in GLM residuals across all </w:t>
      </w:r>
      <w:r w:rsidR="009661F3">
        <w:rPr>
          <w:rFonts w:ascii="Times New Roman" w:hAnsi="Times New Roman"/>
        </w:rPr>
        <w:t>distance classes (Table</w:t>
      </w:r>
      <w:r w:rsidR="00090B39">
        <w:rPr>
          <w:rFonts w:ascii="Times New Roman" w:hAnsi="Times New Roman"/>
        </w:rPr>
        <w:t>s</w:t>
      </w:r>
      <w:r w:rsidR="009661F3">
        <w:rPr>
          <w:rFonts w:ascii="Times New Roman" w:hAnsi="Times New Roman"/>
        </w:rPr>
        <w:t xml:space="preserve"> S</w:t>
      </w:r>
      <w:r w:rsidR="00090B39">
        <w:rPr>
          <w:rFonts w:ascii="Times New Roman" w:hAnsi="Times New Roman"/>
        </w:rPr>
        <w:t>6, S7</w:t>
      </w:r>
      <w:r w:rsidR="009661F3">
        <w:rPr>
          <w:rFonts w:ascii="Times New Roman" w:hAnsi="Times New Roman"/>
        </w:rPr>
        <w:t>).</w:t>
      </w:r>
    </w:p>
    <w:p w14:paraId="4708356A" w14:textId="77777777" w:rsidR="00EC6BF9" w:rsidRPr="00C0220D" w:rsidRDefault="00EC6BF9" w:rsidP="00C87694">
      <w:pPr>
        <w:spacing w:line="360" w:lineRule="auto"/>
        <w:rPr>
          <w:rFonts w:ascii="Times New Roman" w:hAnsi="Times New Roman"/>
          <w:b/>
        </w:rPr>
      </w:pPr>
    </w:p>
    <w:p w14:paraId="20F5EBF7" w14:textId="525A4281" w:rsidR="00EC6BF9" w:rsidRPr="00C0220D" w:rsidRDefault="004F7D79" w:rsidP="00C87694">
      <w:pPr>
        <w:spacing w:line="360" w:lineRule="auto"/>
        <w:rPr>
          <w:rFonts w:ascii="Times New Roman" w:hAnsi="Times New Roman"/>
          <w:b/>
        </w:rPr>
      </w:pPr>
      <w:r w:rsidRPr="00C0220D">
        <w:rPr>
          <w:rFonts w:ascii="Times New Roman" w:hAnsi="Times New Roman"/>
          <w:b/>
        </w:rPr>
        <w:t>References</w:t>
      </w:r>
    </w:p>
    <w:p w14:paraId="0F04D4C2" w14:textId="08508DFE" w:rsidR="00EE2A35" w:rsidRDefault="004F7D79" w:rsidP="00EE2A35">
      <w:pPr>
        <w:rPr>
          <w:rFonts w:ascii="Times New Roman" w:hAnsi="Times New Roman"/>
        </w:rPr>
      </w:pPr>
      <w:r w:rsidRPr="0088007D">
        <w:rPr>
          <w:rFonts w:ascii="Times New Roman" w:hAnsi="Times New Roman"/>
          <w:b/>
        </w:rPr>
        <w:fldChar w:fldCharType="begin" w:fldLock="1"/>
      </w:r>
      <w:r w:rsidRPr="0088007D">
        <w:rPr>
          <w:rFonts w:ascii="Times New Roman" w:hAnsi="Times New Roman"/>
          <w:b/>
        </w:rPr>
        <w:instrText xml:space="preserve">ADDIN Mendeley Bibliography CSL_BIBLIOGRAPHY </w:instrText>
      </w:r>
      <w:r w:rsidRPr="0088007D">
        <w:rPr>
          <w:rFonts w:ascii="Times New Roman" w:hAnsi="Times New Roman"/>
          <w:b/>
        </w:rPr>
        <w:fldChar w:fldCharType="separate"/>
      </w:r>
    </w:p>
    <w:p w14:paraId="20D05F88" w14:textId="716E6822" w:rsidR="004F7D79" w:rsidRDefault="004F7D79" w:rsidP="004F7D79">
      <w:pPr>
        <w:widowControl w:val="0"/>
        <w:autoSpaceDE w:val="0"/>
        <w:autoSpaceDN w:val="0"/>
        <w:adjustRightInd w:val="0"/>
        <w:spacing w:line="360" w:lineRule="auto"/>
        <w:ind w:left="480" w:hanging="480"/>
        <w:rPr>
          <w:rFonts w:ascii="Times New Roman" w:hAnsi="Times New Roman"/>
        </w:rPr>
      </w:pPr>
      <w:r w:rsidRPr="00220EDE">
        <w:rPr>
          <w:rFonts w:ascii="Times New Roman" w:hAnsi="Times New Roman"/>
        </w:rPr>
        <w:lastRenderedPageBreak/>
        <w:t>Bivand,</w:t>
      </w:r>
      <w:r>
        <w:rPr>
          <w:rFonts w:ascii="Times New Roman" w:hAnsi="Times New Roman"/>
        </w:rPr>
        <w:t xml:space="preserve"> R. &amp;</w:t>
      </w:r>
      <w:r w:rsidRPr="00220EDE">
        <w:rPr>
          <w:rFonts w:ascii="Times New Roman" w:hAnsi="Times New Roman"/>
        </w:rPr>
        <w:t xml:space="preserve"> Piras</w:t>
      </w:r>
      <w:r>
        <w:rPr>
          <w:rFonts w:ascii="Times New Roman" w:hAnsi="Times New Roman"/>
        </w:rPr>
        <w:t>, G.</w:t>
      </w:r>
      <w:r w:rsidRPr="00220EDE">
        <w:rPr>
          <w:rFonts w:ascii="Times New Roman" w:hAnsi="Times New Roman"/>
        </w:rPr>
        <w:t xml:space="preserve"> (2015) Comparing implementations of estimation methods for spatial econometrics. </w:t>
      </w:r>
      <w:r w:rsidRPr="00220EDE">
        <w:rPr>
          <w:rFonts w:ascii="Times New Roman" w:hAnsi="Times New Roman"/>
          <w:i/>
        </w:rPr>
        <w:t xml:space="preserve">Journal of Statistical Software, </w:t>
      </w:r>
      <w:r w:rsidRPr="00220EDE">
        <w:rPr>
          <w:rFonts w:ascii="Times New Roman" w:hAnsi="Times New Roman"/>
        </w:rPr>
        <w:t xml:space="preserve">63, 1-36. </w:t>
      </w:r>
      <w:r w:rsidR="00702BFC">
        <w:rPr>
          <w:rFonts w:ascii="Times New Roman" w:hAnsi="Times New Roman"/>
        </w:rPr>
        <w:t xml:space="preserve">Available from: </w:t>
      </w:r>
      <w:r w:rsidRPr="00220EDE">
        <w:rPr>
          <w:rFonts w:ascii="Times New Roman" w:hAnsi="Times New Roman"/>
        </w:rPr>
        <w:t>http://www.jstatsoft.org/v63/i18/.</w:t>
      </w:r>
    </w:p>
    <w:p w14:paraId="6EDAA452" w14:textId="77777777" w:rsidR="00EE2A35" w:rsidRDefault="00EE2A35" w:rsidP="00EE2A35">
      <w:pPr>
        <w:widowControl w:val="0"/>
        <w:autoSpaceDE w:val="0"/>
        <w:autoSpaceDN w:val="0"/>
        <w:adjustRightInd w:val="0"/>
        <w:spacing w:line="360" w:lineRule="auto"/>
        <w:ind w:left="480" w:hanging="480"/>
        <w:rPr>
          <w:rFonts w:ascii="Times New Roman" w:hAnsi="Times New Roman"/>
        </w:rPr>
      </w:pPr>
      <w:r w:rsidRPr="00D0277C">
        <w:rPr>
          <w:rFonts w:ascii="Times New Roman" w:hAnsi="Times New Roman"/>
        </w:rPr>
        <w:t>Bouckaert, R., Heled, J., Kühnert, D., Vaughan, T., Wu, C-H., Xie, D., Suchard, M</w:t>
      </w:r>
      <w:r>
        <w:rPr>
          <w:rFonts w:ascii="Times New Roman" w:hAnsi="Times New Roman"/>
        </w:rPr>
        <w:t>.</w:t>
      </w:r>
      <w:r w:rsidRPr="00D0277C">
        <w:rPr>
          <w:rFonts w:ascii="Times New Roman" w:hAnsi="Times New Roman"/>
        </w:rPr>
        <w:t xml:space="preserve">A., Rambaut, A., &amp; Drummond, A.J. (2014). BEAST 2: A Software </w:t>
      </w:r>
      <w:r>
        <w:rPr>
          <w:rFonts w:ascii="Times New Roman" w:hAnsi="Times New Roman"/>
        </w:rPr>
        <w:t>p</w:t>
      </w:r>
      <w:r w:rsidRPr="00D0277C">
        <w:rPr>
          <w:rFonts w:ascii="Times New Roman" w:hAnsi="Times New Roman"/>
        </w:rPr>
        <w:t xml:space="preserve">latform for Bayesian </w:t>
      </w:r>
      <w:r>
        <w:rPr>
          <w:rFonts w:ascii="Times New Roman" w:hAnsi="Times New Roman"/>
        </w:rPr>
        <w:t>e</w:t>
      </w:r>
      <w:r w:rsidRPr="00D0277C">
        <w:rPr>
          <w:rFonts w:ascii="Times New Roman" w:hAnsi="Times New Roman"/>
        </w:rPr>
        <w:t xml:space="preserve">volutionary </w:t>
      </w:r>
      <w:r>
        <w:rPr>
          <w:rFonts w:ascii="Times New Roman" w:hAnsi="Times New Roman"/>
        </w:rPr>
        <w:t>a</w:t>
      </w:r>
      <w:r w:rsidRPr="00D0277C">
        <w:rPr>
          <w:rFonts w:ascii="Times New Roman" w:hAnsi="Times New Roman"/>
        </w:rPr>
        <w:t xml:space="preserve">nalysis. </w:t>
      </w:r>
      <w:r w:rsidRPr="00D0277C">
        <w:rPr>
          <w:rFonts w:ascii="Times New Roman" w:hAnsi="Times New Roman"/>
          <w:i/>
        </w:rPr>
        <w:t>PLoS Computational Biology</w:t>
      </w:r>
      <w:r w:rsidRPr="00D0277C">
        <w:rPr>
          <w:rFonts w:ascii="Times New Roman" w:hAnsi="Times New Roman"/>
        </w:rPr>
        <w:t>, 10, e1003537. doi:10.1371/journal.pcbi.1003537</w:t>
      </w:r>
      <w:r>
        <w:rPr>
          <w:rFonts w:ascii="Times New Roman" w:hAnsi="Times New Roman"/>
        </w:rPr>
        <w:t>.</w:t>
      </w:r>
    </w:p>
    <w:p w14:paraId="7BB521B2" w14:textId="26D886FD" w:rsidR="00EE2A35" w:rsidRPr="00EE2A35" w:rsidRDefault="00EE2A35" w:rsidP="00EE2A35">
      <w:pPr>
        <w:spacing w:line="360" w:lineRule="auto"/>
        <w:ind w:left="454" w:hanging="454"/>
        <w:rPr>
          <w:rFonts w:ascii="Times New Roman" w:eastAsia="Times New Roman" w:hAnsi="Times New Roman"/>
          <w:lang w:val="en-GB" w:eastAsia="en-GB"/>
        </w:rPr>
      </w:pPr>
      <w:r w:rsidRPr="00EE2A35">
        <w:rPr>
          <w:rFonts w:ascii="Times New Roman" w:hAnsi="Times New Roman"/>
        </w:rPr>
        <w:t xml:space="preserve">Braconnot, P., Otto-Bliesner, B., Harrison, S., Joussaume, S., Peterchmitt, J.-Y., Abe-Ouchi, A., Crucifix, M., Driesschaert, E., Fichefet, T., Hewitt, C.D., Kageyama, M., Kitoh, A., Laîné, A., Loutre, M.-F. , Marti, O., Merkel, U., Ramstein, G., Valdes, P., Weber, S.L., Yu, Y., Zhao, Y. </w:t>
      </w:r>
      <w:r w:rsidRPr="00EE2A35" w:rsidDel="00EE2A35">
        <w:rPr>
          <w:rFonts w:ascii="Times New Roman" w:eastAsia="Times New Roman" w:hAnsi="Times New Roman"/>
          <w:lang w:val="en-GB" w:eastAsia="en-GB"/>
        </w:rPr>
        <w:t xml:space="preserve"> </w:t>
      </w:r>
      <w:r w:rsidRPr="00EE2A35">
        <w:rPr>
          <w:rFonts w:ascii="Times New Roman" w:eastAsia="Times New Roman" w:hAnsi="Times New Roman"/>
          <w:lang w:val="en-GB" w:eastAsia="en-GB"/>
        </w:rPr>
        <w:t xml:space="preserve">(2007) Results of PMIP2 coupled simulations of the Mid-Holocene and Last Glacial Maximum - Part 1: experiments and large-scale features. </w:t>
      </w:r>
      <w:r w:rsidRPr="00EE2A35">
        <w:rPr>
          <w:rFonts w:ascii="Times New Roman" w:eastAsia="Times New Roman" w:hAnsi="Times New Roman"/>
          <w:i/>
          <w:lang w:val="en-GB" w:eastAsia="en-GB"/>
        </w:rPr>
        <w:t>Climate of the Past</w:t>
      </w:r>
      <w:r w:rsidRPr="00EE2A35">
        <w:rPr>
          <w:rFonts w:ascii="Times New Roman" w:eastAsia="Times New Roman" w:hAnsi="Times New Roman"/>
          <w:lang w:val="en-GB" w:eastAsia="en-GB"/>
        </w:rPr>
        <w:t xml:space="preserve">, </w:t>
      </w:r>
      <w:r w:rsidRPr="00EE2A35">
        <w:rPr>
          <w:rFonts w:ascii="Times New Roman" w:eastAsia="Times New Roman" w:hAnsi="Times New Roman"/>
          <w:b/>
          <w:lang w:val="en-GB" w:eastAsia="en-GB"/>
        </w:rPr>
        <w:t>3</w:t>
      </w:r>
      <w:r w:rsidRPr="00EE2A35">
        <w:rPr>
          <w:rFonts w:ascii="Times New Roman" w:eastAsia="Times New Roman" w:hAnsi="Times New Roman"/>
          <w:lang w:val="en-GB" w:eastAsia="en-GB"/>
        </w:rPr>
        <w:t>, 2</w:t>
      </w:r>
      <w:r>
        <w:rPr>
          <w:rFonts w:ascii="Times New Roman" w:eastAsia="Times New Roman" w:hAnsi="Times New Roman"/>
          <w:lang w:val="en-GB" w:eastAsia="en-GB"/>
        </w:rPr>
        <w:t>79</w:t>
      </w:r>
      <w:r w:rsidRPr="00EE2A35">
        <w:rPr>
          <w:rFonts w:ascii="Times New Roman" w:eastAsia="Times New Roman" w:hAnsi="Times New Roman"/>
          <w:lang w:val="en-GB" w:eastAsia="en-GB"/>
        </w:rPr>
        <w:t>–27</w:t>
      </w:r>
      <w:r>
        <w:rPr>
          <w:rFonts w:ascii="Times New Roman" w:eastAsia="Times New Roman" w:hAnsi="Times New Roman"/>
          <w:lang w:val="en-GB" w:eastAsia="en-GB"/>
        </w:rPr>
        <w:t>6.</w:t>
      </w:r>
    </w:p>
    <w:p w14:paraId="34634FD7" w14:textId="77777777" w:rsidR="004F7D79" w:rsidRDefault="004F7D79" w:rsidP="004F7D79">
      <w:pPr>
        <w:widowControl w:val="0"/>
        <w:autoSpaceDE w:val="0"/>
        <w:autoSpaceDN w:val="0"/>
        <w:adjustRightInd w:val="0"/>
        <w:spacing w:line="360" w:lineRule="auto"/>
        <w:ind w:left="480" w:hanging="480"/>
        <w:rPr>
          <w:rFonts w:ascii="Times New Roman" w:hAnsi="Times New Roman"/>
          <w:noProof/>
        </w:rPr>
      </w:pPr>
      <w:r w:rsidRPr="0088007D">
        <w:rPr>
          <w:rFonts w:ascii="Times New Roman" w:hAnsi="Times New Roman"/>
          <w:noProof/>
        </w:rPr>
        <w:t xml:space="preserve">Calcagno, V. &amp; de Mazancourt, C. (2010) glmulti : An R package for easy automated model selection with (generalized ) linear models. </w:t>
      </w:r>
      <w:r w:rsidRPr="0088007D">
        <w:rPr>
          <w:rFonts w:ascii="Times New Roman" w:hAnsi="Times New Roman"/>
          <w:i/>
          <w:iCs/>
          <w:noProof/>
        </w:rPr>
        <w:t>Journal of Statistical Software</w:t>
      </w:r>
      <w:r w:rsidRPr="0088007D">
        <w:rPr>
          <w:rFonts w:ascii="Times New Roman" w:hAnsi="Times New Roman"/>
          <w:noProof/>
        </w:rPr>
        <w:t xml:space="preserve">, </w:t>
      </w:r>
      <w:r w:rsidRPr="0088007D">
        <w:rPr>
          <w:rFonts w:ascii="Times New Roman" w:hAnsi="Times New Roman"/>
          <w:b/>
          <w:bCs/>
          <w:noProof/>
        </w:rPr>
        <w:t>34</w:t>
      </w:r>
      <w:r w:rsidRPr="0088007D">
        <w:rPr>
          <w:rFonts w:ascii="Times New Roman" w:hAnsi="Times New Roman"/>
          <w:noProof/>
        </w:rPr>
        <w:t xml:space="preserve">, 1-29. </w:t>
      </w:r>
    </w:p>
    <w:p w14:paraId="64B84726" w14:textId="77777777" w:rsidR="009C283C" w:rsidRPr="0088007D" w:rsidRDefault="009C283C" w:rsidP="009C283C">
      <w:pPr>
        <w:spacing w:line="360" w:lineRule="auto"/>
        <w:ind w:left="482" w:hanging="482"/>
        <w:rPr>
          <w:rFonts w:ascii="Times New Roman" w:hAnsi="Times New Roman"/>
        </w:rPr>
      </w:pPr>
      <w:r w:rsidRPr="0088007D">
        <w:rPr>
          <w:rFonts w:ascii="Times New Roman" w:hAnsi="Times New Roman"/>
        </w:rPr>
        <w:t>Frost, D.R. (2016) Amphibian Species of the World: an Online Reference. Version 6.0 (</w:t>
      </w:r>
      <w:r w:rsidRPr="0088007D">
        <w:rPr>
          <w:rFonts w:ascii="Times New Roman" w:hAnsi="Times New Roman"/>
          <w:i/>
          <w:iCs/>
        </w:rPr>
        <w:t>1 October 2016</w:t>
      </w:r>
      <w:r w:rsidRPr="0088007D">
        <w:rPr>
          <w:rFonts w:ascii="Times New Roman" w:hAnsi="Times New Roman"/>
        </w:rPr>
        <w:t xml:space="preserve">). Electronic Database </w:t>
      </w:r>
      <w:r>
        <w:rPr>
          <w:rFonts w:ascii="Times New Roman" w:hAnsi="Times New Roman"/>
        </w:rPr>
        <w:t>available from:</w:t>
      </w:r>
      <w:r w:rsidRPr="0088007D">
        <w:rPr>
          <w:rFonts w:ascii="Times New Roman" w:hAnsi="Times New Roman"/>
        </w:rPr>
        <w:t xml:space="preserve"> http://research.amnh.org/herpetology/amphibia/index.html. American Museum of Natural History, New York, USA. </w:t>
      </w:r>
    </w:p>
    <w:p w14:paraId="0EB10A10" w14:textId="77777777" w:rsidR="004F7D79" w:rsidRPr="0088007D" w:rsidRDefault="004F7D79" w:rsidP="004F7D79">
      <w:pPr>
        <w:widowControl w:val="0"/>
        <w:autoSpaceDE w:val="0"/>
        <w:autoSpaceDN w:val="0"/>
        <w:adjustRightInd w:val="0"/>
        <w:spacing w:line="360" w:lineRule="auto"/>
        <w:ind w:left="480" w:hanging="480"/>
        <w:rPr>
          <w:rFonts w:ascii="Times New Roman" w:hAnsi="Times New Roman"/>
          <w:noProof/>
        </w:rPr>
      </w:pPr>
      <w:r w:rsidRPr="0088007D">
        <w:rPr>
          <w:rFonts w:ascii="Times New Roman" w:hAnsi="Times New Roman"/>
          <w:noProof/>
        </w:rPr>
        <w:t xml:space="preserve">Graham, C.H., VanDerWal, J., Phillips, S.J., Moritz, C. &amp; Williams, S.E. (2010) Dynamic refugia and species persistence: Tracking spatial shifts in habitat through time. </w:t>
      </w:r>
      <w:r w:rsidRPr="0088007D">
        <w:rPr>
          <w:rFonts w:ascii="Times New Roman" w:hAnsi="Times New Roman"/>
          <w:i/>
          <w:iCs/>
          <w:noProof/>
        </w:rPr>
        <w:t>Ecography</w:t>
      </w:r>
      <w:r w:rsidRPr="0088007D">
        <w:rPr>
          <w:rFonts w:ascii="Times New Roman" w:hAnsi="Times New Roman"/>
          <w:noProof/>
        </w:rPr>
        <w:t xml:space="preserve">, </w:t>
      </w:r>
      <w:r w:rsidRPr="0088007D">
        <w:rPr>
          <w:rFonts w:ascii="Times New Roman" w:hAnsi="Times New Roman"/>
          <w:b/>
          <w:bCs/>
          <w:noProof/>
        </w:rPr>
        <w:t>33</w:t>
      </w:r>
      <w:r w:rsidRPr="0088007D">
        <w:rPr>
          <w:rFonts w:ascii="Times New Roman" w:hAnsi="Times New Roman"/>
          <w:noProof/>
        </w:rPr>
        <w:t xml:space="preserve">, 1062-1069. </w:t>
      </w:r>
    </w:p>
    <w:p w14:paraId="33EC4D45" w14:textId="77777777" w:rsidR="004F7D79" w:rsidRPr="0088007D" w:rsidRDefault="004F7D79" w:rsidP="004F7D79">
      <w:pPr>
        <w:pStyle w:val="CommentText"/>
        <w:spacing w:line="360" w:lineRule="auto"/>
        <w:ind w:left="454" w:hanging="454"/>
        <w:rPr>
          <w:rFonts w:ascii="Times New Roman" w:hAnsi="Times New Roman"/>
        </w:rPr>
      </w:pPr>
      <w:r w:rsidRPr="0088007D">
        <w:rPr>
          <w:rFonts w:ascii="Times New Roman" w:hAnsi="Times New Roman"/>
        </w:rPr>
        <w:t xml:space="preserve">Hijmans, R.J., Cameron, S.E., Parra, J.L., Jones, P.G. &amp; Jarvis, A. (2005) Very high resolution interpolated climate surfaces for global land areas. </w:t>
      </w:r>
      <w:r w:rsidRPr="0088007D">
        <w:rPr>
          <w:rFonts w:ascii="Times New Roman" w:hAnsi="Times New Roman"/>
          <w:i/>
        </w:rPr>
        <w:t>International Journal of Climatology</w:t>
      </w:r>
      <w:r w:rsidRPr="0088007D">
        <w:rPr>
          <w:rFonts w:ascii="Times New Roman" w:hAnsi="Times New Roman"/>
        </w:rPr>
        <w:t xml:space="preserve">, </w:t>
      </w:r>
      <w:r w:rsidRPr="0088007D">
        <w:rPr>
          <w:rFonts w:ascii="Times New Roman" w:hAnsi="Times New Roman"/>
          <w:b/>
        </w:rPr>
        <w:t>25</w:t>
      </w:r>
      <w:r w:rsidRPr="0088007D">
        <w:rPr>
          <w:rFonts w:ascii="Times New Roman" w:hAnsi="Times New Roman"/>
        </w:rPr>
        <w:t>, 1965-1978.</w:t>
      </w:r>
    </w:p>
    <w:p w14:paraId="0E09B2E2" w14:textId="44CD5D56" w:rsidR="004F7D79" w:rsidRPr="0088007D" w:rsidRDefault="00D95608" w:rsidP="004F7D79">
      <w:pPr>
        <w:pStyle w:val="CommentText"/>
        <w:spacing w:line="360" w:lineRule="auto"/>
        <w:ind w:left="482" w:hanging="482"/>
        <w:rPr>
          <w:rFonts w:ascii="Times New Roman" w:eastAsia="Calibri" w:hAnsi="Times New Roman"/>
          <w:lang w:val="en-GB"/>
        </w:rPr>
      </w:pPr>
      <w:r>
        <w:rPr>
          <w:rFonts w:ascii="Times New Roman" w:eastAsia="Calibri" w:hAnsi="Times New Roman"/>
          <w:lang w:val="en-GB"/>
        </w:rPr>
        <w:t>K</w:t>
      </w:r>
      <w:r w:rsidR="004F7D79" w:rsidRPr="0088007D">
        <w:rPr>
          <w:rFonts w:ascii="Times New Roman" w:eastAsia="Calibri" w:hAnsi="Times New Roman"/>
          <w:lang w:val="en-GB"/>
        </w:rPr>
        <w:t xml:space="preserve">issling, W.D. &amp; Carl, G. (2008) Spatial autocorrelation and the selection of simultaneous autoregressive models. </w:t>
      </w:r>
      <w:r w:rsidR="004F7D79" w:rsidRPr="0088007D">
        <w:rPr>
          <w:rFonts w:ascii="Times New Roman" w:eastAsia="Calibri" w:hAnsi="Times New Roman"/>
          <w:i/>
          <w:iCs/>
          <w:lang w:val="en-GB"/>
        </w:rPr>
        <w:t>Global Ecology and Biogeography</w:t>
      </w:r>
      <w:r w:rsidR="004F7D79" w:rsidRPr="0088007D">
        <w:rPr>
          <w:rFonts w:ascii="Times New Roman" w:eastAsia="Calibri" w:hAnsi="Times New Roman"/>
          <w:lang w:val="en-GB"/>
        </w:rPr>
        <w:t xml:space="preserve">, </w:t>
      </w:r>
      <w:r w:rsidR="004F7D79" w:rsidRPr="0088007D">
        <w:rPr>
          <w:rFonts w:ascii="Times New Roman" w:eastAsia="Calibri" w:hAnsi="Times New Roman"/>
          <w:b/>
          <w:bCs/>
          <w:lang w:val="en-GB"/>
        </w:rPr>
        <w:t>17</w:t>
      </w:r>
      <w:r w:rsidR="004F7D79" w:rsidRPr="0088007D">
        <w:rPr>
          <w:rFonts w:ascii="Times New Roman" w:eastAsia="Calibri" w:hAnsi="Times New Roman"/>
          <w:lang w:val="en-GB"/>
        </w:rPr>
        <w:t>, 59-71.</w:t>
      </w:r>
    </w:p>
    <w:p w14:paraId="157092CF" w14:textId="77777777" w:rsidR="00EE2A35" w:rsidRDefault="00EE2A35" w:rsidP="00EE2A35">
      <w:pPr>
        <w:widowControl w:val="0"/>
        <w:autoSpaceDE w:val="0"/>
        <w:autoSpaceDN w:val="0"/>
        <w:adjustRightInd w:val="0"/>
        <w:spacing w:line="360" w:lineRule="auto"/>
        <w:ind w:left="480" w:hanging="480"/>
        <w:rPr>
          <w:rFonts w:ascii="Times New Roman" w:hAnsi="Times New Roman"/>
          <w:noProof/>
        </w:rPr>
      </w:pPr>
      <w:r w:rsidRPr="00EF370B">
        <w:rPr>
          <w:rFonts w:ascii="Times New Roman" w:hAnsi="Times New Roman"/>
          <w:noProof/>
        </w:rPr>
        <w:t>Lanfear, R., Calcott, B., Ho, S.Y.W.,</w:t>
      </w:r>
      <w:r>
        <w:rPr>
          <w:rFonts w:ascii="Times New Roman" w:hAnsi="Times New Roman"/>
          <w:noProof/>
        </w:rPr>
        <w:t xml:space="preserve"> &amp;</w:t>
      </w:r>
      <w:r w:rsidRPr="00EF370B">
        <w:rPr>
          <w:rFonts w:ascii="Times New Roman" w:hAnsi="Times New Roman"/>
          <w:noProof/>
        </w:rPr>
        <w:t xml:space="preserve"> Guindon, S. (2012)</w:t>
      </w:r>
      <w:r>
        <w:rPr>
          <w:rFonts w:ascii="Times New Roman" w:hAnsi="Times New Roman"/>
          <w:noProof/>
        </w:rPr>
        <w:t xml:space="preserve"> </w:t>
      </w:r>
      <w:r w:rsidRPr="00EF370B">
        <w:rPr>
          <w:rFonts w:ascii="Times New Roman" w:hAnsi="Times New Roman"/>
          <w:noProof/>
        </w:rPr>
        <w:t>PartitionFinder: combined selection of partitioning</w:t>
      </w:r>
      <w:r>
        <w:rPr>
          <w:rFonts w:ascii="Times New Roman" w:hAnsi="Times New Roman"/>
          <w:noProof/>
        </w:rPr>
        <w:t xml:space="preserve"> </w:t>
      </w:r>
      <w:r w:rsidRPr="00EF370B">
        <w:rPr>
          <w:rFonts w:ascii="Times New Roman" w:hAnsi="Times New Roman"/>
          <w:noProof/>
        </w:rPr>
        <w:t>schemes and substitution models for phylogenetic analyses.</w:t>
      </w:r>
      <w:r>
        <w:rPr>
          <w:rFonts w:ascii="Times New Roman" w:hAnsi="Times New Roman"/>
          <w:noProof/>
        </w:rPr>
        <w:t xml:space="preserve"> </w:t>
      </w:r>
      <w:r w:rsidRPr="00EF370B">
        <w:rPr>
          <w:rFonts w:ascii="Times New Roman" w:hAnsi="Times New Roman"/>
          <w:i/>
          <w:noProof/>
        </w:rPr>
        <w:t>Molecular Biology and Evolution</w:t>
      </w:r>
      <w:r>
        <w:rPr>
          <w:rFonts w:ascii="Times New Roman" w:hAnsi="Times New Roman"/>
          <w:i/>
          <w:noProof/>
        </w:rPr>
        <w:t>,</w:t>
      </w:r>
      <w:r w:rsidRPr="00EF370B">
        <w:rPr>
          <w:rFonts w:ascii="Times New Roman" w:hAnsi="Times New Roman"/>
          <w:noProof/>
        </w:rPr>
        <w:t xml:space="preserve"> </w:t>
      </w:r>
      <w:r w:rsidRPr="00EF370B">
        <w:rPr>
          <w:rFonts w:ascii="Times New Roman" w:hAnsi="Times New Roman"/>
          <w:b/>
          <w:noProof/>
        </w:rPr>
        <w:t>29,</w:t>
      </w:r>
      <w:r w:rsidRPr="00EF370B">
        <w:rPr>
          <w:rFonts w:ascii="Times New Roman" w:hAnsi="Times New Roman"/>
          <w:noProof/>
        </w:rPr>
        <w:t xml:space="preserve"> 1695–1701.</w:t>
      </w:r>
    </w:p>
    <w:p w14:paraId="63666871" w14:textId="77777777" w:rsidR="00EE2A35" w:rsidRDefault="00EE2A35" w:rsidP="00EE2A35">
      <w:pPr>
        <w:pStyle w:val="NormalWeb"/>
        <w:spacing w:before="0" w:beforeAutospacing="0" w:after="0" w:afterAutospacing="0" w:line="360" w:lineRule="auto"/>
        <w:ind w:left="454" w:hanging="454"/>
        <w:rPr>
          <w:rFonts w:ascii="Times New Roman" w:hAnsi="Times New Roman"/>
          <w:sz w:val="24"/>
          <w:szCs w:val="24"/>
        </w:rPr>
      </w:pPr>
      <w:r w:rsidRPr="00EE2A35">
        <w:rPr>
          <w:rFonts w:ascii="Times New Roman" w:hAnsi="Times New Roman"/>
          <w:sz w:val="24"/>
          <w:szCs w:val="24"/>
        </w:rPr>
        <w:t xml:space="preserve">Otto-Bliesner., B.L., Marshall, S.J., Overpeck, J.T., Miller, G.H., Hu, A., &amp; CAPE Last Interglacial Project members (2006) Simulating Arctic climate warmth and icefield retreat in the last interlglaciation. </w:t>
      </w:r>
      <w:r w:rsidRPr="00EE2A35">
        <w:rPr>
          <w:rFonts w:ascii="Times New Roman" w:hAnsi="Times New Roman"/>
          <w:i/>
          <w:sz w:val="24"/>
          <w:szCs w:val="24"/>
        </w:rPr>
        <w:t>Science</w:t>
      </w:r>
      <w:r w:rsidRPr="00EE2A35">
        <w:rPr>
          <w:rFonts w:ascii="Times New Roman" w:hAnsi="Times New Roman"/>
          <w:sz w:val="24"/>
          <w:szCs w:val="24"/>
        </w:rPr>
        <w:t xml:space="preserve">, </w:t>
      </w:r>
      <w:r w:rsidRPr="00EE2A35">
        <w:rPr>
          <w:rFonts w:ascii="Times New Roman" w:hAnsi="Times New Roman"/>
          <w:b/>
          <w:sz w:val="24"/>
          <w:szCs w:val="24"/>
        </w:rPr>
        <w:t>311</w:t>
      </w:r>
      <w:r w:rsidRPr="00EE2A35">
        <w:rPr>
          <w:rFonts w:ascii="Times New Roman" w:hAnsi="Times New Roman"/>
          <w:sz w:val="24"/>
          <w:szCs w:val="24"/>
        </w:rPr>
        <w:t>, 1751-1753.</w:t>
      </w:r>
    </w:p>
    <w:p w14:paraId="70DC8C47" w14:textId="77777777" w:rsidR="008F3FD3" w:rsidRDefault="008F3FD3" w:rsidP="008F3FD3">
      <w:pPr>
        <w:widowControl w:val="0"/>
        <w:autoSpaceDE w:val="0"/>
        <w:autoSpaceDN w:val="0"/>
        <w:adjustRightInd w:val="0"/>
        <w:spacing w:line="360" w:lineRule="auto"/>
        <w:ind w:left="480" w:hanging="480"/>
        <w:rPr>
          <w:rFonts w:ascii="Times New Roman" w:hAnsi="Times New Roman"/>
          <w:noProof/>
        </w:rPr>
      </w:pPr>
      <w:r w:rsidRPr="0088007D">
        <w:rPr>
          <w:rFonts w:ascii="Times New Roman" w:hAnsi="Times New Roman"/>
          <w:noProof/>
        </w:rPr>
        <w:t xml:space="preserve">Pyron, R.A. &amp; Wiens, J.J. (2011) A large-scale phylogeny of Amphibia including over 2800 </w:t>
      </w:r>
      <w:r w:rsidRPr="0088007D">
        <w:rPr>
          <w:rFonts w:ascii="Times New Roman" w:hAnsi="Times New Roman"/>
          <w:noProof/>
        </w:rPr>
        <w:lastRenderedPageBreak/>
        <w:t xml:space="preserve">species, and a revised classification of extant frogs, salamanders, and caecilians. </w:t>
      </w:r>
      <w:r w:rsidRPr="0088007D">
        <w:rPr>
          <w:rFonts w:ascii="Times New Roman" w:hAnsi="Times New Roman"/>
          <w:i/>
          <w:iCs/>
          <w:noProof/>
        </w:rPr>
        <w:t>Molecular Phylogenetics and Evolution</w:t>
      </w:r>
      <w:r w:rsidRPr="0088007D">
        <w:rPr>
          <w:rFonts w:ascii="Times New Roman" w:hAnsi="Times New Roman"/>
          <w:noProof/>
        </w:rPr>
        <w:t xml:space="preserve">, </w:t>
      </w:r>
      <w:r w:rsidRPr="0088007D">
        <w:rPr>
          <w:rFonts w:ascii="Times New Roman" w:hAnsi="Times New Roman"/>
          <w:b/>
          <w:bCs/>
          <w:noProof/>
        </w:rPr>
        <w:t>61</w:t>
      </w:r>
      <w:r w:rsidRPr="0088007D">
        <w:rPr>
          <w:rFonts w:ascii="Times New Roman" w:hAnsi="Times New Roman"/>
          <w:noProof/>
        </w:rPr>
        <w:t xml:space="preserve">, 543-583. </w:t>
      </w:r>
    </w:p>
    <w:p w14:paraId="2F4A8432" w14:textId="77777777" w:rsidR="008F3FD3" w:rsidRPr="0088007D" w:rsidRDefault="008F3FD3" w:rsidP="008F3FD3">
      <w:pPr>
        <w:widowControl w:val="0"/>
        <w:autoSpaceDE w:val="0"/>
        <w:autoSpaceDN w:val="0"/>
        <w:adjustRightInd w:val="0"/>
        <w:spacing w:line="360" w:lineRule="auto"/>
        <w:ind w:left="480" w:hanging="480"/>
        <w:rPr>
          <w:rFonts w:ascii="Times New Roman" w:hAnsi="Times New Roman"/>
          <w:noProof/>
        </w:rPr>
      </w:pPr>
      <w:r w:rsidRPr="0088007D">
        <w:rPr>
          <w:rFonts w:ascii="Times New Roman" w:hAnsi="Times New Roman"/>
          <w:noProof/>
        </w:rPr>
        <w:t xml:space="preserve">Roelants, K., Gower, D.J., Wilkinson, M., Loader, S.P., Biju, S.D., Guillaume, K., Moriau, L. &amp; Bossuyt, F. (2007) Global patterns of diversification in the history of modern amphibians. </w:t>
      </w:r>
      <w:r w:rsidRPr="0088007D">
        <w:rPr>
          <w:rFonts w:ascii="Times New Roman" w:hAnsi="Times New Roman"/>
          <w:i/>
          <w:iCs/>
          <w:noProof/>
        </w:rPr>
        <w:t>Proceedings of the National Academy of Sciences USA</w:t>
      </w:r>
      <w:r w:rsidRPr="0088007D">
        <w:rPr>
          <w:rFonts w:ascii="Times New Roman" w:hAnsi="Times New Roman"/>
          <w:noProof/>
        </w:rPr>
        <w:t xml:space="preserve">, </w:t>
      </w:r>
      <w:r w:rsidRPr="0088007D">
        <w:rPr>
          <w:rFonts w:ascii="Times New Roman" w:hAnsi="Times New Roman"/>
          <w:b/>
          <w:bCs/>
          <w:noProof/>
        </w:rPr>
        <w:t>104</w:t>
      </w:r>
      <w:r w:rsidRPr="0088007D">
        <w:rPr>
          <w:rFonts w:ascii="Times New Roman" w:hAnsi="Times New Roman"/>
          <w:noProof/>
        </w:rPr>
        <w:t xml:space="preserve">, 887-892. </w:t>
      </w:r>
    </w:p>
    <w:p w14:paraId="0110B2F3" w14:textId="77777777" w:rsidR="004F7D79" w:rsidRDefault="004F7D79" w:rsidP="004F7D79">
      <w:pPr>
        <w:widowControl w:val="0"/>
        <w:autoSpaceDE w:val="0"/>
        <w:autoSpaceDN w:val="0"/>
        <w:adjustRightInd w:val="0"/>
        <w:spacing w:line="360" w:lineRule="auto"/>
        <w:ind w:left="480" w:hanging="480"/>
        <w:rPr>
          <w:rFonts w:ascii="Times New Roman" w:hAnsi="Times New Roman"/>
          <w:noProof/>
        </w:rPr>
      </w:pPr>
      <w:r w:rsidRPr="0088007D">
        <w:rPr>
          <w:rFonts w:ascii="Times New Roman" w:hAnsi="Times New Roman"/>
          <w:noProof/>
        </w:rPr>
        <w:t xml:space="preserve">Tuanmu, M.N. &amp; Jetz, W. (2014) A global 1-km consensus land-cover product for biodiversity and ecosystem modelling. </w:t>
      </w:r>
      <w:r w:rsidRPr="0088007D">
        <w:rPr>
          <w:rFonts w:ascii="Times New Roman" w:hAnsi="Times New Roman"/>
          <w:i/>
          <w:iCs/>
          <w:noProof/>
        </w:rPr>
        <w:t>Global Ecology and Biogeography</w:t>
      </w:r>
      <w:r w:rsidRPr="0088007D">
        <w:rPr>
          <w:rFonts w:ascii="Times New Roman" w:hAnsi="Times New Roman"/>
          <w:noProof/>
        </w:rPr>
        <w:t xml:space="preserve">, </w:t>
      </w:r>
      <w:r w:rsidRPr="0088007D">
        <w:rPr>
          <w:rFonts w:ascii="Times New Roman" w:hAnsi="Times New Roman"/>
          <w:b/>
          <w:bCs/>
          <w:noProof/>
        </w:rPr>
        <w:t>23</w:t>
      </w:r>
      <w:r w:rsidRPr="0088007D">
        <w:rPr>
          <w:rFonts w:ascii="Times New Roman" w:hAnsi="Times New Roman"/>
          <w:noProof/>
        </w:rPr>
        <w:t xml:space="preserve">, 1031-1045. </w:t>
      </w:r>
    </w:p>
    <w:p w14:paraId="32D772B7" w14:textId="3B2C2F0B" w:rsidR="002848E6" w:rsidRPr="0088007D" w:rsidRDefault="00177992" w:rsidP="004F7D79">
      <w:pPr>
        <w:widowControl w:val="0"/>
        <w:autoSpaceDE w:val="0"/>
        <w:autoSpaceDN w:val="0"/>
        <w:adjustRightInd w:val="0"/>
        <w:spacing w:line="360" w:lineRule="auto"/>
        <w:ind w:left="480" w:hanging="480"/>
        <w:rPr>
          <w:rFonts w:ascii="Times New Roman" w:hAnsi="Times New Roman"/>
          <w:noProof/>
        </w:rPr>
      </w:pPr>
      <w:r>
        <w:rPr>
          <w:rFonts w:ascii="Times New Roman" w:hAnsi="Times New Roman"/>
          <w:noProof/>
        </w:rPr>
        <w:t>Wilkinson, M., San Mauro, D., Sherratt, E. &amp; Gower, D.J. (2011). A nine-family classification of caecilians (Amphibia: Gymnophiona). Zootaxa,</w:t>
      </w:r>
      <w:r w:rsidRPr="00177992">
        <w:rPr>
          <w:rFonts w:ascii="Times New Roman" w:hAnsi="Times New Roman"/>
          <w:b/>
          <w:noProof/>
        </w:rPr>
        <w:t xml:space="preserve"> 2874</w:t>
      </w:r>
      <w:r>
        <w:rPr>
          <w:rFonts w:ascii="Times New Roman" w:hAnsi="Times New Roman"/>
          <w:noProof/>
        </w:rPr>
        <w:t>, 41-64.</w:t>
      </w:r>
    </w:p>
    <w:p w14:paraId="7F88BCD5" w14:textId="1A69BB67" w:rsidR="00EB782E" w:rsidRDefault="004F7D79" w:rsidP="00C87694">
      <w:pPr>
        <w:spacing w:line="360" w:lineRule="auto"/>
        <w:rPr>
          <w:rFonts w:ascii="Times New Roman" w:hAnsi="Times New Roman"/>
        </w:rPr>
      </w:pPr>
      <w:r w:rsidRPr="0088007D">
        <w:rPr>
          <w:rFonts w:ascii="Times New Roman" w:hAnsi="Times New Roman"/>
          <w:b/>
        </w:rPr>
        <w:fldChar w:fldCharType="end"/>
      </w:r>
    </w:p>
    <w:p w14:paraId="231023F6" w14:textId="77777777" w:rsidR="00AF19DA" w:rsidRPr="00B80938" w:rsidRDefault="00AF19DA" w:rsidP="00AF19DA">
      <w:pPr>
        <w:spacing w:line="360" w:lineRule="auto"/>
        <w:rPr>
          <w:rFonts w:ascii="Times New Roman" w:hAnsi="Times New Roman"/>
        </w:rPr>
      </w:pPr>
    </w:p>
    <w:p w14:paraId="22F1300D" w14:textId="77777777" w:rsidR="005D5E4C" w:rsidRPr="00B80938" w:rsidRDefault="005D5E4C" w:rsidP="005D5E4C">
      <w:pPr>
        <w:spacing w:line="360" w:lineRule="auto"/>
        <w:rPr>
          <w:rFonts w:ascii="Times New Roman" w:hAnsi="Times New Roman"/>
          <w:b/>
          <w:noProof/>
        </w:rPr>
      </w:pPr>
    </w:p>
    <w:p w14:paraId="6CBF4948" w14:textId="77777777" w:rsidR="00C77657" w:rsidRPr="00B80938" w:rsidRDefault="00C77657"/>
    <w:sectPr w:rsidR="00C77657" w:rsidRPr="00B80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A"/>
    <w:rsid w:val="00010CDC"/>
    <w:rsid w:val="0001211D"/>
    <w:rsid w:val="000200BB"/>
    <w:rsid w:val="00057BED"/>
    <w:rsid w:val="00090B39"/>
    <w:rsid w:val="000B34E2"/>
    <w:rsid w:val="000C2FE4"/>
    <w:rsid w:val="000D3275"/>
    <w:rsid w:val="00103A70"/>
    <w:rsid w:val="0011768D"/>
    <w:rsid w:val="00132994"/>
    <w:rsid w:val="00156DCC"/>
    <w:rsid w:val="00160BD9"/>
    <w:rsid w:val="00164289"/>
    <w:rsid w:val="00164814"/>
    <w:rsid w:val="00165E42"/>
    <w:rsid w:val="00177992"/>
    <w:rsid w:val="00194A5F"/>
    <w:rsid w:val="001B1E94"/>
    <w:rsid w:val="001B25E3"/>
    <w:rsid w:val="001D416C"/>
    <w:rsid w:val="001D4FBA"/>
    <w:rsid w:val="001D71E2"/>
    <w:rsid w:val="001F3197"/>
    <w:rsid w:val="001F67B2"/>
    <w:rsid w:val="001F67E5"/>
    <w:rsid w:val="00201E03"/>
    <w:rsid w:val="00212489"/>
    <w:rsid w:val="002253FA"/>
    <w:rsid w:val="00262D09"/>
    <w:rsid w:val="002848E6"/>
    <w:rsid w:val="002853FC"/>
    <w:rsid w:val="002A4C14"/>
    <w:rsid w:val="002E0A81"/>
    <w:rsid w:val="0032045A"/>
    <w:rsid w:val="00336491"/>
    <w:rsid w:val="003438EB"/>
    <w:rsid w:val="00343C8A"/>
    <w:rsid w:val="00352782"/>
    <w:rsid w:val="00377E33"/>
    <w:rsid w:val="003844FD"/>
    <w:rsid w:val="00394D9F"/>
    <w:rsid w:val="00397266"/>
    <w:rsid w:val="003974D5"/>
    <w:rsid w:val="003A4A29"/>
    <w:rsid w:val="003A5261"/>
    <w:rsid w:val="003C55F5"/>
    <w:rsid w:val="003F6176"/>
    <w:rsid w:val="003F6B4D"/>
    <w:rsid w:val="00400BDB"/>
    <w:rsid w:val="00401452"/>
    <w:rsid w:val="00430141"/>
    <w:rsid w:val="00494220"/>
    <w:rsid w:val="0049565A"/>
    <w:rsid w:val="004B5685"/>
    <w:rsid w:val="004B68BF"/>
    <w:rsid w:val="004E402F"/>
    <w:rsid w:val="004F7D79"/>
    <w:rsid w:val="0050699A"/>
    <w:rsid w:val="00514A9C"/>
    <w:rsid w:val="00527F90"/>
    <w:rsid w:val="0053195D"/>
    <w:rsid w:val="00551391"/>
    <w:rsid w:val="005533DC"/>
    <w:rsid w:val="005713C7"/>
    <w:rsid w:val="00573D37"/>
    <w:rsid w:val="005912CF"/>
    <w:rsid w:val="005B6385"/>
    <w:rsid w:val="005C3FDE"/>
    <w:rsid w:val="005D4188"/>
    <w:rsid w:val="005D5BBD"/>
    <w:rsid w:val="005D5E4C"/>
    <w:rsid w:val="005F003C"/>
    <w:rsid w:val="005F589F"/>
    <w:rsid w:val="006249CD"/>
    <w:rsid w:val="00635437"/>
    <w:rsid w:val="00673CA9"/>
    <w:rsid w:val="00680B5D"/>
    <w:rsid w:val="00681153"/>
    <w:rsid w:val="006905AD"/>
    <w:rsid w:val="006D4C42"/>
    <w:rsid w:val="006F22F7"/>
    <w:rsid w:val="006F5A1F"/>
    <w:rsid w:val="00702BFC"/>
    <w:rsid w:val="007466E4"/>
    <w:rsid w:val="00747B65"/>
    <w:rsid w:val="0078419A"/>
    <w:rsid w:val="007B4D34"/>
    <w:rsid w:val="007E7777"/>
    <w:rsid w:val="007F4E46"/>
    <w:rsid w:val="00861F90"/>
    <w:rsid w:val="008873DB"/>
    <w:rsid w:val="008A36D7"/>
    <w:rsid w:val="008D48C4"/>
    <w:rsid w:val="008D6D94"/>
    <w:rsid w:val="008F3FD3"/>
    <w:rsid w:val="00941185"/>
    <w:rsid w:val="00951F56"/>
    <w:rsid w:val="009661F3"/>
    <w:rsid w:val="009C283C"/>
    <w:rsid w:val="009C65D2"/>
    <w:rsid w:val="009F043E"/>
    <w:rsid w:val="009F6107"/>
    <w:rsid w:val="009F71AA"/>
    <w:rsid w:val="00A137AF"/>
    <w:rsid w:val="00A800A7"/>
    <w:rsid w:val="00AB43F2"/>
    <w:rsid w:val="00AC5A27"/>
    <w:rsid w:val="00AF19DA"/>
    <w:rsid w:val="00B043DA"/>
    <w:rsid w:val="00B204D0"/>
    <w:rsid w:val="00B34E23"/>
    <w:rsid w:val="00B5473C"/>
    <w:rsid w:val="00B64A8B"/>
    <w:rsid w:val="00B65D56"/>
    <w:rsid w:val="00B71262"/>
    <w:rsid w:val="00B80938"/>
    <w:rsid w:val="00B83BF7"/>
    <w:rsid w:val="00B845D6"/>
    <w:rsid w:val="00B8663D"/>
    <w:rsid w:val="00B95308"/>
    <w:rsid w:val="00BF6856"/>
    <w:rsid w:val="00C0220D"/>
    <w:rsid w:val="00C23C70"/>
    <w:rsid w:val="00C51411"/>
    <w:rsid w:val="00C62904"/>
    <w:rsid w:val="00C77657"/>
    <w:rsid w:val="00C8734E"/>
    <w:rsid w:val="00C87694"/>
    <w:rsid w:val="00CB55B2"/>
    <w:rsid w:val="00CD11B0"/>
    <w:rsid w:val="00CE3A5D"/>
    <w:rsid w:val="00D16287"/>
    <w:rsid w:val="00D21046"/>
    <w:rsid w:val="00D50940"/>
    <w:rsid w:val="00D62048"/>
    <w:rsid w:val="00D95608"/>
    <w:rsid w:val="00DA3FB4"/>
    <w:rsid w:val="00DB3C15"/>
    <w:rsid w:val="00DE1667"/>
    <w:rsid w:val="00E01340"/>
    <w:rsid w:val="00E23F0B"/>
    <w:rsid w:val="00E64C4E"/>
    <w:rsid w:val="00E87129"/>
    <w:rsid w:val="00E95B59"/>
    <w:rsid w:val="00EB782E"/>
    <w:rsid w:val="00EC6BF9"/>
    <w:rsid w:val="00ED3A30"/>
    <w:rsid w:val="00ED669A"/>
    <w:rsid w:val="00EE033E"/>
    <w:rsid w:val="00EE2A35"/>
    <w:rsid w:val="00EF3225"/>
    <w:rsid w:val="00F753C8"/>
    <w:rsid w:val="00F86074"/>
    <w:rsid w:val="00FA5468"/>
    <w:rsid w:val="00FA7BFB"/>
    <w:rsid w:val="00FB5145"/>
    <w:rsid w:val="00FC510E"/>
    <w:rsid w:val="00FD57AD"/>
    <w:rsid w:val="00FE0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B003"/>
  <w15:chartTrackingRefBased/>
  <w15:docId w15:val="{F7D850D5-E276-4815-9819-04888E66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9DA"/>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F19DA"/>
    <w:rPr>
      <w:sz w:val="18"/>
      <w:szCs w:val="18"/>
    </w:rPr>
  </w:style>
  <w:style w:type="paragraph" w:styleId="CommentText">
    <w:name w:val="annotation text"/>
    <w:basedOn w:val="Normal"/>
    <w:link w:val="CommentTextChar"/>
    <w:uiPriority w:val="99"/>
    <w:unhideWhenUsed/>
    <w:rsid w:val="00AF19DA"/>
  </w:style>
  <w:style w:type="character" w:customStyle="1" w:styleId="CommentTextChar">
    <w:name w:val="Comment Text Char"/>
    <w:basedOn w:val="DefaultParagraphFont"/>
    <w:link w:val="CommentText"/>
    <w:uiPriority w:val="99"/>
    <w:rsid w:val="00AF19DA"/>
    <w:rPr>
      <w:rFonts w:ascii="Cambria" w:eastAsia="MS Mincho" w:hAnsi="Cambria" w:cs="Times New Roman"/>
      <w:sz w:val="24"/>
      <w:szCs w:val="24"/>
      <w:lang w:val="en-US"/>
    </w:rPr>
  </w:style>
  <w:style w:type="paragraph" w:styleId="BalloonText">
    <w:name w:val="Balloon Text"/>
    <w:basedOn w:val="Normal"/>
    <w:link w:val="BalloonTextChar"/>
    <w:uiPriority w:val="99"/>
    <w:semiHidden/>
    <w:unhideWhenUsed/>
    <w:rsid w:val="00AF1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9DA"/>
    <w:rPr>
      <w:rFonts w:ascii="Segoe UI" w:eastAsia="MS Mincho" w:hAnsi="Segoe UI" w:cs="Segoe UI"/>
      <w:sz w:val="18"/>
      <w:szCs w:val="18"/>
      <w:lang w:val="en-US"/>
    </w:rPr>
  </w:style>
  <w:style w:type="character" w:customStyle="1" w:styleId="tgc">
    <w:name w:val="_tgc"/>
    <w:basedOn w:val="DefaultParagraphFont"/>
    <w:rsid w:val="00AF19DA"/>
  </w:style>
  <w:style w:type="character" w:styleId="Emphasis">
    <w:name w:val="Emphasis"/>
    <w:basedOn w:val="DefaultParagraphFont"/>
    <w:uiPriority w:val="20"/>
    <w:qFormat/>
    <w:rsid w:val="00B83BF7"/>
    <w:rPr>
      <w:i/>
      <w:iCs/>
    </w:rPr>
  </w:style>
  <w:style w:type="character" w:styleId="Hyperlink">
    <w:name w:val="Hyperlink"/>
    <w:basedOn w:val="DefaultParagraphFont"/>
    <w:uiPriority w:val="99"/>
    <w:semiHidden/>
    <w:unhideWhenUsed/>
    <w:rsid w:val="00B83BF7"/>
    <w:rPr>
      <w:color w:val="0000FF"/>
      <w:u w:val="single"/>
    </w:rPr>
  </w:style>
  <w:style w:type="paragraph" w:styleId="CommentSubject">
    <w:name w:val="annotation subject"/>
    <w:basedOn w:val="CommentText"/>
    <w:next w:val="CommentText"/>
    <w:link w:val="CommentSubjectChar"/>
    <w:uiPriority w:val="99"/>
    <w:semiHidden/>
    <w:unhideWhenUsed/>
    <w:rsid w:val="003F6176"/>
    <w:rPr>
      <w:b/>
      <w:bCs/>
      <w:sz w:val="20"/>
      <w:szCs w:val="20"/>
    </w:rPr>
  </w:style>
  <w:style w:type="character" w:customStyle="1" w:styleId="CommentSubjectChar">
    <w:name w:val="Comment Subject Char"/>
    <w:basedOn w:val="CommentTextChar"/>
    <w:link w:val="CommentSubject"/>
    <w:uiPriority w:val="99"/>
    <w:semiHidden/>
    <w:rsid w:val="003F6176"/>
    <w:rPr>
      <w:rFonts w:ascii="Cambria" w:eastAsia="MS Mincho" w:hAnsi="Cambria" w:cs="Times New Roman"/>
      <w:b/>
      <w:bCs/>
      <w:sz w:val="20"/>
      <w:szCs w:val="20"/>
      <w:lang w:val="en-US"/>
    </w:rPr>
  </w:style>
  <w:style w:type="paragraph" w:styleId="NormalWeb">
    <w:name w:val="Normal (Web)"/>
    <w:basedOn w:val="Normal"/>
    <w:uiPriority w:val="99"/>
    <w:unhideWhenUsed/>
    <w:rsid w:val="004F7D79"/>
    <w:pPr>
      <w:spacing w:before="100" w:beforeAutospacing="1" w:after="100" w:afterAutospacing="1"/>
    </w:pPr>
    <w:rPr>
      <w:rFonts w:ascii="Times" w:hAnsi="Times"/>
      <w:sz w:val="20"/>
      <w:szCs w:val="20"/>
    </w:rPr>
  </w:style>
  <w:style w:type="character" w:customStyle="1" w:styleId="highwire-cite-metadata-doi">
    <w:name w:val="highwire-cite-metadata-doi"/>
    <w:rsid w:val="004F7D79"/>
  </w:style>
  <w:style w:type="character" w:customStyle="1" w:styleId="label">
    <w:name w:val="label"/>
    <w:rsid w:val="004F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267">
      <w:bodyDiv w:val="1"/>
      <w:marLeft w:val="0"/>
      <w:marRight w:val="0"/>
      <w:marTop w:val="0"/>
      <w:marBottom w:val="0"/>
      <w:divBdr>
        <w:top w:val="none" w:sz="0" w:space="0" w:color="auto"/>
        <w:left w:val="none" w:sz="0" w:space="0" w:color="auto"/>
        <w:bottom w:val="none" w:sz="0" w:space="0" w:color="auto"/>
        <w:right w:val="none" w:sz="0" w:space="0" w:color="auto"/>
      </w:divBdr>
      <w:divsChild>
        <w:div w:id="672804852">
          <w:marLeft w:val="0"/>
          <w:marRight w:val="0"/>
          <w:marTop w:val="0"/>
          <w:marBottom w:val="0"/>
          <w:divBdr>
            <w:top w:val="none" w:sz="0" w:space="0" w:color="auto"/>
            <w:left w:val="none" w:sz="0" w:space="0" w:color="auto"/>
            <w:bottom w:val="none" w:sz="0" w:space="0" w:color="auto"/>
            <w:right w:val="none" w:sz="0" w:space="0" w:color="auto"/>
          </w:divBdr>
        </w:div>
        <w:div w:id="905265696">
          <w:marLeft w:val="0"/>
          <w:marRight w:val="0"/>
          <w:marTop w:val="0"/>
          <w:marBottom w:val="0"/>
          <w:divBdr>
            <w:top w:val="none" w:sz="0" w:space="0" w:color="auto"/>
            <w:left w:val="none" w:sz="0" w:space="0" w:color="auto"/>
            <w:bottom w:val="none" w:sz="0" w:space="0" w:color="auto"/>
            <w:right w:val="none" w:sz="0" w:space="0" w:color="auto"/>
          </w:divBdr>
        </w:div>
        <w:div w:id="1586920770">
          <w:marLeft w:val="0"/>
          <w:marRight w:val="0"/>
          <w:marTop w:val="0"/>
          <w:marBottom w:val="0"/>
          <w:divBdr>
            <w:top w:val="none" w:sz="0" w:space="0" w:color="auto"/>
            <w:left w:val="none" w:sz="0" w:space="0" w:color="auto"/>
            <w:bottom w:val="none" w:sz="0" w:space="0" w:color="auto"/>
            <w:right w:val="none" w:sz="0" w:space="0" w:color="auto"/>
          </w:divBdr>
        </w:div>
        <w:div w:id="201942611">
          <w:marLeft w:val="0"/>
          <w:marRight w:val="0"/>
          <w:marTop w:val="0"/>
          <w:marBottom w:val="0"/>
          <w:divBdr>
            <w:top w:val="none" w:sz="0" w:space="0" w:color="auto"/>
            <w:left w:val="none" w:sz="0" w:space="0" w:color="auto"/>
            <w:bottom w:val="none" w:sz="0" w:space="0" w:color="auto"/>
            <w:right w:val="none" w:sz="0" w:space="0" w:color="auto"/>
          </w:divBdr>
        </w:div>
        <w:div w:id="438064116">
          <w:marLeft w:val="0"/>
          <w:marRight w:val="0"/>
          <w:marTop w:val="0"/>
          <w:marBottom w:val="0"/>
          <w:divBdr>
            <w:top w:val="none" w:sz="0" w:space="0" w:color="auto"/>
            <w:left w:val="none" w:sz="0" w:space="0" w:color="auto"/>
            <w:bottom w:val="none" w:sz="0" w:space="0" w:color="auto"/>
            <w:right w:val="none" w:sz="0" w:space="0" w:color="auto"/>
          </w:divBdr>
        </w:div>
        <w:div w:id="1628123703">
          <w:marLeft w:val="0"/>
          <w:marRight w:val="0"/>
          <w:marTop w:val="0"/>
          <w:marBottom w:val="0"/>
          <w:divBdr>
            <w:top w:val="none" w:sz="0" w:space="0" w:color="auto"/>
            <w:left w:val="none" w:sz="0" w:space="0" w:color="auto"/>
            <w:bottom w:val="none" w:sz="0" w:space="0" w:color="auto"/>
            <w:right w:val="none" w:sz="0" w:space="0" w:color="auto"/>
          </w:divBdr>
        </w:div>
        <w:div w:id="2091461044">
          <w:marLeft w:val="0"/>
          <w:marRight w:val="0"/>
          <w:marTop w:val="0"/>
          <w:marBottom w:val="0"/>
          <w:divBdr>
            <w:top w:val="none" w:sz="0" w:space="0" w:color="auto"/>
            <w:left w:val="none" w:sz="0" w:space="0" w:color="auto"/>
            <w:bottom w:val="none" w:sz="0" w:space="0" w:color="auto"/>
            <w:right w:val="none" w:sz="0" w:space="0" w:color="auto"/>
          </w:divBdr>
        </w:div>
      </w:divsChild>
    </w:div>
    <w:div w:id="842624602">
      <w:bodyDiv w:val="1"/>
      <w:marLeft w:val="0"/>
      <w:marRight w:val="0"/>
      <w:marTop w:val="0"/>
      <w:marBottom w:val="0"/>
      <w:divBdr>
        <w:top w:val="none" w:sz="0" w:space="0" w:color="auto"/>
        <w:left w:val="none" w:sz="0" w:space="0" w:color="auto"/>
        <w:bottom w:val="none" w:sz="0" w:space="0" w:color="auto"/>
        <w:right w:val="none" w:sz="0" w:space="0" w:color="auto"/>
      </w:divBdr>
      <w:divsChild>
        <w:div w:id="583339410">
          <w:marLeft w:val="0"/>
          <w:marRight w:val="0"/>
          <w:marTop w:val="0"/>
          <w:marBottom w:val="0"/>
          <w:divBdr>
            <w:top w:val="none" w:sz="0" w:space="0" w:color="auto"/>
            <w:left w:val="none" w:sz="0" w:space="0" w:color="auto"/>
            <w:bottom w:val="none" w:sz="0" w:space="0" w:color="auto"/>
            <w:right w:val="none" w:sz="0" w:space="0" w:color="auto"/>
          </w:divBdr>
          <w:divsChild>
            <w:div w:id="1206679021">
              <w:marLeft w:val="0"/>
              <w:marRight w:val="0"/>
              <w:marTop w:val="0"/>
              <w:marBottom w:val="0"/>
              <w:divBdr>
                <w:top w:val="none" w:sz="0" w:space="0" w:color="auto"/>
                <w:left w:val="none" w:sz="0" w:space="0" w:color="auto"/>
                <w:bottom w:val="none" w:sz="0" w:space="0" w:color="auto"/>
                <w:right w:val="none" w:sz="0" w:space="0" w:color="auto"/>
              </w:divBdr>
              <w:divsChild>
                <w:div w:id="1518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5183">
          <w:marLeft w:val="0"/>
          <w:marRight w:val="0"/>
          <w:marTop w:val="0"/>
          <w:marBottom w:val="0"/>
          <w:divBdr>
            <w:top w:val="none" w:sz="0" w:space="0" w:color="auto"/>
            <w:left w:val="none" w:sz="0" w:space="0" w:color="auto"/>
            <w:bottom w:val="none" w:sz="0" w:space="0" w:color="auto"/>
            <w:right w:val="none" w:sz="0" w:space="0" w:color="auto"/>
          </w:divBdr>
          <w:divsChild>
            <w:div w:id="1613316417">
              <w:marLeft w:val="0"/>
              <w:marRight w:val="0"/>
              <w:marTop w:val="0"/>
              <w:marBottom w:val="0"/>
              <w:divBdr>
                <w:top w:val="none" w:sz="0" w:space="0" w:color="auto"/>
                <w:left w:val="none" w:sz="0" w:space="0" w:color="auto"/>
                <w:bottom w:val="none" w:sz="0" w:space="0" w:color="auto"/>
                <w:right w:val="none" w:sz="0" w:space="0" w:color="auto"/>
              </w:divBdr>
              <w:divsChild>
                <w:div w:id="1859544914">
                  <w:marLeft w:val="0"/>
                  <w:marRight w:val="0"/>
                  <w:marTop w:val="0"/>
                  <w:marBottom w:val="0"/>
                  <w:divBdr>
                    <w:top w:val="none" w:sz="0" w:space="0" w:color="auto"/>
                    <w:left w:val="none" w:sz="0" w:space="0" w:color="auto"/>
                    <w:bottom w:val="none" w:sz="0" w:space="0" w:color="auto"/>
                    <w:right w:val="none" w:sz="0" w:space="0" w:color="auto"/>
                  </w:divBdr>
                  <w:divsChild>
                    <w:div w:id="771170693">
                      <w:marLeft w:val="0"/>
                      <w:marRight w:val="0"/>
                      <w:marTop w:val="0"/>
                      <w:marBottom w:val="0"/>
                      <w:divBdr>
                        <w:top w:val="none" w:sz="0" w:space="0" w:color="auto"/>
                        <w:left w:val="none" w:sz="0" w:space="0" w:color="auto"/>
                        <w:bottom w:val="none" w:sz="0" w:space="0" w:color="auto"/>
                        <w:right w:val="none" w:sz="0" w:space="0" w:color="auto"/>
                      </w:divBdr>
                      <w:divsChild>
                        <w:div w:id="644555169">
                          <w:marLeft w:val="0"/>
                          <w:marRight w:val="0"/>
                          <w:marTop w:val="0"/>
                          <w:marBottom w:val="0"/>
                          <w:divBdr>
                            <w:top w:val="none" w:sz="0" w:space="0" w:color="auto"/>
                            <w:left w:val="none" w:sz="0" w:space="0" w:color="auto"/>
                            <w:bottom w:val="none" w:sz="0" w:space="0" w:color="auto"/>
                            <w:right w:val="none" w:sz="0" w:space="0" w:color="auto"/>
                          </w:divBdr>
                        </w:div>
                        <w:div w:id="581649852">
                          <w:marLeft w:val="0"/>
                          <w:marRight w:val="0"/>
                          <w:marTop w:val="0"/>
                          <w:marBottom w:val="0"/>
                          <w:divBdr>
                            <w:top w:val="none" w:sz="0" w:space="0" w:color="auto"/>
                            <w:left w:val="none" w:sz="0" w:space="0" w:color="auto"/>
                            <w:bottom w:val="none" w:sz="0" w:space="0" w:color="auto"/>
                            <w:right w:val="none" w:sz="0" w:space="0" w:color="auto"/>
                          </w:divBdr>
                        </w:div>
                        <w:div w:id="1664822413">
                          <w:marLeft w:val="0"/>
                          <w:marRight w:val="0"/>
                          <w:marTop w:val="0"/>
                          <w:marBottom w:val="0"/>
                          <w:divBdr>
                            <w:top w:val="none" w:sz="0" w:space="0" w:color="auto"/>
                            <w:left w:val="none" w:sz="0" w:space="0" w:color="auto"/>
                            <w:bottom w:val="none" w:sz="0" w:space="0" w:color="auto"/>
                            <w:right w:val="none" w:sz="0" w:space="0" w:color="auto"/>
                          </w:divBdr>
                          <w:divsChild>
                            <w:div w:id="2121487348">
                              <w:marLeft w:val="0"/>
                              <w:marRight w:val="0"/>
                              <w:marTop w:val="0"/>
                              <w:marBottom w:val="0"/>
                              <w:divBdr>
                                <w:top w:val="none" w:sz="0" w:space="0" w:color="auto"/>
                                <w:left w:val="none" w:sz="0" w:space="0" w:color="auto"/>
                                <w:bottom w:val="none" w:sz="0" w:space="0" w:color="auto"/>
                                <w:right w:val="none" w:sz="0" w:space="0" w:color="auto"/>
                              </w:divBdr>
                              <w:divsChild>
                                <w:div w:id="1962149618">
                                  <w:marLeft w:val="0"/>
                                  <w:marRight w:val="0"/>
                                  <w:marTop w:val="0"/>
                                  <w:marBottom w:val="0"/>
                                  <w:divBdr>
                                    <w:top w:val="none" w:sz="0" w:space="0" w:color="auto"/>
                                    <w:left w:val="none" w:sz="0" w:space="0" w:color="auto"/>
                                    <w:bottom w:val="none" w:sz="0" w:space="0" w:color="auto"/>
                                    <w:right w:val="none" w:sz="0" w:space="0" w:color="auto"/>
                                  </w:divBdr>
                                  <w:divsChild>
                                    <w:div w:id="11648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4100</Words>
  <Characters>23739</Characters>
  <Application>Microsoft Office Word</Application>
  <DocSecurity>0</DocSecurity>
  <Lines>409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Barratt</dc:creator>
  <cp:keywords/>
  <dc:description/>
  <cp:lastModifiedBy>Chris Barratt</cp:lastModifiedBy>
  <cp:revision>43</cp:revision>
  <dcterms:created xsi:type="dcterms:W3CDTF">2016-11-10T16:16:00Z</dcterms:created>
  <dcterms:modified xsi:type="dcterms:W3CDTF">2017-03-27T08:49:00Z</dcterms:modified>
</cp:coreProperties>
</file>