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52" w:val="clear"/>
            <w:tcMar>
              <w:top w:type="dxa" w:w="320"/>
              <w:left w:type="dxa" w:w="360"/>
              <w:bottom w:type="dxa" w:w="320"/>
              <w:right w:type="dxa" w:w="360"/>
            </w:tcMar>
          </w:tcPr>
          <w:p>
            <w:r>
              <w:rPr>
                <w:rFonts w:ascii="Courier New" w:cs="Courier New" w:eastAsia="Courier New" w:hAnsi="Courier New"/>
                <w:caps/>
                <w:color w:val="C8893A"/>
                <w:sz w:val="18"/>
                <w:szCs w:val="18"/>
              </w:rPr>
              <w:t xml:space="preserve">CANONICAL SPEC SHEET</w:t>
            </w:r>
          </w:p>
          <w:p>
            <w:pPr>
              <w:spacing w:after="100" w:before="0"/>
            </w:pPr>
          </w:p>
          <w:p>
            <w:r>
              <w:rPr>
                <w:rFonts w:ascii="Arial" w:cs="Arial" w:eastAsia="Arial" w:hAnsi="Arial"/>
                <w:b/>
                <w:bCs/>
                <w:color w:val="FFFFFF"/>
                <w:sz w:val="52"/>
                <w:szCs w:val="52"/>
              </w:rPr>
              <w:t xml:space="preserve">Social Enterprise Canvas</w:t>
            </w:r>
          </w:p>
          <w:p>
            <w:r>
              <w:rPr>
                <w:rFonts w:ascii="Arial" w:cs="Arial" w:eastAsia="Arial" w:hAnsi="Arial"/>
                <w:b/>
                <w:bCs/>
                <w:color w:val="FFFFFF"/>
                <w:sz w:val="52"/>
                <w:szCs w:val="52"/>
              </w:rPr>
              <w:t xml:space="preserve">(SEC) Mapping Tool</w:t>
            </w:r>
          </w:p>
          <w:p>
            <w:pPr>
              <w:spacing w:after="80" w:before="0"/>
            </w:pPr>
          </w:p>
          <w:p>
            <w:r>
              <w:rPr>
                <w:rFonts w:ascii="Arial" w:cs="Arial" w:eastAsia="Arial" w:hAnsi="Arial"/>
                <w:color w:val="AACCCC"/>
                <w:sz w:val="21"/>
                <w:szCs w:val="21"/>
              </w:rPr>
              <w:t xml:space="preserve">The Enterprise Synthesis &amp; Coherence layer of the DALE architecture. This document is the canonical specification for the SEC — covering purpose, activation logic, pipeline position, the 7-phase process, canonical outputs, and integration requirements.</w:t>
            </w:r>
          </w:p>
          <w:p>
            <w:pPr>
              <w:spacing w:after="200" w:before="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40"/>
            </w:tblGrid>
            <w:tr>
              <w:tc>
                <w:tcPr>
                  <w:tcBorders>
                    <w:top w:val="none" w:color="FFFFFF" w:sz="0"/>
                    <w:left w:val="none" w:color="FFFFFF" w:sz="0"/>
                    <w:bottom w:val="none" w:color="FFFFFF" w:sz="0"/>
                    <w:right w:val="none" w:color="FFFFFF" w:sz="0"/>
                  </w:tcBorders>
                  <w:shd w:fill="2A7A7E" w:val="clear"/>
                  <w:tcMar>
                    <w:top w:type="dxa" w:w="80"/>
                    <w:left w:type="dxa" w:w="120"/>
                    <w:bottom w:type="dxa" w:w="80"/>
                    <w:right w:type="dxa" w:w="100"/>
                  </w:tcMar>
                </w:tcPr>
                <w:p>
                  <w:r>
                    <w:rPr>
                      <w:rFonts w:ascii="Courier New" w:cs="Courier New" w:eastAsia="Courier New" w:hAnsi="Courier New"/>
                      <w:color w:val="C8893A"/>
                      <w:sz w:val="16"/>
                      <w:szCs w:val="16"/>
                    </w:rPr>
                    <w:t xml:space="preserve">Stage</w:t>
                  </w:r>
                </w:p>
                <w:p>
                  <w:r>
                    <w:rPr>
                      <w:rFonts w:ascii="Arial" w:cs="Arial" w:eastAsia="Arial" w:hAnsi="Arial"/>
                      <w:b/>
                      <w:bCs/>
                      <w:color w:val="FFFFFF"/>
                      <w:sz w:val="20"/>
                      <w:szCs w:val="20"/>
                    </w:rPr>
                    <w:t xml:space="preserve">Realize</w:t>
                  </w:r>
                </w:p>
              </w:tc>
              <w:tc>
                <w:tcPr>
                  <w:tcBorders>
                    <w:top w:val="none" w:color="FFFFFF" w:sz="0"/>
                    <w:left w:val="none" w:color="FFFFFF" w:sz="0"/>
                    <w:bottom w:val="none" w:color="FFFFFF" w:sz="0"/>
                    <w:right w:val="none" w:color="FFFFFF" w:sz="0"/>
                  </w:tcBorders>
                  <w:shd w:fill="2A7A7E" w:val="clear"/>
                  <w:tcMar>
                    <w:top w:type="dxa" w:w="80"/>
                    <w:left w:type="dxa" w:w="120"/>
                    <w:bottom w:type="dxa" w:w="80"/>
                    <w:right w:type="dxa" w:w="100"/>
                  </w:tcMar>
                </w:tcPr>
                <w:p>
                  <w:r>
                    <w:rPr>
                      <w:rFonts w:ascii="Courier New" w:cs="Courier New" w:eastAsia="Courier New" w:hAnsi="Courier New"/>
                      <w:color w:val="C8893A"/>
                      <w:sz w:val="16"/>
                      <w:szCs w:val="16"/>
                    </w:rPr>
                    <w:t xml:space="preserve">Activation</w:t>
                  </w:r>
                </w:p>
                <w:p>
                  <w:r>
                    <w:rPr>
                      <w:rFonts w:ascii="Arial" w:cs="Arial" w:eastAsia="Arial" w:hAnsi="Arial"/>
                      <w:b/>
                      <w:bCs/>
                      <w:color w:val="FFFFFF"/>
                      <w:sz w:val="20"/>
                      <w:szCs w:val="20"/>
                    </w:rPr>
                    <w:t xml:space="preserve">Conditional — Runner determines</w:t>
                  </w:r>
                </w:p>
              </w:tc>
              <w:tc>
                <w:tcPr>
                  <w:tcBorders>
                    <w:top w:val="none" w:color="FFFFFF" w:sz="0"/>
                    <w:left w:val="none" w:color="FFFFFF" w:sz="0"/>
                    <w:bottom w:val="none" w:color="FFFFFF" w:sz="0"/>
                    <w:right w:val="none" w:color="FFFFFF" w:sz="0"/>
                  </w:tcBorders>
                  <w:shd w:fill="2A7A7E" w:val="clear"/>
                  <w:tcMar>
                    <w:top w:type="dxa" w:w="80"/>
                    <w:left w:type="dxa" w:w="120"/>
                    <w:bottom w:type="dxa" w:w="80"/>
                    <w:right w:type="dxa" w:w="100"/>
                  </w:tcMar>
                </w:tcPr>
                <w:p>
                  <w:r>
                    <w:rPr>
                      <w:rFonts w:ascii="Courier New" w:cs="Courier New" w:eastAsia="Courier New" w:hAnsi="Courier New"/>
                      <w:color w:val="C8893A"/>
                      <w:sz w:val="16"/>
                      <w:szCs w:val="16"/>
                    </w:rPr>
                    <w:t xml:space="preserve">Feeds into</w:t>
                  </w:r>
                </w:p>
                <w:p>
                  <w:r>
                    <w:rPr>
                      <w:rFonts w:ascii="Arial" w:cs="Arial" w:eastAsia="Arial" w:hAnsi="Arial"/>
                      <w:b/>
                      <w:bCs/>
                      <w:color w:val="FFFFFF"/>
                      <w:sz w:val="20"/>
                      <w:szCs w:val="20"/>
                    </w:rPr>
                    <w:t xml:space="preserve">CBC or hybrid</w:t>
                  </w:r>
                </w:p>
              </w:tc>
              <w:tc>
                <w:tcPr>
                  <w:tcBorders>
                    <w:top w:val="none" w:color="FFFFFF" w:sz="0"/>
                    <w:left w:val="none" w:color="FFFFFF" w:sz="0"/>
                    <w:bottom w:val="none" w:color="FFFFFF" w:sz="0"/>
                    <w:right w:val="none" w:color="FFFFFF" w:sz="0"/>
                  </w:tcBorders>
                  <w:shd w:fill="2A7A7E" w:val="clear"/>
                  <w:tcMar>
                    <w:top w:type="dxa" w:w="80"/>
                    <w:left w:type="dxa" w:w="120"/>
                    <w:bottom w:type="dxa" w:w="80"/>
                    <w:right w:type="dxa" w:w="100"/>
                  </w:tcMar>
                </w:tcPr>
                <w:p>
                  <w:r>
                    <w:rPr>
                      <w:rFonts w:ascii="Courier New" w:cs="Courier New" w:eastAsia="Courier New" w:hAnsi="Courier New"/>
                      <w:color w:val="C8893A"/>
                      <w:sz w:val="16"/>
                      <w:szCs w:val="16"/>
                    </w:rPr>
                    <w:t xml:space="preserve">Version</w:t>
                  </w:r>
                </w:p>
                <w:p>
                  <w:r>
                    <w:rPr>
                      <w:rFonts w:ascii="Arial" w:cs="Arial" w:eastAsia="Arial" w:hAnsi="Arial"/>
                      <w:b/>
                      <w:bCs/>
                      <w:color w:val="FFFFFF"/>
                      <w:sz w:val="20"/>
                      <w:szCs w:val="20"/>
                    </w:rPr>
                    <w:t xml:space="preserve">1.0.0 · April 2026</w:t>
                  </w:r>
                </w:p>
              </w:tc>
            </w:tr>
          </w:tbl>
          <w:p/>
        </w:tc>
      </w:tr>
    </w:tbl>
    <w:p>
      <w:pPr>
        <w:spacing w:after="120" w:before="0"/>
      </w:pPr>
    </w:p>
    <w:p>
      <w:pPr>
        <w:spacing w:after="60" w:before="280"/>
      </w:pPr>
      <w:r>
        <w:rPr>
          <w:rFonts w:ascii="Courier New" w:cs="Courier New" w:eastAsia="Courier New" w:hAnsi="Courier New"/>
          <w:caps/>
          <w:color w:val="2A7A7E"/>
          <w:sz w:val="16"/>
          <w:szCs w:val="16"/>
        </w:rPr>
        <w:t xml:space="preserve">Section 1</w:t>
      </w:r>
    </w:p>
    <w:p>
      <w:pPr>
        <w:pBdr>
          <w:bottom w:val="single" w:color="1B4F52" w:sz="4" w:space="2"/>
        </w:pBdr>
        <w:spacing w:after="120" w:before="60"/>
      </w:pPr>
      <w:r>
        <w:rPr>
          <w:rFonts w:ascii="Arial" w:cs="Arial" w:eastAsia="Arial" w:hAnsi="Arial"/>
          <w:b/>
          <w:bCs/>
          <w:color w:val="1B4F52"/>
          <w:sz w:val="28"/>
          <w:szCs w:val="28"/>
        </w:rPr>
        <w:t xml:space="preserve">What SEC Is — Purpose and Canonical Role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40"/>
            </w:tcMar>
          </w:tcPr>
          <w:p>
            <w:pPr>
              <w:spacing w:after="80" w:before="180"/>
            </w:pPr>
            <w:r>
              <w:rPr>
                <w:rFonts w:ascii="Arial" w:cs="Arial" w:eastAsia="Arial" w:hAnsi="Arial"/>
                <w:b/>
                <w:bCs/>
                <w:color w:val="1B4F52"/>
                <w:sz w:val="22"/>
                <w:szCs w:val="22"/>
              </w:rPr>
              <w:t xml:space="preserve">The Enterprise Synthesis Layer</w:t>
            </w:r>
          </w:p>
          <w:p>
            <w:pPr>
              <w:spacing w:after="100" w:before="0"/>
            </w:pPr>
            <w:r>
              <w:rPr>
                <w:rFonts w:ascii="Arial" w:cs="Arial" w:eastAsia="Arial" w:hAnsi="Arial"/>
                <w:b w:val="false"/>
                <w:bCs w:val="false"/>
                <w:i w:val="false"/>
                <w:iCs w:val="false"/>
                <w:color w:val="1A1A18"/>
                <w:sz w:val="20"/>
                <w:szCs w:val="20"/>
              </w:rPr>
              <w:t xml:space="preserve">SEC is the enterprise synthesis and coherence layer of the DALE architecture. It organizes traceable structural outputs into enterprise operating architectures, flow systems, stewardship structures, continuity systems, delivery architectures, and scale and governance readiness structures.</w:t>
            </w:r>
          </w:p>
          <w:p>
            <w:pPr>
              <w:spacing w:after="80" w:before="0"/>
            </w:pPr>
          </w:p>
          <w:p>
            <w:pPr>
              <w:spacing w:after="100" w:before="0"/>
            </w:pPr>
            <w:r>
              <w:rPr>
                <w:rFonts w:ascii="Arial" w:cs="Arial" w:eastAsia="Arial" w:hAnsi="Arial"/>
                <w:b w:val="false"/>
                <w:bCs w:val="false"/>
                <w:i w:val="false"/>
                <w:iCs w:val="false"/>
                <w:color w:val="1A1A18"/>
                <w:sz w:val="20"/>
                <w:szCs w:val="20"/>
              </w:rPr>
              <w:t xml:space="preserve">SEC does not begin with ideas. It begins with structured system signal already processed through CoS observation, ECOA observational structuring, ARA resolution, and Runner execution logic.</w:t>
            </w:r>
          </w:p>
          <w:p>
            <w:pPr>
              <w:spacing w:after="80" w:before="0"/>
            </w:pPr>
          </w:p>
          <w:p>
            <w:pPr>
              <w:spacing w:after="100" w:before="0"/>
            </w:pPr>
            <w:r>
              <w:rPr>
                <w:rFonts w:ascii="Arial" w:cs="Arial" w:eastAsia="Arial" w:hAnsi="Arial"/>
                <w:b w:val="false"/>
                <w:bCs w:val="false"/>
                <w:i w:val="false"/>
                <w:iCs w:val="false"/>
                <w:color w:val="1A1A18"/>
                <w:sz w:val="20"/>
                <w:szCs w:val="20"/>
              </w:rPr>
              <w:t xml:space="preserve">SEC ensures that enterprise models are not imagined independently from reality, but synthesized from traceable system conditions.</w:t>
            </w:r>
          </w:p>
        </w:tc>
        <w:tc>
          <w:tcPr>
            <w:tcW w:type="dxa" w:w="4680"/>
            <w:tcBorders>
              <w:top w:val="none" w:color="FFFFFF" w:sz="0"/>
              <w:left w:val="none" w:color="FFFFFF" w:sz="0"/>
              <w:bottom w:val="none" w:color="FFFFFF" w:sz="0"/>
              <w:right w:val="none" w:color="FFFFFF" w:sz="0"/>
            </w:tcBorders>
            <w:tcMar>
              <w:top w:type="dxa" w:w="0"/>
              <w:left w:type="dxa" w:w="140"/>
              <w:bottom w:type="dxa" w:w="0"/>
              <w:right w:type="dxa" w:w="0"/>
            </w:tcMar>
          </w:tcPr>
          <w:p>
            <w:pPr>
              <w:spacing w:after="80" w:before="180"/>
            </w:pPr>
            <w:r>
              <w:rPr>
                <w:rFonts w:ascii="Arial" w:cs="Arial" w:eastAsia="Arial" w:hAnsi="Arial"/>
                <w:b/>
                <w:bCs/>
                <w:color w:val="1B4F52"/>
                <w:sz w:val="22"/>
                <w:szCs w:val="22"/>
              </w:rPr>
              <w:t xml:space="preserve">What SEC Determines</w:t>
            </w:r>
          </w:p>
          <w:p>
            <w:pPr>
              <w:spacing w:after="100" w:before="0"/>
            </w:pPr>
            <w:r>
              <w:rPr>
                <w:rFonts w:ascii="Arial" w:cs="Arial" w:eastAsia="Arial" w:hAnsi="Arial"/>
                <w:b w:val="false"/>
                <w:bCs w:val="false"/>
                <w:i w:val="false"/>
                <w:iCs w:val="false"/>
                <w:color w:val="1A1A18"/>
                <w:sz w:val="20"/>
                <w:szCs w:val="20"/>
              </w:rPr>
              <w:t xml:space="preserve">SEC's purpose is to determine whether a value model can:</w:t>
            </w:r>
          </w:p>
          <w:p>
            <w:pPr>
              <w:spacing w:after="40" w:before="0"/>
            </w:pPr>
          </w:p>
          <w:p>
            <w:pPr>
              <w:pStyle w:val="ListParagraph"/>
              <w:numPr>
                <w:ilvl w:val="0"/>
                <w:numId w:val="2"/>
              </w:numPr>
              <w:spacing w:after="80" w:before="0"/>
            </w:pPr>
            <w:r>
              <w:rPr>
                <w:rFonts w:ascii="Arial" w:cs="Arial" w:eastAsia="Arial" w:hAnsi="Arial"/>
                <w:b w:val="false"/>
                <w:bCs w:val="false"/>
                <w:color w:val="1A1A18"/>
                <w:sz w:val="20"/>
                <w:szCs w:val="20"/>
              </w:rPr>
              <w:t xml:space="preserve">Hold together as an operating system</w:t>
            </w:r>
          </w:p>
          <w:p>
            <w:pPr>
              <w:pStyle w:val="ListParagraph"/>
              <w:numPr>
                <w:ilvl w:val="0"/>
                <w:numId w:val="2"/>
              </w:numPr>
              <w:spacing w:after="80" w:before="0"/>
            </w:pPr>
            <w:r>
              <w:rPr>
                <w:rFonts w:ascii="Arial" w:cs="Arial" w:eastAsia="Arial" w:hAnsi="Arial"/>
                <w:b w:val="false"/>
                <w:bCs w:val="false"/>
                <w:color w:val="1A1A18"/>
                <w:sz w:val="20"/>
                <w:szCs w:val="20"/>
              </w:rPr>
              <w:t xml:space="preserve">Operate coherently under real-world conditions</w:t>
            </w:r>
          </w:p>
          <w:p>
            <w:pPr>
              <w:pStyle w:val="ListParagraph"/>
              <w:numPr>
                <w:ilvl w:val="0"/>
                <w:numId w:val="2"/>
              </w:numPr>
              <w:spacing w:after="80" w:before="0"/>
            </w:pPr>
            <w:r>
              <w:rPr>
                <w:rFonts w:ascii="Arial" w:cs="Arial" w:eastAsia="Arial" w:hAnsi="Arial"/>
                <w:b w:val="false"/>
                <w:bCs w:val="false"/>
                <w:color w:val="1A1A18"/>
                <w:sz w:val="20"/>
                <w:szCs w:val="20"/>
              </w:rPr>
              <w:t xml:space="preserve">Sustain itself over time</w:t>
            </w:r>
          </w:p>
          <w:p>
            <w:pPr>
              <w:pStyle w:val="ListParagraph"/>
              <w:numPr>
                <w:ilvl w:val="0"/>
                <w:numId w:val="2"/>
              </w:numPr>
              <w:spacing w:after="80" w:before="0"/>
            </w:pPr>
            <w:r>
              <w:rPr>
                <w:rFonts w:ascii="Arial" w:cs="Arial" w:eastAsia="Arial" w:hAnsi="Arial"/>
                <w:b w:val="false"/>
                <w:bCs w:val="false"/>
                <w:color w:val="1A1A18"/>
                <w:sz w:val="20"/>
                <w:szCs w:val="20"/>
              </w:rPr>
              <w:t xml:space="preserve">Adapt under pressure</w:t>
            </w:r>
          </w:p>
          <w:p>
            <w:pPr>
              <w:pStyle w:val="ListParagraph"/>
              <w:numPr>
                <w:ilvl w:val="0"/>
                <w:numId w:val="2"/>
              </w:numPr>
              <w:spacing w:after="80" w:before="0"/>
            </w:pPr>
            <w:r>
              <w:rPr>
                <w:rFonts w:ascii="Arial" w:cs="Arial" w:eastAsia="Arial" w:hAnsi="Arial"/>
                <w:b w:val="false"/>
                <w:bCs w:val="false"/>
                <w:color w:val="1A1A18"/>
                <w:sz w:val="20"/>
                <w:szCs w:val="20"/>
              </w:rPr>
              <w:t xml:space="preserve">Retain alignment between value, impact, and resourcing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B4F52"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i</w:t>
                  </w:r>
                </w:p>
              </w:tc>
              <w:tc>
                <w:tcPr>
                  <w:tcW w:type="dxa" w:w="9200"/>
                  <w:tcBorders>
                    <w:top w:val="none" w:color="FFFFFF" w:sz="0"/>
                    <w:left w:val="none" w:color="FFFFFF" w:sz="0"/>
                    <w:bottom w:val="none" w:color="FFFFFF" w:sz="0"/>
                    <w:right w:val="none" w:color="FFFFFF" w:sz="0"/>
                  </w:tcBorders>
                  <w:shd w:fill="D4ECEE" w:val="clear"/>
                  <w:tcMar>
                    <w:top w:type="dxa" w:w="100"/>
                    <w:left w:type="dxa" w:w="140"/>
                    <w:bottom w:type="dxa" w:w="100"/>
                    <w:right w:type="dxa" w:w="120"/>
                  </w:tcMar>
                </w:tcPr>
                <w:p>
                  <w:r>
                    <w:rPr>
                      <w:rFonts w:ascii="Arial" w:cs="Arial" w:eastAsia="Arial" w:hAnsi="Arial"/>
                      <w:color w:val="1A1A18"/>
                      <w:sz w:val="19"/>
                      <w:szCs w:val="19"/>
                    </w:rPr>
                    <w:t xml:space="preserve">"SEC does not invent coherence. It surfaces whether coherence exists, where it is fragile, and what remains unresolved."</w:t>
                  </w:r>
                </w:p>
              </w:tc>
            </w:tr>
          </w:tbl>
          <w:p/>
        </w:tc>
      </w:tr>
    </w:tbl>
    <w:p>
      <w:pPr>
        <w:spacing w:after="120" w:before="0"/>
      </w:pPr>
    </w:p>
    <w:p>
      <w:pPr>
        <w:spacing w:after="80" w:before="180"/>
      </w:pPr>
      <w:r>
        <w:rPr>
          <w:rFonts w:ascii="Arial" w:cs="Arial" w:eastAsia="Arial" w:hAnsi="Arial"/>
          <w:b/>
          <w:bCs/>
          <w:color w:val="1B4F52"/>
          <w:sz w:val="22"/>
          <w:szCs w:val="22"/>
        </w:rPr>
        <w:t xml:space="preserve">How SEC Came to Be</w:t>
      </w:r>
    </w:p>
    <w:p>
      <w:pPr>
        <w:spacing w:after="100" w:before="0"/>
      </w:pPr>
      <w:r>
        <w:rPr>
          <w:rFonts w:ascii="Arial" w:cs="Arial" w:eastAsia="Arial" w:hAnsi="Arial"/>
          <w:b w:val="false"/>
          <w:bCs w:val="false"/>
          <w:i w:val="false"/>
          <w:iCs w:val="false"/>
          <w:color w:val="1A1A18"/>
          <w:sz w:val="20"/>
          <w:szCs w:val="20"/>
        </w:rPr>
        <w:t xml:space="preserve">SEC emerged from repeated observation that many enterprises — especially in social impact and localization contexts — fail not because of weak intentions, but because the relationship between value, impact, money, governance, leadership, delivery, and continuity is never structurally mapped.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40"/>
            </w:tcMar>
          </w:tcPr>
          <w:p>
            <w:pPr>
              <w:spacing w:after="100" w:before="0"/>
            </w:pPr>
            <w:r>
              <w:rPr>
                <w:rFonts w:ascii="Arial" w:cs="Arial" w:eastAsia="Arial" w:hAnsi="Arial"/>
                <w:b/>
                <w:bCs/>
                <w:i w:val="false"/>
                <w:iCs w:val="false"/>
                <w:color w:val="1A1A18"/>
                <w:sz w:val="20"/>
                <w:szCs w:val="20"/>
              </w:rPr>
              <w:t xml:space="preserve">Traditional models often separate:</w:t>
            </w:r>
          </w:p>
          <w:p>
            <w:pPr>
              <w:pStyle w:val="ListParagraph"/>
              <w:numPr>
                <w:ilvl w:val="0"/>
                <w:numId w:val="2"/>
              </w:numPr>
              <w:spacing w:after="80" w:before="0"/>
            </w:pPr>
            <w:r>
              <w:rPr>
                <w:rFonts w:ascii="Arial" w:cs="Arial" w:eastAsia="Arial" w:hAnsi="Arial"/>
                <w:b w:val="false"/>
                <w:bCs w:val="false"/>
                <w:color w:val="1A1A18"/>
                <w:sz w:val="20"/>
                <w:szCs w:val="20"/>
              </w:rPr>
              <w:t xml:space="preserve">Revenue from impact</w:t>
            </w:r>
          </w:p>
          <w:p>
            <w:pPr>
              <w:pStyle w:val="ListParagraph"/>
              <w:numPr>
                <w:ilvl w:val="0"/>
                <w:numId w:val="2"/>
              </w:numPr>
              <w:spacing w:after="80" w:before="0"/>
            </w:pPr>
            <w:r>
              <w:rPr>
                <w:rFonts w:ascii="Arial" w:cs="Arial" w:eastAsia="Arial" w:hAnsi="Arial"/>
                <w:b w:val="false"/>
                <w:bCs w:val="false"/>
                <w:color w:val="1A1A18"/>
                <w:sz w:val="20"/>
                <w:szCs w:val="20"/>
              </w:rPr>
              <w:t xml:space="preserve">Delivery from governance</w:t>
            </w:r>
          </w:p>
          <w:p>
            <w:pPr>
              <w:pStyle w:val="ListParagraph"/>
              <w:numPr>
                <w:ilvl w:val="0"/>
                <w:numId w:val="2"/>
              </w:numPr>
              <w:spacing w:after="80" w:before="0"/>
            </w:pPr>
            <w:r>
              <w:rPr>
                <w:rFonts w:ascii="Arial" w:cs="Arial" w:eastAsia="Arial" w:hAnsi="Arial"/>
                <w:b w:val="false"/>
                <w:bCs w:val="false"/>
                <w:color w:val="1A1A18"/>
                <w:sz w:val="20"/>
                <w:szCs w:val="20"/>
              </w:rPr>
              <w:t xml:space="preserve">Growth from continuity</w:t>
            </w:r>
          </w:p>
          <w:p>
            <w:pPr>
              <w:pStyle w:val="ListParagraph"/>
              <w:numPr>
                <w:ilvl w:val="0"/>
                <w:numId w:val="2"/>
              </w:numPr>
              <w:spacing w:after="80" w:before="0"/>
            </w:pPr>
            <w:r>
              <w:rPr>
                <w:rFonts w:ascii="Arial" w:cs="Arial" w:eastAsia="Arial" w:hAnsi="Arial"/>
                <w:b w:val="false"/>
                <w:bCs w:val="false"/>
                <w:color w:val="1A1A18"/>
                <w:sz w:val="20"/>
                <w:szCs w:val="20"/>
              </w:rPr>
              <w:t xml:space="preserve">Data from decision-making</w:t>
            </w:r>
          </w:p>
          <w:p>
            <w:pPr>
              <w:spacing w:after="60" w:before="0"/>
            </w:pPr>
          </w:p>
          <w:p>
            <w:pPr>
              <w:spacing w:after="100" w:before="0"/>
            </w:pPr>
            <w:r>
              <w:rPr>
                <w:rFonts w:ascii="Arial" w:cs="Arial" w:eastAsia="Arial" w:hAnsi="Arial"/>
                <w:b w:val="false"/>
                <w:bCs w:val="false"/>
                <w:i w:val="false"/>
                <w:iCs w:val="false"/>
                <w:color w:val="1A1A18"/>
                <w:sz w:val="20"/>
                <w:szCs w:val="20"/>
              </w:rPr>
              <w:t xml:space="preserve">This creates systems that appear functional externally but become fragile under operational stress.</w:t>
            </w:r>
          </w:p>
        </w:tc>
        <w:tc>
          <w:tcPr>
            <w:tcW w:type="dxa" w:w="4680"/>
            <w:tcBorders>
              <w:top w:val="none" w:color="FFFFFF" w:sz="0"/>
              <w:left w:val="none" w:color="FFFFFF" w:sz="0"/>
              <w:bottom w:val="none" w:color="FFFFFF" w:sz="0"/>
              <w:right w:val="none" w:color="FFFFFF" w:sz="0"/>
            </w:tcBorders>
            <w:tcMar>
              <w:top w:type="dxa" w:w="0"/>
              <w:left w:type="dxa" w:w="140"/>
              <w:bottom w:type="dxa" w:w="0"/>
              <w:right w:type="dxa" w:w="0"/>
            </w:tcMar>
          </w:tcPr>
          <w:p>
            <w:pPr>
              <w:spacing w:after="100" w:before="0"/>
            </w:pPr>
            <w:r>
              <w:rPr>
                <w:rFonts w:ascii="Arial" w:cs="Arial" w:eastAsia="Arial" w:hAnsi="Arial"/>
                <w:b/>
                <w:bCs/>
                <w:i w:val="false"/>
                <w:iCs w:val="false"/>
                <w:color w:val="1A1A18"/>
                <w:sz w:val="20"/>
                <w:szCs w:val="20"/>
              </w:rPr>
              <w:t xml:space="preserve">SEC was developed to:</w:t>
            </w:r>
          </w:p>
          <w:p>
            <w:pPr>
              <w:pStyle w:val="ListParagraph"/>
              <w:numPr>
                <w:ilvl w:val="0"/>
                <w:numId w:val="2"/>
              </w:numPr>
              <w:spacing w:after="80" w:before="0"/>
            </w:pPr>
            <w:r>
              <w:rPr>
                <w:rFonts w:ascii="Arial" w:cs="Arial" w:eastAsia="Arial" w:hAnsi="Arial"/>
                <w:b w:val="false"/>
                <w:bCs w:val="false"/>
                <w:color w:val="1A1A18"/>
                <w:sz w:val="20"/>
                <w:szCs w:val="20"/>
              </w:rPr>
              <w:t xml:space="preserve">Make enterprise coherence observable and traceable before scale, funding, or formalization occurs</w:t>
            </w:r>
          </w:p>
          <w:p>
            <w:pPr>
              <w:pStyle w:val="ListParagraph"/>
              <w:numPr>
                <w:ilvl w:val="0"/>
                <w:numId w:val="2"/>
              </w:numPr>
              <w:spacing w:after="80" w:before="0"/>
            </w:pPr>
            <w:r>
              <w:rPr>
                <w:rFonts w:ascii="Arial" w:cs="Arial" w:eastAsia="Arial" w:hAnsi="Arial"/>
                <w:b w:val="false"/>
                <w:bCs w:val="false"/>
                <w:color w:val="1A1A18"/>
                <w:sz w:val="20"/>
                <w:szCs w:val="20"/>
              </w:rPr>
              <w:t xml:space="preserve">Extend the DALE architecture from observing systems (CoS) into synthesizing stewardable operating systems</w:t>
            </w:r>
          </w:p>
          <w:p>
            <w:pPr>
              <w:pStyle w:val="ListParagraph"/>
              <w:numPr>
                <w:ilvl w:val="0"/>
                <w:numId w:val="2"/>
              </w:numPr>
              <w:spacing w:after="80" w:before="0"/>
            </w:pPr>
            <w:r>
              <w:rPr>
                <w:rFonts w:ascii="Arial" w:cs="Arial" w:eastAsia="Arial" w:hAnsi="Arial"/>
                <w:b w:val="false"/>
                <w:bCs w:val="false"/>
                <w:color w:val="1A1A18"/>
                <w:sz w:val="20"/>
                <w:szCs w:val="20"/>
              </w:rPr>
              <w:t xml:space="preserve">Expose tensions before they become system failure</w:t>
            </w:r>
          </w:p>
        </w:tc>
      </w:tr>
    </w:tbl>
    <w:p>
      <w:pPr>
        <w:spacing w:after="120" w:before="0"/>
      </w:pPr>
    </w:p>
    <w:p>
      <w:pPr>
        <w:spacing w:after="80" w:before="180"/>
      </w:pPr>
      <w:r>
        <w:rPr>
          <w:rFonts w:ascii="Arial" w:cs="Arial" w:eastAsia="Arial" w:hAnsi="Arial"/>
          <w:b/>
          <w:bCs/>
          <w:color w:val="1B4F52"/>
          <w:sz w:val="22"/>
          <w:szCs w:val="22"/>
        </w:rPr>
        <w:t xml:space="preserve">What SEC Entails vs. What It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1B4F52" w:val="clear"/>
            <w:tcMar>
              <w:top w:type="dxa" w:w="80"/>
              <w:left w:type="dxa" w:w="160"/>
              <w:bottom w:type="dxa" w:w="80"/>
              <w:right w:type="dxa" w:w="120"/>
            </w:tcMar>
          </w:tcPr>
          <w:p>
            <w:r>
              <w:rPr>
                <w:rFonts w:ascii="Arial" w:cs="Arial" w:eastAsia="Arial" w:hAnsi="Arial"/>
                <w:b/>
                <w:bCs/>
                <w:caps/>
                <w:color w:val="FFFFFF"/>
                <w:sz w:val="20"/>
                <w:szCs w:val="20"/>
              </w:rPr>
              <w:t xml:space="preserve">SEC Involves</w:t>
            </w:r>
          </w:p>
        </w:tc>
        <w:tc>
          <w:tcPr>
            <w:tcBorders>
              <w:top w:val="none" w:color="FFFFFF" w:sz="0"/>
              <w:left w:val="none" w:color="FFFFFF" w:sz="0"/>
              <w:bottom w:val="none" w:color="FFFFFF" w:sz="0"/>
              <w:right w:val="none" w:color="FFFFFF" w:sz="0"/>
            </w:tcBorders>
            <w:shd w:fill="B85252" w:val="clear"/>
            <w:tcMar>
              <w:top w:type="dxa" w:w="80"/>
              <w:left w:type="dxa" w:w="160"/>
              <w:bottom w:type="dxa" w:w="80"/>
              <w:right w:type="dxa" w:w="120"/>
            </w:tcMar>
          </w:tcPr>
          <w:p>
            <w:r>
              <w:rPr>
                <w:rFonts w:ascii="Arial" w:cs="Arial" w:eastAsia="Arial" w:hAnsi="Arial"/>
                <w:b/>
                <w:bCs/>
                <w:caps/>
                <w:color w:val="FFFFFF"/>
                <w:sz w:val="20"/>
                <w:szCs w:val="20"/>
              </w:rPr>
              <w:t xml:space="preserve">SEC Does NOT Involve</w:t>
            </w:r>
          </w:p>
        </w:tc>
      </w:tr>
      <w:tr>
        <w:tc>
          <w:tcPr>
            <w:tcBorders>
              <w:top w:val="single" w:color="D8D3C8" w:sz="1"/>
              <w:left w:val="single" w:color="D8D3C8" w:sz="1"/>
              <w:bottom w:val="single" w:color="D8D3C8" w:sz="1"/>
              <w:right w:val="single" w:color="D8D3C8" w:sz="1"/>
            </w:tcBorders>
            <w:shd w:fill="FFFFFF" w:val="clear"/>
            <w:tcMar>
              <w:top w:type="dxa" w:w="60"/>
              <w:left w:type="dxa" w:w="160"/>
              <w:bottom w:type="dxa" w:w="60"/>
              <w:right w:type="dxa" w:w="120"/>
            </w:tcMar>
          </w:tcPr>
          <w:p>
            <w:r>
              <w:rPr>
                <w:rFonts w:ascii="Arial" w:cs="Arial" w:eastAsia="Arial" w:hAnsi="Arial"/>
                <w:color w:val="1A1A18"/>
                <w:sz w:val="19"/>
                <w:szCs w:val="19"/>
              </w:rPr>
              <w:t xml:space="preserve">Organizing traceable enterprise structures</w:t>
            </w:r>
          </w:p>
        </w:tc>
        <w:tc>
          <w:tcPr>
            <w:tcBorders>
              <w:top w:val="single" w:color="D8D3C8" w:sz="1"/>
              <w:left w:val="single" w:color="D8D3C8" w:sz="1"/>
              <w:bottom w:val="single" w:color="D8D3C8" w:sz="1"/>
              <w:right w:val="single" w:color="D8D3C8" w:sz="1"/>
            </w:tcBorders>
            <w:shd w:fill="FFFFFF" w:val="clear"/>
            <w:tcMar>
              <w:top w:type="dxa" w:w="60"/>
              <w:left w:type="dxa" w:w="160"/>
              <w:bottom w:type="dxa" w:w="60"/>
              <w:right w:type="dxa" w:w="120"/>
            </w:tcMar>
          </w:tcPr>
          <w:p>
            <w:r>
              <w:rPr>
                <w:rFonts w:ascii="Arial" w:cs="Arial" w:eastAsia="Arial" w:hAnsi="Arial"/>
                <w:color w:val="1A1A18"/>
                <w:sz w:val="19"/>
                <w:szCs w:val="19"/>
              </w:rPr>
              <w:t xml:space="preserve">Inventing enterprise ideas detached from system reality</w:t>
            </w:r>
          </w:p>
        </w:tc>
      </w:tr>
      <w:tr>
        <w:tc>
          <w:tcPr>
            <w:tcBorders>
              <w:top w:val="single" w:color="D8D3C8" w:sz="1"/>
              <w:left w:val="single" w:color="D8D3C8" w:sz="1"/>
              <w:bottom w:val="single" w:color="D8D3C8" w:sz="1"/>
              <w:right w:val="single" w:color="D8D3C8" w:sz="1"/>
            </w:tcBorders>
            <w:shd w:fill="D4ECEE" w:val="clear"/>
            <w:tcMar>
              <w:top w:type="dxa" w:w="60"/>
              <w:left w:type="dxa" w:w="160"/>
              <w:bottom w:type="dxa" w:w="60"/>
              <w:right w:type="dxa" w:w="120"/>
            </w:tcMar>
          </w:tcPr>
          <w:p>
            <w:r>
              <w:rPr>
                <w:rFonts w:ascii="Arial" w:cs="Arial" w:eastAsia="Arial" w:hAnsi="Arial"/>
                <w:color w:val="1A1A18"/>
                <w:sz w:val="19"/>
                <w:szCs w:val="19"/>
              </w:rPr>
              <w:t xml:space="preserve">Mapping value, impact, money, data, and decision flows</w:t>
            </w:r>
          </w:p>
        </w:tc>
        <w:tc>
          <w:tcPr>
            <w:tcBorders>
              <w:top w:val="single" w:color="D8D3C8" w:sz="1"/>
              <w:left w:val="single" w:color="D8D3C8" w:sz="1"/>
              <w:bottom w:val="single" w:color="D8D3C8" w:sz="1"/>
              <w:right w:val="single" w:color="D8D3C8" w:sz="1"/>
            </w:tcBorders>
            <w:shd w:fill="FAEEEE" w:val="clear"/>
            <w:tcMar>
              <w:top w:type="dxa" w:w="60"/>
              <w:left w:type="dxa" w:w="160"/>
              <w:bottom w:type="dxa" w:w="60"/>
              <w:right w:type="dxa" w:w="120"/>
            </w:tcMar>
          </w:tcPr>
          <w:p>
            <w:r>
              <w:rPr>
                <w:rFonts w:ascii="Arial" w:cs="Arial" w:eastAsia="Arial" w:hAnsi="Arial"/>
                <w:color w:val="1A1A18"/>
                <w:sz w:val="19"/>
                <w:szCs w:val="19"/>
              </w:rPr>
              <w:t xml:space="preserve">Producing polished investor narratives</w:t>
            </w:r>
          </w:p>
        </w:tc>
      </w:tr>
      <w:tr>
        <w:tc>
          <w:tcPr>
            <w:tcBorders>
              <w:top w:val="single" w:color="D8D3C8" w:sz="1"/>
              <w:left w:val="single" w:color="D8D3C8" w:sz="1"/>
              <w:bottom w:val="single" w:color="D8D3C8" w:sz="1"/>
              <w:right w:val="single" w:color="D8D3C8" w:sz="1"/>
            </w:tcBorders>
            <w:shd w:fill="FFFFFF" w:val="clear"/>
            <w:tcMar>
              <w:top w:type="dxa" w:w="60"/>
              <w:left w:type="dxa" w:w="160"/>
              <w:bottom w:type="dxa" w:w="60"/>
              <w:right w:type="dxa" w:w="120"/>
            </w:tcMar>
          </w:tcPr>
          <w:p>
            <w:r>
              <w:rPr>
                <w:rFonts w:ascii="Arial" w:cs="Arial" w:eastAsia="Arial" w:hAnsi="Arial"/>
                <w:color w:val="1A1A18"/>
                <w:sz w:val="19"/>
                <w:szCs w:val="19"/>
              </w:rPr>
              <w:t xml:space="preserve">Identifying operational tensions and dependencies</w:t>
            </w:r>
          </w:p>
        </w:tc>
        <w:tc>
          <w:tcPr>
            <w:tcBorders>
              <w:top w:val="single" w:color="D8D3C8" w:sz="1"/>
              <w:left w:val="single" w:color="D8D3C8" w:sz="1"/>
              <w:bottom w:val="single" w:color="D8D3C8" w:sz="1"/>
              <w:right w:val="single" w:color="D8D3C8" w:sz="1"/>
            </w:tcBorders>
            <w:shd w:fill="FFFFFF" w:val="clear"/>
            <w:tcMar>
              <w:top w:type="dxa" w:w="60"/>
              <w:left w:type="dxa" w:w="160"/>
              <w:bottom w:type="dxa" w:w="60"/>
              <w:right w:type="dxa" w:w="120"/>
            </w:tcMar>
          </w:tcPr>
          <w:p>
            <w:r>
              <w:rPr>
                <w:rFonts w:ascii="Arial" w:cs="Arial" w:eastAsia="Arial" w:hAnsi="Arial"/>
                <w:color w:val="1A1A18"/>
                <w:sz w:val="19"/>
                <w:szCs w:val="19"/>
              </w:rPr>
              <w:t xml:space="preserve">Assuming coherence without traceability</w:t>
            </w:r>
          </w:p>
        </w:tc>
      </w:tr>
      <w:tr>
        <w:tc>
          <w:tcPr>
            <w:tcBorders>
              <w:top w:val="single" w:color="D8D3C8" w:sz="1"/>
              <w:left w:val="single" w:color="D8D3C8" w:sz="1"/>
              <w:bottom w:val="single" w:color="D8D3C8" w:sz="1"/>
              <w:right w:val="single" w:color="D8D3C8" w:sz="1"/>
            </w:tcBorders>
            <w:shd w:fill="D4ECEE" w:val="clear"/>
            <w:tcMar>
              <w:top w:type="dxa" w:w="60"/>
              <w:left w:type="dxa" w:w="160"/>
              <w:bottom w:type="dxa" w:w="60"/>
              <w:right w:type="dxa" w:w="120"/>
            </w:tcMar>
          </w:tcPr>
          <w:p>
            <w:r>
              <w:rPr>
                <w:rFonts w:ascii="Arial" w:cs="Arial" w:eastAsia="Arial" w:hAnsi="Arial"/>
                <w:color w:val="1A1A18"/>
                <w:sz w:val="19"/>
                <w:szCs w:val="19"/>
              </w:rPr>
              <w:t xml:space="preserve">Structuring enterprise operating architecture</w:t>
            </w:r>
          </w:p>
        </w:tc>
        <w:tc>
          <w:tcPr>
            <w:tcBorders>
              <w:top w:val="single" w:color="D8D3C8" w:sz="1"/>
              <w:left w:val="single" w:color="D8D3C8" w:sz="1"/>
              <w:bottom w:val="single" w:color="D8D3C8" w:sz="1"/>
              <w:right w:val="single" w:color="D8D3C8" w:sz="1"/>
            </w:tcBorders>
            <w:shd w:fill="FAEEEE" w:val="clear"/>
            <w:tcMar>
              <w:top w:type="dxa" w:w="60"/>
              <w:left w:type="dxa" w:w="160"/>
              <w:bottom w:type="dxa" w:w="60"/>
              <w:right w:type="dxa" w:w="120"/>
            </w:tcMar>
          </w:tcPr>
          <w:p>
            <w:r>
              <w:rPr>
                <w:rFonts w:ascii="Arial" w:cs="Arial" w:eastAsia="Arial" w:hAnsi="Arial"/>
                <w:color w:val="1A1A18"/>
                <w:sz w:val="19"/>
                <w:szCs w:val="19"/>
              </w:rPr>
              <w:t xml:space="preserve">Replacing CoS, ECOA, ARA, or Runner</w:t>
            </w:r>
          </w:p>
        </w:tc>
      </w:tr>
      <w:tr>
        <w:tc>
          <w:tcPr>
            <w:tcBorders>
              <w:top w:val="single" w:color="D8D3C8" w:sz="1"/>
              <w:left w:val="single" w:color="D8D3C8" w:sz="1"/>
              <w:bottom w:val="single" w:color="D8D3C8" w:sz="1"/>
              <w:right w:val="single" w:color="D8D3C8" w:sz="1"/>
            </w:tcBorders>
            <w:shd w:fill="FFFFFF" w:val="clear"/>
            <w:tcMar>
              <w:top w:type="dxa" w:w="60"/>
              <w:left w:type="dxa" w:w="160"/>
              <w:bottom w:type="dxa" w:w="60"/>
              <w:right w:type="dxa" w:w="120"/>
            </w:tcMar>
          </w:tcPr>
          <w:p>
            <w:r>
              <w:rPr>
                <w:rFonts w:ascii="Arial" w:cs="Arial" w:eastAsia="Arial" w:hAnsi="Arial"/>
                <w:color w:val="1A1A18"/>
                <w:sz w:val="19"/>
                <w:szCs w:val="19"/>
              </w:rPr>
              <w:t xml:space="preserve">Exposing bottlenecks and continuity risks</w:t>
            </w:r>
          </w:p>
        </w:tc>
        <w:tc>
          <w:tcPr>
            <w:tcBorders>
              <w:top w:val="single" w:color="D8D3C8" w:sz="1"/>
              <w:left w:val="single" w:color="D8D3C8" w:sz="1"/>
              <w:bottom w:val="single" w:color="D8D3C8" w:sz="1"/>
              <w:right w:val="single" w:color="D8D3C8" w:sz="1"/>
            </w:tcBorders>
            <w:shd w:fill="FFFFFF" w:val="clear"/>
            <w:tcMar>
              <w:top w:type="dxa" w:w="60"/>
              <w:left w:type="dxa" w:w="160"/>
              <w:bottom w:type="dxa" w:w="60"/>
              <w:right w:type="dxa" w:w="120"/>
            </w:tcMar>
          </w:tcPr>
          <w:p>
            <w:r>
              <w:rPr>
                <w:rFonts w:ascii="Arial" w:cs="Arial" w:eastAsia="Arial" w:hAnsi="Arial"/>
                <w:color w:val="1A1A18"/>
                <w:sz w:val="19"/>
                <w:szCs w:val="19"/>
              </w:rPr>
              <w:t xml:space="preserve">Hiding fragility to make the model appear stronger</w:t>
            </w:r>
          </w:p>
        </w:tc>
      </w:tr>
      <w:tr>
        <w:tc>
          <w:tcPr>
            <w:tcBorders>
              <w:top w:val="single" w:color="D8D3C8" w:sz="1"/>
              <w:left w:val="single" w:color="D8D3C8" w:sz="1"/>
              <w:bottom w:val="single" w:color="D8D3C8" w:sz="1"/>
              <w:right w:val="single" w:color="D8D3C8" w:sz="1"/>
            </w:tcBorders>
            <w:shd w:fill="D4ECEE" w:val="clear"/>
            <w:tcMar>
              <w:top w:type="dxa" w:w="60"/>
              <w:left w:type="dxa" w:w="160"/>
              <w:bottom w:type="dxa" w:w="60"/>
              <w:right w:type="dxa" w:w="120"/>
            </w:tcMar>
          </w:tcPr>
          <w:p>
            <w:r>
              <w:rPr>
                <w:rFonts w:ascii="Arial" w:cs="Arial" w:eastAsia="Arial" w:hAnsi="Arial"/>
                <w:color w:val="1A1A18"/>
                <w:sz w:val="19"/>
                <w:szCs w:val="19"/>
              </w:rPr>
              <w:t xml:space="preserve">Preparing enterprise structures for stewardship and formalization</w:t>
            </w:r>
          </w:p>
        </w:tc>
        <w:tc>
          <w:tcPr>
            <w:tcBorders>
              <w:top w:val="single" w:color="D8D3C8" w:sz="1"/>
              <w:left w:val="single" w:color="D8D3C8" w:sz="1"/>
              <w:bottom w:val="single" w:color="D8D3C8" w:sz="1"/>
              <w:right w:val="single" w:color="D8D3C8" w:sz="1"/>
            </w:tcBorders>
            <w:shd w:fill="FAEEEE" w:val="clear"/>
            <w:tcMar>
              <w:top w:type="dxa" w:w="60"/>
              <w:left w:type="dxa" w:w="160"/>
              <w:bottom w:type="dxa" w:w="60"/>
              <w:right w:type="dxa" w:w="120"/>
            </w:tcMar>
          </w:tcPr>
          <w:p>
            <w:r>
              <w:rPr>
                <w:rFonts w:ascii="Arial" w:cs="Arial" w:eastAsia="Arial" w:hAnsi="Arial"/>
                <w:color w:val="1A1A18"/>
                <w:sz w:val="19"/>
                <w:szCs w:val="19"/>
              </w:rPr>
              <w:t xml:space="preserve">Jumping directly into scaling or implementation</w:t>
            </w:r>
          </w:p>
        </w:tc>
      </w:tr>
      <w:tr>
        <w:tc>
          <w:tcPr>
            <w:tcBorders>
              <w:top w:val="single" w:color="D8D3C8" w:sz="1"/>
              <w:left w:val="single" w:color="D8D3C8" w:sz="1"/>
              <w:bottom w:val="single" w:color="D8D3C8" w:sz="1"/>
              <w:right w:val="single" w:color="D8D3C8" w:sz="1"/>
            </w:tcBorders>
            <w:shd w:fill="FFFFFF" w:val="clear"/>
            <w:tcMar>
              <w:top w:type="dxa" w:w="60"/>
              <w:left w:type="dxa" w:w="160"/>
              <w:bottom w:type="dxa" w:w="60"/>
              <w:right w:type="dxa" w:w="120"/>
            </w:tcMar>
          </w:tcPr>
          <w:p>
            <w:r>
              <w:rPr>
                <w:rFonts w:ascii="Arial" w:cs="Arial" w:eastAsia="Arial" w:hAnsi="Arial"/>
                <w:color w:val="1A1A18"/>
                <w:sz w:val="19"/>
                <w:szCs w:val="19"/>
              </w:rPr>
              <w:t xml:space="preserve">Preserving unresolved conditions explicitly</w:t>
            </w:r>
          </w:p>
        </w:tc>
        <w:tc>
          <w:tcPr>
            <w:tcBorders>
              <w:top w:val="single" w:color="D8D3C8" w:sz="1"/>
              <w:left w:val="single" w:color="D8D3C8" w:sz="1"/>
              <w:bottom w:val="single" w:color="D8D3C8" w:sz="1"/>
              <w:right w:val="single" w:color="D8D3C8" w:sz="1"/>
            </w:tcBorders>
            <w:shd w:fill="FFFFFF" w:val="clear"/>
            <w:tcMar>
              <w:top w:type="dxa" w:w="60"/>
              <w:left w:type="dxa" w:w="160"/>
              <w:bottom w:type="dxa" w:w="60"/>
              <w:right w:type="dxa" w:w="120"/>
            </w:tcMar>
          </w:tcPr>
          <w:p>
            <w:r>
              <w:rPr>
                <w:rFonts w:ascii="Arial" w:cs="Arial" w:eastAsia="Arial" w:hAnsi="Arial"/>
                <w:color w:val="1A1A18"/>
                <w:sz w:val="19"/>
                <w:szCs w:val="19"/>
              </w:rPr>
              <w:t xml:space="preserve">Treating missingness as complete resolution</w:t>
            </w:r>
          </w:p>
        </w:tc>
      </w:tr>
    </w:tbl>
    <w:p>
      <w:pPr>
        <w:spacing w:after="120" w:before="0"/>
      </w:pPr>
    </w:p>
    <w:p>
      <w:r>
        <w:br w:type="page"/>
      </w:r>
    </w:p>
    <w:p>
      <w:pPr>
        <w:spacing w:after="60" w:before="280"/>
      </w:pPr>
      <w:r>
        <w:rPr>
          <w:rFonts w:ascii="Courier New" w:cs="Courier New" w:eastAsia="Courier New" w:hAnsi="Courier New"/>
          <w:caps/>
          <w:color w:val="2A7A7E"/>
          <w:sz w:val="16"/>
          <w:szCs w:val="16"/>
        </w:rPr>
        <w:t xml:space="preserve">Section 2</w:t>
      </w:r>
    </w:p>
    <w:p>
      <w:pPr>
        <w:pBdr>
          <w:bottom w:val="single" w:color="1B4F52" w:sz="4" w:space="2"/>
        </w:pBdr>
        <w:spacing w:after="120" w:before="60"/>
      </w:pPr>
      <w:r>
        <w:rPr>
          <w:rFonts w:ascii="Arial" w:cs="Arial" w:eastAsia="Arial" w:hAnsi="Arial"/>
          <w:b/>
          <w:bCs/>
          <w:color w:val="1B4F52"/>
          <w:sz w:val="28"/>
          <w:szCs w:val="28"/>
        </w:rPr>
        <w:t xml:space="preserve">Pipeline Position &amp; Activation Logic</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
        <w:gridCol w:w="1280"/>
        <w:gridCol w:w="320"/>
        <w:gridCol w:w="1240"/>
        <w:gridCol w:w="320"/>
        <w:gridCol w:w="1360"/>
        <w:gridCol w:w="320"/>
        <w:gridCol w:w="880"/>
        <w:gridCol w:w="320"/>
        <w:gridCol w:w="800"/>
      </w:tblGrid>
      <w:tr>
        <w:tc>
          <w:tcPr>
            <w:tcBorders>
              <w:top w:val="none" w:color="FFFFFF" w:sz="0"/>
              <w:left w:val="none" w:color="FFFFFF" w:sz="0"/>
              <w:bottom w:val="none" w:color="FFFFFF" w:sz="0"/>
              <w:right w:val="none" w:color="FFFFFF" w:sz="0"/>
            </w:tcBorders>
            <w:shd w:fill="1B4F52" w:val="clear"/>
            <w:tcMar>
              <w:top w:type="dxa" w:w="70"/>
              <w:left w:type="dxa" w:w="60"/>
              <w:bottom w:type="dxa" w:w="70"/>
              <w:right w:type="dxa" w:w="60"/>
            </w:tcMar>
          </w:tcPr>
          <w:p>
            <w:pPr>
              <w:jc w:val="center"/>
            </w:pPr>
            <w:r>
              <w:rPr>
                <w:rFonts w:ascii="Arial" w:cs="Arial" w:eastAsia="Arial" w:hAnsi="Arial"/>
                <w:b/>
                <w:bCs/>
                <w:color w:val="C8893A"/>
                <w:sz w:val="17"/>
                <w:szCs w:val="17"/>
              </w:rPr>
              <w:t xml:space="preserve">CoS Mapping</w:t>
            </w:r>
          </w:p>
        </w:tc>
        <w:tc>
          <w:tcPr>
            <w:tcBorders>
              <w:top w:val="none" w:color="FFFFFF" w:sz="0"/>
              <w:left w:val="none" w:color="FFFFFF" w:sz="0"/>
              <w:bottom w:val="none" w:color="FFFFFF" w:sz="0"/>
              <w:right w:val="none" w:color="FFFFFF" w:sz="0"/>
            </w:tcBorders>
            <w:shd w:fill="FFFFFF" w:val="clear"/>
            <w:tcMar>
              <w:top w:type="dxa" w:w="70"/>
              <w:left w:type="dxa" w:w="60"/>
              <w:bottom w:type="dxa" w:w="70"/>
              <w:right w:type="dxa" w:w="60"/>
            </w:tcMar>
          </w:tcPr>
          <w:p>
            <w:pPr>
              <w:jc w:val="center"/>
            </w:pPr>
            <w:r>
              <w:rPr>
                <w:rFonts w:ascii="Arial" w:cs="Arial" w:eastAsia="Arial" w:hAnsi="Arial"/>
                <w:b w:val="false"/>
                <w:bCs w:val="false"/>
                <w:color w:val="D8D3C8"/>
                <w:sz w:val="17"/>
                <w:szCs w:val="17"/>
              </w:rPr>
              <w:t xml:space="preserve">→</w:t>
            </w:r>
          </w:p>
        </w:tc>
        <w:tc>
          <w:tcPr>
            <w:tcBorders>
              <w:top w:val="none" w:color="FFFFFF" w:sz="0"/>
              <w:left w:val="none" w:color="FFFFFF" w:sz="0"/>
              <w:bottom w:val="none" w:color="FFFFFF" w:sz="0"/>
              <w:right w:val="none" w:color="FFFFFF" w:sz="0"/>
            </w:tcBorders>
            <w:shd w:fill="2A7A7E" w:val="clear"/>
            <w:tcMar>
              <w:top w:type="dxa" w:w="70"/>
              <w:left w:type="dxa" w:w="60"/>
              <w:bottom w:type="dxa" w:w="70"/>
              <w:right w:type="dxa" w:w="60"/>
            </w:tcMar>
          </w:tcPr>
          <w:p>
            <w:pPr>
              <w:jc w:val="center"/>
            </w:pPr>
            <w:r>
              <w:rPr>
                <w:rFonts w:ascii="Arial" w:cs="Arial" w:eastAsia="Arial" w:hAnsi="Arial"/>
                <w:b/>
                <w:bCs/>
                <w:color w:val="FFFFFF"/>
                <w:sz w:val="17"/>
                <w:szCs w:val="17"/>
              </w:rPr>
              <w:t xml:space="preserve">ECOA Observation</w:t>
            </w:r>
          </w:p>
        </w:tc>
        <w:tc>
          <w:tcPr>
            <w:tcBorders>
              <w:top w:val="none" w:color="FFFFFF" w:sz="0"/>
              <w:left w:val="none" w:color="FFFFFF" w:sz="0"/>
              <w:bottom w:val="none" w:color="FFFFFF" w:sz="0"/>
              <w:right w:val="none" w:color="FFFFFF" w:sz="0"/>
            </w:tcBorders>
            <w:shd w:fill="FFFFFF" w:val="clear"/>
            <w:tcMar>
              <w:top w:type="dxa" w:w="70"/>
              <w:left w:type="dxa" w:w="60"/>
              <w:bottom w:type="dxa" w:w="70"/>
              <w:right w:type="dxa" w:w="60"/>
            </w:tcMar>
          </w:tcPr>
          <w:p>
            <w:pPr>
              <w:jc w:val="center"/>
            </w:pPr>
            <w:r>
              <w:rPr>
                <w:rFonts w:ascii="Arial" w:cs="Arial" w:eastAsia="Arial" w:hAnsi="Arial"/>
                <w:b w:val="false"/>
                <w:bCs w:val="false"/>
                <w:color w:val="D8D3C8"/>
                <w:sz w:val="17"/>
                <w:szCs w:val="17"/>
              </w:rPr>
              <w:t xml:space="preserve">→</w:t>
            </w:r>
          </w:p>
        </w:tc>
        <w:tc>
          <w:tcPr>
            <w:tcBorders>
              <w:top w:val="none" w:color="FFFFFF" w:sz="0"/>
              <w:left w:val="none" w:color="FFFFFF" w:sz="0"/>
              <w:bottom w:val="none" w:color="FFFFFF" w:sz="0"/>
              <w:right w:val="none" w:color="FFFFFF" w:sz="0"/>
            </w:tcBorders>
            <w:shd w:fill="2A7A7E" w:val="clear"/>
            <w:tcMar>
              <w:top w:type="dxa" w:w="70"/>
              <w:left w:type="dxa" w:w="60"/>
              <w:bottom w:type="dxa" w:w="70"/>
              <w:right w:type="dxa" w:w="60"/>
            </w:tcMar>
          </w:tcPr>
          <w:p>
            <w:pPr>
              <w:jc w:val="center"/>
            </w:pPr>
            <w:r>
              <w:rPr>
                <w:rFonts w:ascii="Arial" w:cs="Arial" w:eastAsia="Arial" w:hAnsi="Arial"/>
                <w:b/>
                <w:bCs/>
                <w:color w:val="FFFFFF"/>
                <w:sz w:val="17"/>
                <w:szCs w:val="17"/>
              </w:rPr>
              <w:t xml:space="preserve">ARA Resolution</w:t>
            </w:r>
          </w:p>
        </w:tc>
        <w:tc>
          <w:tcPr>
            <w:tcBorders>
              <w:top w:val="none" w:color="FFFFFF" w:sz="0"/>
              <w:left w:val="none" w:color="FFFFFF" w:sz="0"/>
              <w:bottom w:val="none" w:color="FFFFFF" w:sz="0"/>
              <w:right w:val="none" w:color="FFFFFF" w:sz="0"/>
            </w:tcBorders>
            <w:shd w:fill="FFFFFF" w:val="clear"/>
            <w:tcMar>
              <w:top w:type="dxa" w:w="70"/>
              <w:left w:type="dxa" w:w="60"/>
              <w:bottom w:type="dxa" w:w="70"/>
              <w:right w:type="dxa" w:w="60"/>
            </w:tcMar>
          </w:tcPr>
          <w:p>
            <w:pPr>
              <w:jc w:val="center"/>
            </w:pPr>
            <w:r>
              <w:rPr>
                <w:rFonts w:ascii="Arial" w:cs="Arial" w:eastAsia="Arial" w:hAnsi="Arial"/>
                <w:b w:val="false"/>
                <w:bCs w:val="false"/>
                <w:color w:val="D8D3C8"/>
                <w:sz w:val="17"/>
                <w:szCs w:val="17"/>
              </w:rPr>
              <w:t xml:space="preserve">→</w:t>
            </w:r>
          </w:p>
        </w:tc>
        <w:tc>
          <w:tcPr>
            <w:tcBorders>
              <w:top w:val="none" w:color="FFFFFF" w:sz="0"/>
              <w:left w:val="none" w:color="FFFFFF" w:sz="0"/>
              <w:bottom w:val="none" w:color="FFFFFF" w:sz="0"/>
              <w:right w:val="none" w:color="FFFFFF" w:sz="0"/>
            </w:tcBorders>
            <w:shd w:fill="2A7A7E" w:val="clear"/>
            <w:tcMar>
              <w:top w:type="dxa" w:w="70"/>
              <w:left w:type="dxa" w:w="60"/>
              <w:bottom w:type="dxa" w:w="70"/>
              <w:right w:type="dxa" w:w="60"/>
            </w:tcMar>
          </w:tcPr>
          <w:p>
            <w:pPr>
              <w:jc w:val="center"/>
            </w:pPr>
            <w:r>
              <w:rPr>
                <w:rFonts w:ascii="Arial" w:cs="Arial" w:eastAsia="Arial" w:hAnsi="Arial"/>
                <w:b/>
                <w:bCs/>
                <w:color w:val="FFFFFF"/>
                <w:sz w:val="17"/>
                <w:szCs w:val="17"/>
              </w:rPr>
              <w:t xml:space="preserve">Runner Execution</w:t>
            </w:r>
          </w:p>
        </w:tc>
        <w:tc>
          <w:tcPr>
            <w:tcBorders>
              <w:top w:val="none" w:color="FFFFFF" w:sz="0"/>
              <w:left w:val="none" w:color="FFFFFF" w:sz="0"/>
              <w:bottom w:val="none" w:color="FFFFFF" w:sz="0"/>
              <w:right w:val="none" w:color="FFFFFF" w:sz="0"/>
            </w:tcBorders>
            <w:shd w:fill="FFFFFF" w:val="clear"/>
            <w:tcMar>
              <w:top w:type="dxa" w:w="70"/>
              <w:left w:type="dxa" w:w="60"/>
              <w:bottom w:type="dxa" w:w="70"/>
              <w:right w:type="dxa" w:w="60"/>
            </w:tcMar>
          </w:tcPr>
          <w:p>
            <w:pPr>
              <w:jc w:val="center"/>
            </w:pPr>
            <w:r>
              <w:rPr>
                <w:rFonts w:ascii="Arial" w:cs="Arial" w:eastAsia="Arial" w:hAnsi="Arial"/>
                <w:b w:val="false"/>
                <w:bCs w:val="false"/>
                <w:color w:val="D8D3C8"/>
                <w:sz w:val="17"/>
                <w:szCs w:val="17"/>
              </w:rPr>
              <w:t xml:space="preserve">→</w:t>
            </w:r>
          </w:p>
        </w:tc>
        <w:tc>
          <w:tcPr>
            <w:tcBorders>
              <w:top w:val="none" w:color="FFFFFF" w:sz="0"/>
              <w:left w:val="none" w:color="FFFFFF" w:sz="0"/>
              <w:bottom w:val="none" w:color="FFFFFF" w:sz="0"/>
              <w:right w:val="none" w:color="FFFFFF" w:sz="0"/>
            </w:tcBorders>
            <w:shd w:fill="C8893A" w:val="clear"/>
            <w:tcMar>
              <w:top w:type="dxa" w:w="70"/>
              <w:left w:type="dxa" w:w="60"/>
              <w:bottom w:type="dxa" w:w="70"/>
              <w:right w:type="dxa" w:w="60"/>
            </w:tcMar>
          </w:tcPr>
          <w:p>
            <w:pPr>
              <w:jc w:val="center"/>
            </w:pPr>
            <w:r>
              <w:rPr>
                <w:rFonts w:ascii="Arial" w:cs="Arial" w:eastAsia="Arial" w:hAnsi="Arial"/>
                <w:b/>
                <w:bCs/>
                <w:color w:val="1B4F52"/>
                <w:sz w:val="17"/>
                <w:szCs w:val="17"/>
              </w:rPr>
              <w:t xml:space="preserve">SEC</w:t>
            </w:r>
          </w:p>
        </w:tc>
        <w:tc>
          <w:tcPr>
            <w:tcBorders>
              <w:top w:val="none" w:color="FFFFFF" w:sz="0"/>
              <w:left w:val="none" w:color="FFFFFF" w:sz="0"/>
              <w:bottom w:val="none" w:color="FFFFFF" w:sz="0"/>
              <w:right w:val="none" w:color="FFFFFF" w:sz="0"/>
            </w:tcBorders>
            <w:shd w:fill="FFFFFF" w:val="clear"/>
            <w:tcMar>
              <w:top w:type="dxa" w:w="70"/>
              <w:left w:type="dxa" w:w="60"/>
              <w:bottom w:type="dxa" w:w="70"/>
              <w:right w:type="dxa" w:w="60"/>
            </w:tcMar>
          </w:tcPr>
          <w:p>
            <w:pPr>
              <w:jc w:val="center"/>
            </w:pPr>
            <w:r>
              <w:rPr>
                <w:rFonts w:ascii="Arial" w:cs="Arial" w:eastAsia="Arial" w:hAnsi="Arial"/>
                <w:b w:val="false"/>
                <w:bCs w:val="false"/>
                <w:color w:val="D8D3C8"/>
                <w:sz w:val="17"/>
                <w:szCs w:val="17"/>
              </w:rPr>
              <w:t xml:space="preserve">and/or</w:t>
            </w:r>
          </w:p>
        </w:tc>
        <w:tc>
          <w:tcPr>
            <w:tcBorders>
              <w:top w:val="none" w:color="FFFFFF" w:sz="0"/>
              <w:left w:val="none" w:color="FFFFFF" w:sz="0"/>
              <w:bottom w:val="none" w:color="FFFFFF" w:sz="0"/>
              <w:right w:val="none" w:color="FFFFFF" w:sz="0"/>
            </w:tcBorders>
            <w:shd w:fill="2A7A7E" w:val="clear"/>
            <w:tcMar>
              <w:top w:type="dxa" w:w="70"/>
              <w:left w:type="dxa" w:w="60"/>
              <w:bottom w:type="dxa" w:w="70"/>
              <w:right w:type="dxa" w:w="60"/>
            </w:tcMar>
          </w:tcPr>
          <w:p>
            <w:pPr>
              <w:jc w:val="center"/>
            </w:pPr>
            <w:r>
              <w:rPr>
                <w:rFonts w:ascii="Arial" w:cs="Arial" w:eastAsia="Arial" w:hAnsi="Arial"/>
                <w:b/>
                <w:bCs/>
                <w:color w:val="FFFFFF"/>
                <w:sz w:val="17"/>
                <w:szCs w:val="17"/>
              </w:rPr>
              <w:t xml:space="preserve">CBC</w:t>
            </w:r>
          </w:p>
        </w:tc>
      </w:tr>
    </w:tbl>
    <w:p>
      <w:pPr>
        <w:spacing w:after="100" w:before="0"/>
      </w:pPr>
    </w:p>
    <w:p>
      <w:pPr>
        <w:spacing w:after="80" w:before="180"/>
      </w:pPr>
      <w:r>
        <w:rPr>
          <w:rFonts w:ascii="Arial" w:cs="Arial" w:eastAsia="Arial" w:hAnsi="Arial"/>
          <w:b/>
          <w:bCs/>
          <w:color w:val="1B4F52"/>
          <w:sz w:val="22"/>
          <w:szCs w:val="22"/>
        </w:rPr>
        <w:t xml:space="preserve">Layer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960"/>
      </w:tblGrid>
      <w:tr>
        <w:trPr>
          <w:tblHeader/>
        </w:trPr>
        <w:tc>
          <w:tcPr>
            <w:tcW w:type="dxa" w:w="14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Layer</w:t>
            </w:r>
          </w:p>
        </w:tc>
        <w:tc>
          <w:tcPr>
            <w:tcW w:type="dxa" w:w="28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Role</w:t>
            </w:r>
          </w:p>
        </w:tc>
        <w:tc>
          <w:tcPr>
            <w:tcW w:type="dxa" w:w="22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Realization Type Tag</w:t>
            </w:r>
          </w:p>
        </w:tc>
        <w:tc>
          <w:tcPr>
            <w:tcW w:type="dxa" w:w="296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Meaning</w:t>
            </w:r>
          </w:p>
        </w:tc>
      </w:tr>
      <w:tr>
        <w:tc>
          <w:tcPr>
            <w:tcW w:type="dxa" w:w="1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CoS</w:t>
            </w:r>
          </w:p>
        </w:tc>
        <w:tc>
          <w:tcPr>
            <w:tcW w:type="dxa" w:w="28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Captures system signal</w:t>
            </w:r>
          </w:p>
        </w:tc>
        <w:tc>
          <w:tcPr>
            <w:tcW w:type="dxa" w:w="22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RT-SEC</w:t>
            </w:r>
          </w:p>
        </w:tc>
        <w:tc>
          <w:tcPr>
            <w:tcW w:type="dxa" w:w="29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Enterprise realization required</w:t>
            </w:r>
          </w:p>
        </w:tc>
      </w:tr>
      <w:tr>
        <w:tc>
          <w:tcPr>
            <w:tcW w:type="dxa" w:w="1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ECOA</w:t>
            </w:r>
          </w:p>
        </w:tc>
        <w:tc>
          <w:tcPr>
            <w:tcW w:type="dxa" w:w="28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Assigns observational structure</w:t>
            </w:r>
          </w:p>
        </w:tc>
        <w:tc>
          <w:tcPr>
            <w:tcW w:type="dxa" w:w="22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RT-CBC</w:t>
            </w:r>
          </w:p>
        </w:tc>
        <w:tc>
          <w:tcPr>
            <w:tcW w:type="dxa" w:w="29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Governance formalization required</w:t>
            </w:r>
          </w:p>
        </w:tc>
      </w:tr>
      <w:tr>
        <w:tc>
          <w:tcPr>
            <w:tcW w:type="dxa" w:w="1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ARA</w:t>
            </w:r>
          </w:p>
        </w:tc>
        <w:tc>
          <w:tcPr>
            <w:tcW w:type="dxa" w:w="28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Resolves structural conditions</w:t>
            </w:r>
          </w:p>
        </w:tc>
        <w:tc>
          <w:tcPr>
            <w:tcW w:type="dxa" w:w="22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RT-H</w:t>
            </w:r>
          </w:p>
        </w:tc>
        <w:tc>
          <w:tcPr>
            <w:tcW w:type="dxa" w:w="29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Hybrid enterprise + governance realization</w:t>
            </w:r>
          </w:p>
        </w:tc>
      </w:tr>
      <w:tr>
        <w:tc>
          <w:tcPr>
            <w:tcW w:type="dxa" w:w="1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Runner</w:t>
            </w:r>
          </w:p>
        </w:tc>
        <w:tc>
          <w:tcPr>
            <w:tcW w:type="dxa" w:w="28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Produces operational emergence states. Determines realization pathway.</w:t>
            </w:r>
          </w:p>
        </w:tc>
        <w:tc>
          <w:tcPr>
            <w:tcW w:type="dxa" w:w="22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RT-U</w:t>
            </w:r>
          </w:p>
        </w:tc>
        <w:tc>
          <w:tcPr>
            <w:tcW w:type="dxa" w:w="29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Realization pathway unresolved</w:t>
            </w:r>
          </w:p>
        </w:tc>
      </w:tr>
      <w:tr>
        <w:tc>
          <w:tcPr>
            <w:tcW w:type="dxa" w:w="1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SEC</w:t>
            </w:r>
          </w:p>
        </w:tc>
        <w:tc>
          <w:tcPr>
            <w:tcW w:type="dxa" w:w="28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Synthesizes enterprise coherence</w:t>
            </w:r>
          </w:p>
        </w:tc>
        <w:tc>
          <w:tcPr>
            <w:tcW w:type="dxa" w:w="22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w:t>
            </w:r>
          </w:p>
        </w:tc>
        <w:tc>
          <w:tcPr>
            <w:tcW w:type="dxa" w:w="29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w:t>
            </w:r>
          </w:p>
        </w:tc>
      </w:tr>
      <w:tr>
        <w:tc>
          <w:tcPr>
            <w:tcW w:type="dxa" w:w="1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CBC</w:t>
            </w:r>
          </w:p>
        </w:tc>
        <w:tc>
          <w:tcPr>
            <w:tcW w:type="dxa" w:w="28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Formalizes negotiated value exchange</w:t>
            </w:r>
          </w:p>
        </w:tc>
        <w:tc>
          <w:tcPr>
            <w:tcW w:type="dxa" w:w="22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w:t>
            </w:r>
          </w:p>
        </w:tc>
        <w:tc>
          <w:tcPr>
            <w:tcW w:type="dxa" w:w="29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B4F52"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i</w:t>
            </w:r>
          </w:p>
        </w:tc>
        <w:tc>
          <w:tcPr>
            <w:tcW w:type="dxa" w:w="9200"/>
            <w:tcBorders>
              <w:top w:val="none" w:color="FFFFFF" w:sz="0"/>
              <w:left w:val="none" w:color="FFFFFF" w:sz="0"/>
              <w:bottom w:val="none" w:color="FFFFFF" w:sz="0"/>
              <w:right w:val="none" w:color="FFFFFF" w:sz="0"/>
            </w:tcBorders>
            <w:shd w:fill="D4ECEE" w:val="clear"/>
            <w:tcMar>
              <w:top w:type="dxa" w:w="100"/>
              <w:left w:type="dxa" w:w="140"/>
              <w:bottom w:type="dxa" w:w="100"/>
              <w:right w:type="dxa" w:w="120"/>
            </w:tcMar>
          </w:tcPr>
          <w:p>
            <w:r>
              <w:rPr>
                <w:rFonts w:ascii="Arial" w:cs="Arial" w:eastAsia="Arial" w:hAnsi="Arial"/>
                <w:color w:val="1A1A18"/>
                <w:sz w:val="19"/>
                <w:szCs w:val="19"/>
              </w:rPr>
              <w:t xml:space="preserve">ECOA defines reality. ARA resolves structure. Runner executes. SEC synthesizes enterprise coherence. CBC formalizes governance and value exchange. No layer substitutes another.</w:t>
            </w:r>
          </w:p>
        </w:tc>
      </w:tr>
    </w:tbl>
    <w:p>
      <w:pPr>
        <w:spacing w:after="120" w:before="0"/>
      </w:pPr>
    </w:p>
    <w:p>
      <w:pPr>
        <w:spacing w:after="80" w:before="180"/>
      </w:pPr>
      <w:r>
        <w:rPr>
          <w:rFonts w:ascii="Arial" w:cs="Arial" w:eastAsia="Arial" w:hAnsi="Arial"/>
          <w:b/>
          <w:bCs/>
          <w:color w:val="1B4F52"/>
          <w:sz w:val="22"/>
          <w:szCs w:val="22"/>
        </w:rPr>
        <w:t xml:space="preserve">SEC Activation Condition</w:t>
      </w:r>
    </w:p>
    <w:p>
      <w:pPr>
        <w:spacing w:after="100" w:before="0"/>
      </w:pPr>
      <w:r>
        <w:rPr>
          <w:rFonts w:ascii="Arial" w:cs="Arial" w:eastAsia="Arial" w:hAnsi="Arial"/>
          <w:b w:val="false"/>
          <w:bCs w:val="false"/>
          <w:i w:val="false"/>
          <w:iCs w:val="false"/>
          <w:color w:val="1A1A18"/>
          <w:sz w:val="20"/>
          <w:szCs w:val="20"/>
        </w:rPr>
        <w:t xml:space="preserve">SEC is NOT automatically activated. Runner determines the required realization pathway based on the resolved structural conditions of the system.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40"/>
            </w:tcMar>
          </w:tcPr>
          <w:p>
            <w:pPr>
              <w:spacing w:after="100" w:before="0"/>
            </w:pPr>
            <w:r>
              <w:rPr>
                <w:rFonts w:ascii="Arial" w:cs="Arial" w:eastAsia="Arial" w:hAnsi="Arial"/>
                <w:b/>
                <w:bCs/>
                <w:i w:val="false"/>
                <w:iCs w:val="false"/>
                <w:color w:val="1A1A18"/>
                <w:sz w:val="20"/>
                <w:szCs w:val="20"/>
              </w:rPr>
              <w:t xml:space="preserve">SEC activates only when Runner outputs indicate that any of the following require the formation or restructuring of an enterprise operating architecture:</w:t>
            </w:r>
          </w:p>
          <w:p>
            <w:pPr>
              <w:spacing w:after="40" w:before="0"/>
            </w:pPr>
          </w:p>
          <w:p>
            <w:pPr>
              <w:pStyle w:val="ListParagraph"/>
              <w:numPr>
                <w:ilvl w:val="0"/>
                <w:numId w:val="2"/>
              </w:numPr>
              <w:spacing w:after="80" w:before="0"/>
            </w:pPr>
            <w:r>
              <w:rPr>
                <w:rFonts w:ascii="Arial" w:cs="Arial" w:eastAsia="Arial" w:hAnsi="Arial"/>
                <w:b w:val="false"/>
                <w:bCs w:val="false"/>
                <w:color w:val="1A1A18"/>
                <w:sz w:val="20"/>
                <w:szCs w:val="20"/>
              </w:rPr>
              <w:t xml:space="preserve">Value realization</w:t>
            </w:r>
          </w:p>
          <w:p>
            <w:pPr>
              <w:pStyle w:val="ListParagraph"/>
              <w:numPr>
                <w:ilvl w:val="0"/>
                <w:numId w:val="2"/>
              </w:numPr>
              <w:spacing w:after="80" w:before="0"/>
            </w:pPr>
            <w:r>
              <w:rPr>
                <w:rFonts w:ascii="Arial" w:cs="Arial" w:eastAsia="Arial" w:hAnsi="Arial"/>
                <w:b w:val="false"/>
                <w:bCs w:val="false"/>
                <w:color w:val="1A1A18"/>
                <w:sz w:val="20"/>
                <w:szCs w:val="20"/>
              </w:rPr>
              <w:t xml:space="preserve">Impact continuity</w:t>
            </w:r>
          </w:p>
          <w:p>
            <w:pPr>
              <w:pStyle w:val="ListParagraph"/>
              <w:numPr>
                <w:ilvl w:val="0"/>
                <w:numId w:val="2"/>
              </w:numPr>
              <w:spacing w:after="80" w:before="0"/>
            </w:pPr>
            <w:r>
              <w:rPr>
                <w:rFonts w:ascii="Arial" w:cs="Arial" w:eastAsia="Arial" w:hAnsi="Arial"/>
                <w:b w:val="false"/>
                <w:bCs w:val="false"/>
                <w:color w:val="1A1A18"/>
                <w:sz w:val="20"/>
                <w:szCs w:val="20"/>
              </w:rPr>
              <w:t xml:space="preserve">Operational coordination</w:t>
            </w:r>
          </w:p>
          <w:p>
            <w:pPr>
              <w:pStyle w:val="ListParagraph"/>
              <w:numPr>
                <w:ilvl w:val="0"/>
                <w:numId w:val="2"/>
              </w:numPr>
              <w:spacing w:after="80" w:before="0"/>
            </w:pPr>
            <w:r>
              <w:rPr>
                <w:rFonts w:ascii="Arial" w:cs="Arial" w:eastAsia="Arial" w:hAnsi="Arial"/>
                <w:b w:val="false"/>
                <w:bCs w:val="false"/>
                <w:color w:val="1A1A18"/>
                <w:sz w:val="20"/>
                <w:szCs w:val="20"/>
              </w:rPr>
              <w:t xml:space="preserve">Resourcing</w:t>
            </w:r>
          </w:p>
          <w:p>
            <w:pPr>
              <w:pStyle w:val="ListParagraph"/>
              <w:numPr>
                <w:ilvl w:val="0"/>
                <w:numId w:val="2"/>
              </w:numPr>
              <w:spacing w:after="80" w:before="0"/>
            </w:pPr>
            <w:r>
              <w:rPr>
                <w:rFonts w:ascii="Arial" w:cs="Arial" w:eastAsia="Arial" w:hAnsi="Arial"/>
                <w:b w:val="false"/>
                <w:bCs w:val="false"/>
                <w:color w:val="1A1A18"/>
                <w:sz w:val="20"/>
                <w:szCs w:val="20"/>
              </w:rPr>
              <w:t xml:space="preserve">Stewardship or delivery</w:t>
            </w:r>
          </w:p>
        </w:tc>
        <w:tc>
          <w:tcPr>
            <w:tcW w:type="dxa" w:w="4680"/>
            <w:tcBorders>
              <w:top w:val="none" w:color="FFFFFF" w:sz="0"/>
              <w:left w:val="none" w:color="FFFFFF" w:sz="0"/>
              <w:bottom w:val="none" w:color="FFFFFF" w:sz="0"/>
              <w:right w:val="none" w:color="FFFFFF" w:sz="0"/>
            </w:tcBorders>
            <w:tcMar>
              <w:top w:type="dxa" w:w="0"/>
              <w:left w:type="dxa" w:w="140"/>
              <w:bottom w:type="dxa" w:w="0"/>
              <w:right w:type="dxa" w:w="0"/>
            </w:tcMar>
          </w:tcPr>
          <w:p>
            <w:pPr>
              <w:spacing w:after="100" w:before="0"/>
            </w:pPr>
            <w:r>
              <w:rPr>
                <w:rFonts w:ascii="Arial" w:cs="Arial" w:eastAsia="Arial" w:hAnsi="Arial"/>
                <w:b/>
                <w:bCs/>
                <w:i w:val="false"/>
                <w:iCs w:val="false"/>
                <w:color w:val="1A1A18"/>
                <w:sz w:val="20"/>
                <w:szCs w:val="20"/>
              </w:rPr>
              <w:t xml:space="preserve">The process may transition directly from Runner to CBC (without SEC activation) when resolution can occur through:</w:t>
            </w:r>
          </w:p>
          <w:p>
            <w:pPr>
              <w:spacing w:after="40" w:before="0"/>
            </w:pPr>
          </w:p>
          <w:p>
            <w:pPr>
              <w:pStyle w:val="ListParagraph"/>
              <w:numPr>
                <w:ilvl w:val="0"/>
                <w:numId w:val="2"/>
              </w:numPr>
              <w:spacing w:after="80" w:before="0"/>
            </w:pPr>
            <w:r>
              <w:rPr>
                <w:rFonts w:ascii="Arial" w:cs="Arial" w:eastAsia="Arial" w:hAnsi="Arial"/>
                <w:b w:val="false"/>
                <w:bCs w:val="false"/>
                <w:color w:val="1A1A18"/>
                <w:sz w:val="20"/>
                <w:szCs w:val="20"/>
              </w:rPr>
              <w:t xml:space="preserve">Negotiated governance</w:t>
            </w:r>
          </w:p>
          <w:p>
            <w:pPr>
              <w:pStyle w:val="ListParagraph"/>
              <w:numPr>
                <w:ilvl w:val="0"/>
                <w:numId w:val="2"/>
              </w:numPr>
              <w:spacing w:after="80" w:before="0"/>
            </w:pPr>
            <w:r>
              <w:rPr>
                <w:rFonts w:ascii="Arial" w:cs="Arial" w:eastAsia="Arial" w:hAnsi="Arial"/>
                <w:b w:val="false"/>
                <w:bCs w:val="false"/>
                <w:color w:val="1A1A18"/>
                <w:sz w:val="20"/>
                <w:szCs w:val="20"/>
              </w:rPr>
              <w:t xml:space="preserve">Benefit formalization</w:t>
            </w:r>
          </w:p>
          <w:p>
            <w:pPr>
              <w:pStyle w:val="ListParagraph"/>
              <w:numPr>
                <w:ilvl w:val="0"/>
                <w:numId w:val="2"/>
              </w:numPr>
              <w:spacing w:after="80" w:before="0"/>
            </w:pPr>
            <w:r>
              <w:rPr>
                <w:rFonts w:ascii="Arial" w:cs="Arial" w:eastAsia="Arial" w:hAnsi="Arial"/>
                <w:b w:val="false"/>
                <w:bCs w:val="false"/>
                <w:color w:val="1A1A18"/>
                <w:sz w:val="20"/>
                <w:szCs w:val="20"/>
              </w:rPr>
              <w:t xml:space="preserve">Contractual accountability</w:t>
            </w:r>
          </w:p>
          <w:p>
            <w:pPr>
              <w:pStyle w:val="ListParagraph"/>
              <w:numPr>
                <w:ilvl w:val="0"/>
                <w:numId w:val="2"/>
              </w:numPr>
              <w:spacing w:after="80" w:before="0"/>
            </w:pPr>
            <w:r>
              <w:rPr>
                <w:rFonts w:ascii="Arial" w:cs="Arial" w:eastAsia="Arial" w:hAnsi="Arial"/>
                <w:b w:val="false"/>
                <w:bCs w:val="false"/>
                <w:color w:val="1A1A18"/>
                <w:sz w:val="20"/>
                <w:szCs w:val="20"/>
              </w:rPr>
              <w:t xml:space="preserve">Institutional restructuring</w:t>
            </w:r>
          </w:p>
          <w:p>
            <w:pPr>
              <w:pStyle w:val="ListParagraph"/>
              <w:numPr>
                <w:ilvl w:val="0"/>
                <w:numId w:val="2"/>
              </w:numPr>
              <w:spacing w:after="80" w:before="0"/>
            </w:pPr>
            <w:r>
              <w:rPr>
                <w:rFonts w:ascii="Arial" w:cs="Arial" w:eastAsia="Arial" w:hAnsi="Arial"/>
                <w:b w:val="false"/>
                <w:bCs w:val="false"/>
                <w:color w:val="1A1A18"/>
                <w:sz w:val="20"/>
                <w:szCs w:val="20"/>
              </w:rPr>
              <w:t xml:space="preserve">Without enterprise creation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8893A"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w:t>
                  </w:r>
                </w:p>
              </w:tc>
              <w:tc>
                <w:tcPr>
                  <w:tcW w:type="dxa" w:w="9200"/>
                  <w:tcBorders>
                    <w:top w:val="none" w:color="FFFFFF" w:sz="0"/>
                    <w:left w:val="none" w:color="FFFFFF" w:sz="0"/>
                    <w:bottom w:val="none" w:color="FFFFFF" w:sz="0"/>
                    <w:right w:val="none" w:color="FFFFFF" w:sz="0"/>
                  </w:tcBorders>
                  <w:shd w:fill="FDF3E7" w:val="clear"/>
                  <w:tcMar>
                    <w:top w:type="dxa" w:w="100"/>
                    <w:left w:type="dxa" w:w="140"/>
                    <w:bottom w:type="dxa" w:w="100"/>
                    <w:right w:type="dxa" w:w="120"/>
                  </w:tcMar>
                </w:tcPr>
                <w:p>
                  <w:r>
                    <w:rPr>
                      <w:rFonts w:ascii="Arial" w:cs="Arial" w:eastAsia="Arial" w:hAnsi="Arial"/>
                      <w:color w:val="1A1A18"/>
                      <w:sz w:val="19"/>
                      <w:szCs w:val="19"/>
                    </w:rPr>
                    <w:t xml:space="preserve">SEC does not assume enterprise complexity beyond what the system requires.</w:t>
                  </w:r>
                </w:p>
              </w:tc>
            </w:tr>
          </w:tbl>
          <w:p/>
        </w:tc>
      </w:tr>
    </w:tbl>
    <w:p>
      <w:pPr>
        <w:spacing w:after="120" w:before="0"/>
      </w:pPr>
    </w:p>
    <w:p>
      <w:pPr>
        <w:spacing w:after="60" w:before="280"/>
      </w:pPr>
      <w:r>
        <w:rPr>
          <w:rFonts w:ascii="Courier New" w:cs="Courier New" w:eastAsia="Courier New" w:hAnsi="Courier New"/>
          <w:caps/>
          <w:color w:val="2A7A7E"/>
          <w:sz w:val="16"/>
          <w:szCs w:val="16"/>
        </w:rPr>
        <w:t xml:space="preserve">Section 3</w:t>
      </w:r>
    </w:p>
    <w:p>
      <w:pPr>
        <w:pBdr>
          <w:bottom w:val="single" w:color="1B4F52" w:sz="4" w:space="2"/>
        </w:pBdr>
        <w:spacing w:after="120" w:before="60"/>
      </w:pPr>
      <w:r>
        <w:rPr>
          <w:rFonts w:ascii="Arial" w:cs="Arial" w:eastAsia="Arial" w:hAnsi="Arial"/>
          <w:b/>
          <w:bCs/>
          <w:color w:val="1B4F52"/>
          <w:sz w:val="28"/>
          <w:szCs w:val="28"/>
        </w:rPr>
        <w:t xml:space="preserve">SEC Process Structure — Seven Phases</w:t>
      </w:r>
    </w:p>
    <w:p>
      <w:pPr>
        <w:spacing w:after="60" w:before="0"/>
      </w:pPr>
    </w:p>
    <w:p>
      <w:pPr>
        <w:spacing w:after="100" w:before="0"/>
      </w:pPr>
      <w:r>
        <w:rPr>
          <w:rFonts w:ascii="Arial" w:cs="Arial" w:eastAsia="Arial" w:hAnsi="Arial"/>
          <w:b w:val="false"/>
          <w:bCs w:val="false"/>
          <w:i w:val="false"/>
          <w:iCs w:val="false"/>
          <w:color w:val="1A1A18"/>
          <w:sz w:val="20"/>
          <w:szCs w:val="20"/>
        </w:rPr>
        <w:t xml:space="preserve">The SEC process moves through seven phases. Each phase has a defined objective, inputs, outputs, and process actions. No phase produces free-form analysis — every output must be traceable to upstream structural inputs.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160"/>
        <w:gridCol w:w="2160"/>
        <w:gridCol w:w="2680"/>
        <w:gridCol w:w="2080"/>
      </w:tblGrid>
      <w:tr>
        <w:trPr>
          <w:tblHeader/>
        </w:trPr>
        <w:tc>
          <w:tcPr>
            <w:tcW w:type="dxa" w:w="28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w:t>
            </w:r>
          </w:p>
        </w:tc>
        <w:tc>
          <w:tcPr>
            <w:tcW w:type="dxa" w:w="216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Phase</w:t>
            </w:r>
          </w:p>
        </w:tc>
        <w:tc>
          <w:tcPr>
            <w:tcW w:type="dxa" w:w="216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Analogy</w:t>
            </w:r>
          </w:p>
        </w:tc>
        <w:tc>
          <w:tcPr>
            <w:tcW w:type="dxa" w:w="268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Objective</w:t>
            </w:r>
          </w:p>
        </w:tc>
        <w:tc>
          <w:tcPr>
            <w:tcW w:type="dxa" w:w="208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Primary Output</w:t>
            </w:r>
          </w:p>
        </w:tc>
      </w:tr>
      <w:tr>
        <w:tc>
          <w:tcPr>
            <w:tcW w:type="dxa" w:w="28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1</w:t>
            </w:r>
          </w:p>
        </w:tc>
        <w:tc>
          <w:tcPr>
            <w:tcW w:type="dxa" w:w="21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Structural Intake</w:t>
            </w:r>
          </w:p>
        </w:tc>
        <w:tc>
          <w:tcPr>
            <w:tcW w:type="dxa" w:w="21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Gathering resolved equation components</w:t>
            </w:r>
          </w:p>
        </w:tc>
        <w:tc>
          <w:tcPr>
            <w:tcW w:type="dxa" w:w="268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Absorb traceable outputs from upstream layers</w:t>
            </w:r>
          </w:p>
        </w:tc>
        <w:tc>
          <w:tcPr>
            <w:tcW w:type="dxa" w:w="208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Structural Intake Package (SIP)</w:t>
            </w:r>
          </w:p>
        </w:tc>
      </w:tr>
      <w:tr>
        <w:tc>
          <w:tcPr>
            <w:tcW w:type="dxa" w:w="28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2</w:t>
            </w:r>
          </w:p>
        </w:tc>
        <w:tc>
          <w:tcPr>
            <w:tcW w:type="dxa" w:w="21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Realization Framing</w:t>
            </w:r>
          </w:p>
        </w:tc>
        <w:tc>
          <w:tcPr>
            <w:tcW w:type="dxa" w:w="21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Determining enterprise structure requirements</w:t>
            </w:r>
          </w:p>
        </w:tc>
        <w:tc>
          <w:tcPr>
            <w:tcW w:type="dxa" w:w="268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Define enterprise realization boundaries</w:t>
            </w:r>
          </w:p>
        </w:tc>
        <w:tc>
          <w:tcPr>
            <w:tcW w:type="dxa" w:w="208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Enterprise Structure Set (ESS)</w:t>
            </w:r>
          </w:p>
        </w:tc>
      </w:tr>
      <w:tr>
        <w:tc>
          <w:tcPr>
            <w:tcW w:type="dxa" w:w="28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3</w:t>
            </w:r>
          </w:p>
        </w:tc>
        <w:tc>
          <w:tcPr>
            <w:tcW w:type="dxa" w:w="21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Enterprise Flow Synthesis</w:t>
            </w:r>
          </w:p>
        </w:tc>
        <w:tc>
          <w:tcPr>
            <w:tcW w:type="dxa" w:w="21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Mapping movement through the enterprise</w:t>
            </w:r>
          </w:p>
        </w:tc>
        <w:tc>
          <w:tcPr>
            <w:tcW w:type="dxa" w:w="268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Organize enterprise flows and interactions</w:t>
            </w:r>
          </w:p>
        </w:tc>
        <w:tc>
          <w:tcPr>
            <w:tcW w:type="dxa" w:w="208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Enterprise Flow Map (EFM)</w:t>
            </w:r>
          </w:p>
        </w:tc>
      </w:tr>
      <w:tr>
        <w:tc>
          <w:tcPr>
            <w:tcW w:type="dxa" w:w="28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4</w:t>
            </w:r>
          </w:p>
        </w:tc>
        <w:tc>
          <w:tcPr>
            <w:tcW w:type="dxa" w:w="21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Coherence Structuring</w:t>
            </w:r>
          </w:p>
        </w:tc>
        <w:tc>
          <w:tcPr>
            <w:tcW w:type="dxa" w:w="21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Checking whether the structure holds</w:t>
            </w:r>
          </w:p>
        </w:tc>
        <w:tc>
          <w:tcPr>
            <w:tcW w:type="dxa" w:w="268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Surface tensions, dependencies, and bottlenecks</w:t>
            </w:r>
          </w:p>
        </w:tc>
        <w:tc>
          <w:tcPr>
            <w:tcW w:type="dxa" w:w="208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Coherence Structure Map (CSM)</w:t>
            </w:r>
          </w:p>
        </w:tc>
      </w:tr>
      <w:tr>
        <w:tc>
          <w:tcPr>
            <w:tcW w:type="dxa" w:w="28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5</w:t>
            </w:r>
          </w:p>
        </w:tc>
        <w:tc>
          <w:tcPr>
            <w:tcW w:type="dxa" w:w="21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Operating Architecture Expression</w:t>
            </w:r>
          </w:p>
        </w:tc>
        <w:tc>
          <w:tcPr>
            <w:tcW w:type="dxa" w:w="21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Writing the operating system</w:t>
            </w:r>
          </w:p>
        </w:tc>
        <w:tc>
          <w:tcPr>
            <w:tcW w:type="dxa" w:w="268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Produce structured enterprise representation</w:t>
            </w:r>
          </w:p>
        </w:tc>
        <w:tc>
          <w:tcPr>
            <w:tcW w:type="dxa" w:w="208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Operating Architecture Expression (OAE)</w:t>
            </w:r>
          </w:p>
        </w:tc>
      </w:tr>
      <w:tr>
        <w:tc>
          <w:tcPr>
            <w:tcW w:type="dxa" w:w="28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6</w:t>
            </w:r>
          </w:p>
        </w:tc>
        <w:tc>
          <w:tcPr>
            <w:tcW w:type="dxa" w:w="21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Continuity &amp; Scale Expression</w:t>
            </w:r>
          </w:p>
        </w:tc>
        <w:tc>
          <w:tcPr>
            <w:tcW w:type="dxa" w:w="21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Stress-testing survivability</w:t>
            </w:r>
          </w:p>
        </w:tc>
        <w:tc>
          <w:tcPr>
            <w:tcW w:type="dxa" w:w="268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Surface continuity and scale conditions</w:t>
            </w:r>
          </w:p>
        </w:tc>
        <w:tc>
          <w:tcPr>
            <w:tcW w:type="dxa" w:w="208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Continuity &amp; Scale Map (CSM-2)</w:t>
            </w:r>
          </w:p>
        </w:tc>
      </w:tr>
      <w:tr>
        <w:tc>
          <w:tcPr>
            <w:tcW w:type="dxa" w:w="28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7</w:t>
            </w:r>
          </w:p>
        </w:tc>
        <w:tc>
          <w:tcPr>
            <w:tcW w:type="dxa" w:w="21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CBC Transition Readiness</w:t>
            </w:r>
          </w:p>
        </w:tc>
        <w:tc>
          <w:tcPr>
            <w:tcW w:type="dxa" w:w="21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Determining governance formalization needs</w:t>
            </w:r>
          </w:p>
        </w:tc>
        <w:tc>
          <w:tcPr>
            <w:tcW w:type="dxa" w:w="268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Identify downstream formalization requirements</w:t>
            </w:r>
          </w:p>
        </w:tc>
        <w:tc>
          <w:tcPr>
            <w:tcW w:type="dxa" w:w="208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CBC Transition Package (CTP)</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4F52" w:val="clear"/>
            <w:tcMar>
              <w:top w:type="dxa" w:w="120"/>
              <w:left w:type="dxa" w:w="140"/>
              <w:bottom w:type="dxa" w:w="120"/>
              <w:right w:type="dxa" w:w="120"/>
            </w:tcMar>
            <w:vAlign w:val="center"/>
          </w:tcPr>
          <w:p>
            <w:pPr>
              <w:jc w:val="center"/>
            </w:pPr>
            <w:r>
              <w:rPr>
                <w:rFonts w:ascii="Courier New" w:cs="Courier New" w:eastAsia="Courier New" w:hAnsi="Courier New"/>
                <w:caps/>
                <w:color w:val="C8893A"/>
                <w:sz w:val="17"/>
                <w:szCs w:val="17"/>
              </w:rPr>
              <w:t xml:space="preserve">Phase 1</w:t>
            </w:r>
          </w:p>
          <w:p>
            <w:pPr>
              <w:jc w:val="center"/>
            </w:pPr>
            <w:r>
              <w:rPr>
                <w:rFonts w:ascii="Arial" w:cs="Arial" w:eastAsia="Arial" w:hAnsi="Arial"/>
                <w:b/>
                <w:bCs/>
                <w:color w:val="FFFFFF"/>
                <w:sz w:val="23"/>
                <w:szCs w:val="23"/>
              </w:rPr>
              <w:t xml:space="preserve">Structural Intake</w:t>
            </w:r>
          </w:p>
        </w:tc>
        <w:tc>
          <w:tcPr>
            <w:tcW w:type="dxa" w:w="8460"/>
            <w:tcBorders>
              <w:top w:val="none" w:color="FFFFFF" w:sz="0"/>
              <w:left w:val="none" w:color="FFFFFF" w:sz="0"/>
              <w:bottom w:val="none" w:color="FFFFFF" w:sz="0"/>
              <w:right w:val="none" w:color="FFFFFF" w:sz="0"/>
            </w:tcBorders>
            <w:shd w:fill="D4ECEE" w:val="clear"/>
            <w:tcMar>
              <w:top w:type="dxa" w:w="120"/>
              <w:left w:type="dxa" w:w="200"/>
              <w:bottom w:type="dxa" w:w="120"/>
              <w:right w:type="dxa" w:w="140"/>
            </w:tcMar>
            <w:vAlign w:val="center"/>
          </w:tcPr>
          <w:p>
            <w:r>
              <w:rPr>
                <w:rFonts w:ascii="Arial" w:cs="Arial" w:eastAsia="Arial" w:hAnsi="Arial"/>
                <w:color w:val="1B4F52"/>
                <w:sz w:val="20"/>
                <w:szCs w:val="20"/>
              </w:rPr>
              <w:t xml:space="preserve">Absorb and organize all traceable upstream structural outputs required for enterprise synthesis.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B4F52"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i</w:t>
            </w:r>
          </w:p>
        </w:tc>
        <w:tc>
          <w:tcPr>
            <w:tcW w:type="dxa" w:w="9200"/>
            <w:tcBorders>
              <w:top w:val="none" w:color="FFFFFF" w:sz="0"/>
              <w:left w:val="none" w:color="FFFFFF" w:sz="0"/>
              <w:bottom w:val="none" w:color="FFFFFF" w:sz="0"/>
              <w:right w:val="none" w:color="FFFFFF" w:sz="0"/>
            </w:tcBorders>
            <w:shd w:fill="D4ECEE" w:val="clear"/>
            <w:tcMar>
              <w:top w:type="dxa" w:w="100"/>
              <w:left w:type="dxa" w:w="140"/>
              <w:bottom w:type="dxa" w:w="100"/>
              <w:right w:type="dxa" w:w="120"/>
            </w:tcMar>
          </w:tcPr>
          <w:p>
            <w:r>
              <w:rPr>
                <w:rFonts w:ascii="Arial" w:cs="Arial" w:eastAsia="Arial" w:hAnsi="Arial"/>
                <w:color w:val="1A1A18"/>
                <w:sz w:val="19"/>
                <w:szCs w:val="19"/>
              </w:rPr>
              <w:t xml:space="preserve">SEC begins with observed system structures, resolved dependencies, operational emergence states, and admissible enterprise conditions. Not with ideation.</w:t>
            </w:r>
          </w:p>
        </w:tc>
      </w:tr>
    </w:tbl>
    <w:p>
      <w:pPr>
        <w:spacing w:after="80" w:before="0"/>
      </w:pPr>
    </w:p>
    <w:p>
      <w:pPr>
        <w:spacing w:after="80" w:before="180"/>
      </w:pPr>
      <w:r>
        <w:rPr>
          <w:rFonts w:ascii="Arial" w:cs="Arial" w:eastAsia="Arial" w:hAnsi="Arial"/>
          <w:b/>
          <w:bCs/>
          <w:color w:val="1B4F52"/>
          <w:sz w:val="22"/>
          <w:szCs w:val="22"/>
        </w:rPr>
        <w:t xml:space="preserve">Inputs by Upstream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From CoS</w:t>
            </w:r>
          </w:p>
        </w:tc>
        <w:tc>
          <w:tcPr>
            <w:tcW w:type="dxa" w:w="1872"/>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From ECOA</w:t>
            </w:r>
          </w:p>
        </w:tc>
        <w:tc>
          <w:tcPr>
            <w:tcW w:type="dxa" w:w="1872"/>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From ARA</w:t>
            </w:r>
          </w:p>
        </w:tc>
        <w:tc>
          <w:tcPr>
            <w:tcW w:type="dxa" w:w="1872"/>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From Runner</w:t>
            </w:r>
          </w:p>
        </w:tc>
        <w:tc>
          <w:tcPr>
            <w:tcW w:type="dxa" w:w="1872"/>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Domain</w:t>
            </w:r>
          </w:p>
        </w:tc>
      </w:tr>
      <w:tr>
        <w:tc>
          <w:tcPr>
            <w:tcW w:type="dxa" w:w="1872"/>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Actor Maps</w:t>
            </w:r>
          </w:p>
        </w:tc>
        <w:tc>
          <w:tcPr>
            <w:tcW w:type="dxa" w:w="1872"/>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Admissible variables</w:t>
            </w:r>
          </w:p>
        </w:tc>
        <w:tc>
          <w:tcPr>
            <w:tcW w:type="dxa" w:w="1872"/>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Resolution states</w:t>
            </w:r>
          </w:p>
        </w:tc>
        <w:tc>
          <w:tcPr>
            <w:tcW w:type="dxa" w:w="1872"/>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Execution pathways</w:t>
            </w:r>
          </w:p>
        </w:tc>
        <w:tc>
          <w:tcPr>
            <w:tcW w:type="dxa" w:w="1872"/>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Value Domain</w:t>
            </w:r>
          </w:p>
        </w:tc>
      </w:tr>
      <w:tr>
        <w:tc>
          <w:tcPr>
            <w:tcW w:type="dxa" w:w="1872"/>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Interaction Maps</w:t>
            </w:r>
          </w:p>
        </w:tc>
        <w:tc>
          <w:tcPr>
            <w:tcW w:type="dxa" w:w="1872"/>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Operational states</w:t>
            </w:r>
          </w:p>
        </w:tc>
        <w:tc>
          <w:tcPr>
            <w:tcW w:type="dxa" w:w="1872"/>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Structural contradictions</w:t>
            </w:r>
          </w:p>
        </w:tc>
        <w:tc>
          <w:tcPr>
            <w:tcW w:type="dxa" w:w="1872"/>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Delivery logic</w:t>
            </w:r>
          </w:p>
        </w:tc>
        <w:tc>
          <w:tcPr>
            <w:tcW w:type="dxa" w:w="1872"/>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Impact Domain</w:t>
            </w:r>
          </w:p>
        </w:tc>
      </w:tr>
      <w:tr>
        <w:tc>
          <w:tcPr>
            <w:tcW w:type="dxa" w:w="1872"/>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Issue Landscapes</w:t>
            </w:r>
          </w:p>
        </w:tc>
        <w:tc>
          <w:tcPr>
            <w:tcW w:type="dxa" w:w="1872"/>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Fundamental variable assignments</w:t>
            </w:r>
          </w:p>
        </w:tc>
        <w:tc>
          <w:tcPr>
            <w:tcW w:type="dxa" w:w="1872"/>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Adaptive configurations</w:t>
            </w:r>
          </w:p>
        </w:tc>
        <w:tc>
          <w:tcPr>
            <w:tcW w:type="dxa" w:w="1872"/>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Transition pathways</w:t>
            </w:r>
          </w:p>
        </w:tc>
        <w:tc>
          <w:tcPr>
            <w:tcW w:type="dxa" w:w="1872"/>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Resource Domain</w:t>
            </w:r>
          </w:p>
        </w:tc>
      </w:tr>
      <w:tr>
        <w:tc>
          <w:tcPr>
            <w:tcW w:type="dxa" w:w="1872"/>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System Pattern Maps</w:t>
            </w:r>
          </w:p>
        </w:tc>
        <w:tc>
          <w:tcPr>
            <w:tcW w:type="dxa" w:w="1872"/>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Informational absence conditions</w:t>
            </w:r>
          </w:p>
        </w:tc>
        <w:tc>
          <w:tcPr>
            <w:tcW w:type="dxa" w:w="1872"/>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Dependency structures</w:t>
            </w:r>
          </w:p>
        </w:tc>
        <w:tc>
          <w:tcPr>
            <w:tcW w:type="dxa" w:w="1872"/>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Operational conditions</w:t>
            </w:r>
          </w:p>
        </w:tc>
        <w:tc>
          <w:tcPr>
            <w:tcW w:type="dxa" w:w="1872"/>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Delivery Domain</w:t>
            </w:r>
          </w:p>
        </w:tc>
      </w:tr>
      <w:tr>
        <w:tc>
          <w:tcPr>
            <w:tcW w:type="dxa" w:w="1872"/>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Visibility Layers</w:t>
            </w:r>
          </w:p>
        </w:tc>
        <w:tc>
          <w:tcPr>
            <w:tcW w:type="dxa" w:w="1872"/>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Structural absence conditions</w:t>
            </w:r>
          </w:p>
        </w:tc>
        <w:tc>
          <w:tcPr>
            <w:tcW w:type="dxa" w:w="1872"/>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Balance conditions</w:t>
            </w:r>
          </w:p>
        </w:tc>
        <w:tc>
          <w:tcPr>
            <w:tcW w:type="dxa" w:w="1872"/>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Realization type (RT-SEC / RT-H)</w:t>
            </w:r>
          </w:p>
        </w:tc>
        <w:tc>
          <w:tcPr>
            <w:tcW w:type="dxa" w:w="1872"/>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Governance, Flow, Scale Domains</w:t>
            </w:r>
          </w:p>
        </w:tc>
      </w:tr>
    </w:tbl>
    <w:p>
      <w:pPr>
        <w:spacing w:after="100" w:before="0"/>
      </w:pPr>
    </w:p>
    <w:p>
      <w:pPr>
        <w:spacing w:after="80" w:before="180"/>
      </w:pPr>
      <w:r>
        <w:rPr>
          <w:rFonts w:ascii="Arial" w:cs="Arial" w:eastAsia="Arial" w:hAnsi="Arial"/>
          <w:b/>
          <w:bCs/>
          <w:color w:val="1B4F52"/>
          <w:sz w:val="22"/>
          <w:szCs w:val="22"/>
        </w:rPr>
        <w:t xml:space="preserve">Process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rPr>
          <w:tblHeader/>
        </w:trPr>
        <w:tc>
          <w:tcPr>
            <w:tcW w:type="dxa" w:w="4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w:t>
            </w:r>
          </w:p>
        </w:tc>
        <w:tc>
          <w:tcPr>
            <w:tcW w:type="dxa" w:w="24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Action</w:t>
            </w:r>
          </w:p>
        </w:tc>
        <w:tc>
          <w:tcPr>
            <w:tcW w:type="dxa" w:w="656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Detail</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1</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Gather upstream outputs</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Assemble admissible structural records from CoS, ECOA, ARA, and Runner</w:t>
            </w:r>
          </w:p>
        </w:tc>
      </w:tr>
      <w:tr>
        <w:tc>
          <w:tcPr>
            <w:tcW w:type="dxa" w:w="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2</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Verify traceability</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Ensure all records maintain source paths to original system observations</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3</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Verify realization pathway</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Confirm RT-SEC or RT-H activation from Runner output</w:t>
            </w:r>
          </w:p>
        </w:tc>
      </w:tr>
      <w:tr>
        <w:tc>
          <w:tcPr>
            <w:tcW w:type="dxa" w:w="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4</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Identify active enterprise variables</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Determine which synthesis domains are activated based on Runner conditions</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5</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Preserve unresolved conditions</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Carry forward missingness, informational absence, and dependency states — do not resolve artificially</w:t>
            </w:r>
          </w:p>
        </w:tc>
      </w:tr>
      <w:tr>
        <w:tc>
          <w:tcPr>
            <w:tcW w:type="dxa" w:w="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6</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Organize synthesis intake</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Group records into seven enterprise domains: Value, Impact, Resource, Delivery, Governance, Flow, Scale</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7</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Build Structural Intake Package</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Finalize the SIP as the complete enterprise synthesis intake structure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B85252"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X</w:t>
            </w:r>
          </w:p>
        </w:tc>
        <w:tc>
          <w:tcPr>
            <w:tcW w:type="dxa" w:w="9200"/>
            <w:tcBorders>
              <w:top w:val="none" w:color="FFFFFF" w:sz="0"/>
              <w:left w:val="none" w:color="FFFFFF" w:sz="0"/>
              <w:bottom w:val="none" w:color="FFFFFF" w:sz="0"/>
              <w:right w:val="none" w:color="FFFFFF" w:sz="0"/>
            </w:tcBorders>
            <w:shd w:fill="FAEEEE" w:val="clear"/>
            <w:tcMar>
              <w:top w:type="dxa" w:w="100"/>
              <w:left w:type="dxa" w:w="140"/>
              <w:bottom w:type="dxa" w:w="100"/>
              <w:right w:type="dxa" w:w="120"/>
            </w:tcMar>
          </w:tcPr>
          <w:p>
            <w:r>
              <w:rPr>
                <w:rFonts w:ascii="Arial" w:cs="Arial" w:eastAsia="Arial" w:hAnsi="Arial"/>
                <w:color w:val="1A1A18"/>
                <w:sz w:val="19"/>
                <w:szCs w:val="19"/>
              </w:rPr>
              <w:t xml:space="preserve">Unresolved conditions from upstream layers must be preserved explicitly. They are structural inputs, not gaps to be filled.</w:t>
            </w:r>
          </w:p>
        </w:tc>
      </w:tr>
    </w:tbl>
    <w:p>
      <w:pPr>
        <w:spacing w:after="1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4F52" w:val="clear"/>
            <w:tcMar>
              <w:top w:type="dxa" w:w="120"/>
              <w:left w:type="dxa" w:w="140"/>
              <w:bottom w:type="dxa" w:w="120"/>
              <w:right w:type="dxa" w:w="120"/>
            </w:tcMar>
            <w:vAlign w:val="center"/>
          </w:tcPr>
          <w:p>
            <w:pPr>
              <w:jc w:val="center"/>
            </w:pPr>
            <w:r>
              <w:rPr>
                <w:rFonts w:ascii="Courier New" w:cs="Courier New" w:eastAsia="Courier New" w:hAnsi="Courier New"/>
                <w:caps/>
                <w:color w:val="C8893A"/>
                <w:sz w:val="17"/>
                <w:szCs w:val="17"/>
              </w:rPr>
              <w:t xml:space="preserve">Phase 2</w:t>
            </w:r>
          </w:p>
          <w:p>
            <w:pPr>
              <w:jc w:val="center"/>
            </w:pPr>
            <w:r>
              <w:rPr>
                <w:rFonts w:ascii="Arial" w:cs="Arial" w:eastAsia="Arial" w:hAnsi="Arial"/>
                <w:b/>
                <w:bCs/>
                <w:color w:val="FFFFFF"/>
                <w:sz w:val="23"/>
                <w:szCs w:val="23"/>
              </w:rPr>
              <w:t xml:space="preserve">Realization Framing</w:t>
            </w:r>
          </w:p>
        </w:tc>
        <w:tc>
          <w:tcPr>
            <w:tcW w:type="dxa" w:w="8460"/>
            <w:tcBorders>
              <w:top w:val="none" w:color="FFFFFF" w:sz="0"/>
              <w:left w:val="none" w:color="FFFFFF" w:sz="0"/>
              <w:bottom w:val="none" w:color="FFFFFF" w:sz="0"/>
              <w:right w:val="none" w:color="FFFFFF" w:sz="0"/>
            </w:tcBorders>
            <w:shd w:fill="D4ECEE" w:val="clear"/>
            <w:tcMar>
              <w:top w:type="dxa" w:w="120"/>
              <w:left w:type="dxa" w:w="200"/>
              <w:bottom w:type="dxa" w:w="120"/>
              <w:right w:type="dxa" w:w="140"/>
            </w:tcMar>
            <w:vAlign w:val="center"/>
          </w:tcPr>
          <w:p>
            <w:r>
              <w:rPr>
                <w:rFonts w:ascii="Arial" w:cs="Arial" w:eastAsia="Arial" w:hAnsi="Arial"/>
                <w:color w:val="1B4F52"/>
                <w:sz w:val="20"/>
                <w:szCs w:val="20"/>
              </w:rPr>
              <w:t xml:space="preserve">Define the required enterprise operating structure based on Runner outputs.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40"/>
            </w:tcMar>
          </w:tcPr>
          <w:p>
            <w:pPr>
              <w:spacing w:after="80" w:before="180"/>
            </w:pPr>
            <w:r>
              <w:rPr>
                <w:rFonts w:ascii="Arial" w:cs="Arial" w:eastAsia="Arial" w:hAnsi="Arial"/>
                <w:b/>
                <w:bCs/>
                <w:color w:val="1B4F52"/>
                <w:sz w:val="22"/>
                <w:szCs w:val="22"/>
              </w:rPr>
              <w:t xml:space="preserve">This Phase Determines</w:t>
            </w:r>
          </w:p>
          <w:p>
            <w:pPr>
              <w:pStyle w:val="ListParagraph"/>
              <w:numPr>
                <w:ilvl w:val="0"/>
                <w:numId w:val="2"/>
              </w:numPr>
              <w:spacing w:after="80" w:before="0"/>
            </w:pPr>
            <w:r>
              <w:rPr>
                <w:rFonts w:ascii="Arial" w:cs="Arial" w:eastAsia="Arial" w:hAnsi="Arial"/>
                <w:b w:val="false"/>
                <w:bCs w:val="false"/>
                <w:color w:val="1A1A18"/>
                <w:sz w:val="20"/>
                <w:szCs w:val="20"/>
              </w:rPr>
              <w:t xml:space="preserve">Whether enterprise coordination is required</w:t>
            </w:r>
          </w:p>
          <w:p>
            <w:pPr>
              <w:pStyle w:val="ListParagraph"/>
              <w:numPr>
                <w:ilvl w:val="0"/>
                <w:numId w:val="2"/>
              </w:numPr>
              <w:spacing w:after="80" w:before="0"/>
            </w:pPr>
            <w:r>
              <w:rPr>
                <w:rFonts w:ascii="Arial" w:cs="Arial" w:eastAsia="Arial" w:hAnsi="Arial"/>
                <w:b w:val="false"/>
                <w:bCs w:val="false"/>
                <w:color w:val="1A1A18"/>
                <w:sz w:val="20"/>
                <w:szCs w:val="20"/>
              </w:rPr>
              <w:t xml:space="preserve">How enterprise value is organized</w:t>
            </w:r>
          </w:p>
          <w:p>
            <w:pPr>
              <w:pStyle w:val="ListParagraph"/>
              <w:numPr>
                <w:ilvl w:val="0"/>
                <w:numId w:val="2"/>
              </w:numPr>
              <w:spacing w:after="80" w:before="0"/>
            </w:pPr>
            <w:r>
              <w:rPr>
                <w:rFonts w:ascii="Arial" w:cs="Arial" w:eastAsia="Arial" w:hAnsi="Arial"/>
                <w:b w:val="false"/>
                <w:bCs w:val="false"/>
                <w:color w:val="1A1A18"/>
                <w:sz w:val="20"/>
                <w:szCs w:val="20"/>
              </w:rPr>
              <w:t xml:space="preserve">What structures are necessary for continuity</w:t>
            </w:r>
          </w:p>
          <w:p>
            <w:pPr>
              <w:pStyle w:val="ListParagraph"/>
              <w:numPr>
                <w:ilvl w:val="0"/>
                <w:numId w:val="2"/>
              </w:numPr>
              <w:spacing w:after="80" w:before="0"/>
            </w:pPr>
            <w:r>
              <w:rPr>
                <w:rFonts w:ascii="Arial" w:cs="Arial" w:eastAsia="Arial" w:hAnsi="Arial"/>
                <w:b w:val="false"/>
                <w:bCs w:val="false"/>
                <w:color w:val="1A1A18"/>
                <w:sz w:val="20"/>
                <w:szCs w:val="20"/>
              </w:rPr>
              <w:t xml:space="preserve">What enterprise boundaries exist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8893A"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w:t>
                  </w:r>
                </w:p>
              </w:tc>
              <w:tc>
                <w:tcPr>
                  <w:tcW w:type="dxa" w:w="9200"/>
                  <w:tcBorders>
                    <w:top w:val="none" w:color="FFFFFF" w:sz="0"/>
                    <w:left w:val="none" w:color="FFFFFF" w:sz="0"/>
                    <w:bottom w:val="none" w:color="FFFFFF" w:sz="0"/>
                    <w:right w:val="none" w:color="FFFFFF" w:sz="0"/>
                  </w:tcBorders>
                  <w:shd w:fill="FDF3E7" w:val="clear"/>
                  <w:tcMar>
                    <w:top w:type="dxa" w:w="100"/>
                    <w:left w:type="dxa" w:w="140"/>
                    <w:bottom w:type="dxa" w:w="100"/>
                    <w:right w:type="dxa" w:w="120"/>
                  </w:tcMar>
                </w:tcPr>
                <w:p>
                  <w:r>
                    <w:rPr>
                      <w:rFonts w:ascii="Arial" w:cs="Arial" w:eastAsia="Arial" w:hAnsi="Arial"/>
                      <w:color w:val="1A1A18"/>
                      <w:sz w:val="19"/>
                      <w:szCs w:val="19"/>
                    </w:rPr>
                    <w:t xml:space="preserve">SEC does not assume enterprise complexity beyond what the system requires.</w:t>
                  </w:r>
                </w:p>
              </w:tc>
            </w:tr>
          </w:tbl>
          <w:p/>
        </w:tc>
        <w:tc>
          <w:tcPr>
            <w:tcW w:type="dxa" w:w="4680"/>
            <w:tcBorders>
              <w:top w:val="none" w:color="FFFFFF" w:sz="0"/>
              <w:left w:val="none" w:color="FFFFFF" w:sz="0"/>
              <w:bottom w:val="none" w:color="FFFFFF" w:sz="0"/>
              <w:right w:val="none" w:color="FFFFFF" w:sz="0"/>
            </w:tcBorders>
            <w:tcMar>
              <w:top w:type="dxa" w:w="0"/>
              <w:left w:type="dxa" w:w="140"/>
              <w:bottom w:type="dxa" w:w="0"/>
              <w:right w:type="dxa" w:w="0"/>
            </w:tcMar>
          </w:tcPr>
          <w:p>
            <w:pPr>
              <w:spacing w:after="80" w:before="180"/>
            </w:pPr>
            <w:r>
              <w:rPr>
                <w:rFonts w:ascii="Arial" w:cs="Arial" w:eastAsia="Arial" w:hAnsi="Arial"/>
                <w:b/>
                <w:bCs/>
                <w:color w:val="1B4F52"/>
                <w:sz w:val="22"/>
                <w:szCs w:val="22"/>
              </w:rPr>
              <w:t xml:space="preserve">Output</w:t>
            </w:r>
          </w:p>
          <w:p>
            <w:pPr>
              <w:spacing w:after="100" w:before="0"/>
            </w:pPr>
            <w:r>
              <w:rPr>
                <w:rFonts w:ascii="Arial" w:cs="Arial" w:eastAsia="Arial" w:hAnsi="Arial"/>
                <w:b/>
                <w:bCs/>
                <w:i w:val="false"/>
                <w:iCs w:val="false"/>
                <w:color w:val="1A1A18"/>
                <w:sz w:val="20"/>
                <w:szCs w:val="20"/>
              </w:rPr>
              <w:t xml:space="preserve">Enterprise Structure Set (ESS)</w:t>
            </w:r>
          </w:p>
          <w:p>
            <w:pPr>
              <w:spacing w:after="100" w:before="0"/>
            </w:pPr>
            <w:r>
              <w:rPr>
                <w:rFonts w:ascii="Arial" w:cs="Arial" w:eastAsia="Arial" w:hAnsi="Arial"/>
                <w:b w:val="false"/>
                <w:bCs w:val="false"/>
                <w:i w:val="false"/>
                <w:iCs w:val="false"/>
                <w:color w:val="1A1A18"/>
                <w:sz w:val="20"/>
                <w:szCs w:val="20"/>
              </w:rPr>
              <w:t xml:space="preserve">The first enterprise synthesis layer. Defines the operating structure required — not idealized, only what the resolved system conditions indicate.</w:t>
            </w:r>
          </w:p>
        </w:tc>
      </w:tr>
    </w:tbl>
    <w:p>
      <w:pPr>
        <w:spacing w:after="80" w:before="0"/>
      </w:pPr>
    </w:p>
    <w:p>
      <w:pPr>
        <w:spacing w:after="80" w:before="180"/>
      </w:pPr>
      <w:r>
        <w:rPr>
          <w:rFonts w:ascii="Arial" w:cs="Arial" w:eastAsia="Arial" w:hAnsi="Arial"/>
          <w:b/>
          <w:bCs/>
          <w:color w:val="1B4F52"/>
          <w:sz w:val="22"/>
          <w:szCs w:val="22"/>
        </w:rPr>
        <w:t xml:space="preserve">Process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rPr>
          <w:tblHeader/>
        </w:trPr>
        <w:tc>
          <w:tcPr>
            <w:tcW w:type="dxa" w:w="4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w:t>
            </w:r>
          </w:p>
        </w:tc>
        <w:tc>
          <w:tcPr>
            <w:tcW w:type="dxa" w:w="24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Action</w:t>
            </w:r>
          </w:p>
        </w:tc>
        <w:tc>
          <w:tcPr>
            <w:tcW w:type="dxa" w:w="656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Detail</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1</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Define beneficiary structure</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Identify who experiences change — from ARA-resolved actor positions</w:t>
            </w:r>
          </w:p>
        </w:tc>
      </w:tr>
      <w:tr>
        <w:tc>
          <w:tcPr>
            <w:tcW w:type="dxa" w:w="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2</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Define payer structure</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Identify resource-bearing actors — distinguish from beneficiary where required</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3</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Define value structure</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Organize value creation pathways traceable to v27 (value) and upstream CoS flows</w:t>
            </w:r>
          </w:p>
        </w:tc>
      </w:tr>
      <w:tr>
        <w:tc>
          <w:tcPr>
            <w:tcW w:type="dxa" w:w="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4</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Define impact structure</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Organize impact pathways traceable to v28 (impact) and ECOA operational states</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5</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Define offering structure</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Identify operational mechanisms — what the enterprise actually does</w:t>
            </w:r>
          </w:p>
        </w:tc>
      </w:tr>
      <w:tr>
        <w:tc>
          <w:tcPr>
            <w:tcW w:type="dxa" w:w="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6</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Define delivery structure</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Organize enterprise execution — channels, activities, operational architecture</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7</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Define resource structure</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Organize operational dependencies — resourcing, cost, revenue architecture</w:t>
            </w:r>
          </w:p>
        </w:tc>
      </w:tr>
      <w:tr>
        <w:tc>
          <w:tcPr>
            <w:tcW w:type="dxa" w:w="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8</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Define stewardship structure</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Organize continuity responsibilities — authority, oversight, accountability</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9</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Define enterprise boundaries</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Clarify operating scope — what the enterprise does and does not include</w:t>
            </w:r>
          </w:p>
        </w:tc>
      </w:tr>
    </w:tbl>
    <w:p>
      <w:pPr>
        <w:spacing w:after="80" w:before="0"/>
      </w:pPr>
    </w:p>
    <w:p>
      <w:pPr>
        <w:spacing w:after="80" w:before="180"/>
      </w:pPr>
      <w:r>
        <w:rPr>
          <w:rFonts w:ascii="Arial" w:cs="Arial" w:eastAsia="Arial" w:hAnsi="Arial"/>
          <w:b/>
          <w:bCs/>
          <w:color w:val="1B4F52"/>
          <w:sz w:val="22"/>
          <w:szCs w:val="22"/>
        </w:rPr>
        <w:t xml:space="preserve">Enterprise Domains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Domain</w:t>
            </w:r>
          </w:p>
        </w:tc>
        <w:tc>
          <w:tcPr>
            <w:tcW w:type="dxa" w:w="656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Output</w:t>
            </w:r>
          </w:p>
        </w:tc>
      </w:tr>
      <w:tr>
        <w:tc>
          <w:tcPr>
            <w:tcW w:type="dxa" w:w="28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Beneficiary Domain</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Beneficiary structures — who experiences change</w:t>
            </w:r>
          </w:p>
        </w:tc>
      </w:tr>
      <w:tr>
        <w:tc>
          <w:tcPr>
            <w:tcW w:type="dxa" w:w="28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Payer Domain</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Customer/payer structures — who provides resources</w:t>
            </w:r>
          </w:p>
        </w:tc>
      </w:tr>
      <w:tr>
        <w:tc>
          <w:tcPr>
            <w:tcW w:type="dxa" w:w="28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Value Domain</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Value proposition pathways</w:t>
            </w:r>
          </w:p>
        </w:tc>
      </w:tr>
      <w:tr>
        <w:tc>
          <w:tcPr>
            <w:tcW w:type="dxa" w:w="28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Impact Domain</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Impact proposition pathways</w:t>
            </w:r>
          </w:p>
        </w:tc>
      </w:tr>
      <w:tr>
        <w:tc>
          <w:tcPr>
            <w:tcW w:type="dxa" w:w="28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Offering Domain</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Enterprise mechanisms — what is offered</w:t>
            </w:r>
          </w:p>
        </w:tc>
      </w:tr>
      <w:tr>
        <w:tc>
          <w:tcPr>
            <w:tcW w:type="dxa" w:w="28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Delivery Domain</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Channels and operational activities</w:t>
            </w:r>
          </w:p>
        </w:tc>
      </w:tr>
      <w:tr>
        <w:tc>
          <w:tcPr>
            <w:tcW w:type="dxa" w:w="28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Resource Domain</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Resources and cost structures</w:t>
            </w:r>
          </w:p>
        </w:tc>
      </w:tr>
      <w:tr>
        <w:tc>
          <w:tcPr>
            <w:tcW w:type="dxa" w:w="28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Stewardship Domain</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Continuity and responsibility structures</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4F52" w:val="clear"/>
            <w:tcMar>
              <w:top w:type="dxa" w:w="120"/>
              <w:left w:type="dxa" w:w="140"/>
              <w:bottom w:type="dxa" w:w="120"/>
              <w:right w:type="dxa" w:w="120"/>
            </w:tcMar>
            <w:vAlign w:val="center"/>
          </w:tcPr>
          <w:p>
            <w:pPr>
              <w:jc w:val="center"/>
            </w:pPr>
            <w:r>
              <w:rPr>
                <w:rFonts w:ascii="Courier New" w:cs="Courier New" w:eastAsia="Courier New" w:hAnsi="Courier New"/>
                <w:caps/>
                <w:color w:val="C8893A"/>
                <w:sz w:val="17"/>
                <w:szCs w:val="17"/>
              </w:rPr>
              <w:t xml:space="preserve">Phase 3</w:t>
            </w:r>
          </w:p>
          <w:p>
            <w:pPr>
              <w:jc w:val="center"/>
            </w:pPr>
            <w:r>
              <w:rPr>
                <w:rFonts w:ascii="Arial" w:cs="Arial" w:eastAsia="Arial" w:hAnsi="Arial"/>
                <w:b/>
                <w:bCs/>
                <w:color w:val="FFFFFF"/>
                <w:sz w:val="23"/>
                <w:szCs w:val="23"/>
              </w:rPr>
              <w:t xml:space="preserve">Enterprise Flow Synthesis</w:t>
            </w:r>
          </w:p>
        </w:tc>
        <w:tc>
          <w:tcPr>
            <w:tcW w:type="dxa" w:w="8460"/>
            <w:tcBorders>
              <w:top w:val="none" w:color="FFFFFF" w:sz="0"/>
              <w:left w:val="none" w:color="FFFFFF" w:sz="0"/>
              <w:bottom w:val="none" w:color="FFFFFF" w:sz="0"/>
              <w:right w:val="none" w:color="FFFFFF" w:sz="0"/>
            </w:tcBorders>
            <w:shd w:fill="D4ECEE" w:val="clear"/>
            <w:tcMar>
              <w:top w:type="dxa" w:w="120"/>
              <w:left w:type="dxa" w:w="200"/>
              <w:bottom w:type="dxa" w:w="120"/>
              <w:right w:type="dxa" w:w="140"/>
            </w:tcMar>
            <w:vAlign w:val="center"/>
          </w:tcPr>
          <w:p>
            <w:r>
              <w:rPr>
                <w:rFonts w:ascii="Arial" w:cs="Arial" w:eastAsia="Arial" w:hAnsi="Arial"/>
                <w:color w:val="1B4F52"/>
                <w:sz w:val="20"/>
                <w:szCs w:val="20"/>
              </w:rPr>
              <w:t xml:space="preserve">Map movement through the enterprise system.</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40"/>
            </w:tcMar>
          </w:tcPr>
          <w:p>
            <w:pPr>
              <w:spacing w:after="80" w:before="180"/>
            </w:pPr>
            <w:r>
              <w:rPr>
                <w:rFonts w:ascii="Arial" w:cs="Arial" w:eastAsia="Arial" w:hAnsi="Arial"/>
                <w:b/>
                <w:bCs/>
                <w:color w:val="1B4F52"/>
                <w:sz w:val="22"/>
                <w:szCs w:val="22"/>
              </w:rPr>
              <w:t xml:space="preserve">Four Mandatory Enterprise Flows</w:t>
            </w:r>
          </w:p>
          <w:p>
            <w:pPr>
              <w:spacing w:after="100" w:before="0"/>
            </w:pPr>
            <w:r>
              <w:rPr>
                <w:rFonts w:ascii="Arial" w:cs="Arial" w:eastAsia="Arial" w:hAnsi="Arial"/>
                <w:b w:val="false"/>
                <w:bCs w:val="false"/>
                <w:i w:val="false"/>
                <w:iCs w:val="false"/>
                <w:color w:val="1A1A18"/>
                <w:sz w:val="20"/>
                <w:szCs w:val="20"/>
              </w:rPr>
              <w:t xml:space="preserve">SEC recognizes four mandatory enterprise flows. Flow coherence is required for enterprise continuity. All four must be mapped — absence of a flow is a structural finding, not a skip.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80"/>
            </w:tblGrid>
            <w:tr>
              <w:trPr>
                <w:tblHeader/>
              </w:trPr>
              <w:tc>
                <w:tcPr>
                  <w:tcW w:type="dxa" w:w="22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Flow</w:t>
                  </w:r>
                </w:p>
              </w:tc>
              <w:tc>
                <w:tcPr>
                  <w:tcW w:type="dxa" w:w="448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Description</w:t>
                  </w:r>
                </w:p>
              </w:tc>
            </w:tr>
            <w:tr>
              <w:tc>
                <w:tcPr>
                  <w:tcW w:type="dxa" w:w="22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Money Flow</w:t>
                  </w:r>
                </w:p>
              </w:tc>
              <w:tc>
                <w:tcPr>
                  <w:tcW w:type="dxa" w:w="448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Resource movement — how resources enter, move through, and exit the enterprise</w:t>
                  </w:r>
                </w:p>
              </w:tc>
            </w:tr>
            <w:tr>
              <w:tc>
                <w:tcPr>
                  <w:tcW w:type="dxa" w:w="22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Impact Flow</w:t>
                  </w:r>
                </w:p>
              </w:tc>
              <w:tc>
                <w:tcPr>
                  <w:tcW w:type="dxa" w:w="448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Change movement — how the enterprise produces and sustains impact</w:t>
                  </w:r>
                </w:p>
              </w:tc>
            </w:tr>
            <w:tr>
              <w:tc>
                <w:tcPr>
                  <w:tcW w:type="dxa" w:w="22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Data Flow</w:t>
                  </w:r>
                </w:p>
              </w:tc>
              <w:tc>
                <w:tcPr>
                  <w:tcW w:type="dxa" w:w="448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Information movement — how information is captured, used, and shared</w:t>
                  </w:r>
                </w:p>
              </w:tc>
            </w:tr>
            <w:tr>
              <w:tc>
                <w:tcPr>
                  <w:tcW w:type="dxa" w:w="22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Decision Flow</w:t>
                  </w:r>
                </w:p>
              </w:tc>
              <w:tc>
                <w:tcPr>
                  <w:tcW w:type="dxa" w:w="448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Authority movement — how decisions are made and by whom</w:t>
                  </w:r>
                </w:p>
              </w:tc>
            </w:tr>
          </w:tbl>
          <w:p/>
        </w:tc>
        <w:tc>
          <w:tcPr>
            <w:tcW w:type="dxa" w:w="4680"/>
            <w:tcBorders>
              <w:top w:val="none" w:color="FFFFFF" w:sz="0"/>
              <w:left w:val="none" w:color="FFFFFF" w:sz="0"/>
              <w:bottom w:val="none" w:color="FFFFFF" w:sz="0"/>
              <w:right w:val="none" w:color="FFFFFF" w:sz="0"/>
            </w:tcBorders>
            <w:tcMar>
              <w:top w:type="dxa" w:w="0"/>
              <w:left w:type="dxa" w:w="140"/>
              <w:bottom w:type="dxa" w:w="0"/>
              <w:right w:type="dxa" w:w="0"/>
            </w:tcMar>
          </w:tcPr>
          <w:p>
            <w:pPr>
              <w:spacing w:after="80" w:before="180"/>
            </w:pPr>
            <w:r>
              <w:rPr>
                <w:rFonts w:ascii="Arial" w:cs="Arial" w:eastAsia="Arial" w:hAnsi="Arial"/>
                <w:b/>
                <w:bCs/>
                <w:color w:val="1B4F52"/>
                <w:sz w:val="22"/>
                <w:szCs w:val="22"/>
              </w:rPr>
              <w:t xml:space="preserve">Output</w:t>
            </w:r>
          </w:p>
          <w:p>
            <w:pPr>
              <w:spacing w:after="100" w:before="0"/>
            </w:pPr>
            <w:r>
              <w:rPr>
                <w:rFonts w:ascii="Arial" w:cs="Arial" w:eastAsia="Arial" w:hAnsi="Arial"/>
                <w:b/>
                <w:bCs/>
                <w:i w:val="false"/>
                <w:iCs w:val="false"/>
                <w:color w:val="1A1A18"/>
                <w:sz w:val="20"/>
                <w:szCs w:val="20"/>
              </w:rPr>
              <w:t xml:space="preserve">Enterprise Flow Map (EFM)</w:t>
            </w:r>
          </w:p>
          <w:p>
            <w:pPr>
              <w:spacing w:after="100" w:before="0"/>
            </w:pPr>
            <w:r>
              <w:rPr>
                <w:rFonts w:ascii="Arial" w:cs="Arial" w:eastAsia="Arial" w:hAnsi="Arial"/>
                <w:b w:val="false"/>
                <w:bCs w:val="false"/>
                <w:i w:val="false"/>
                <w:iCs w:val="false"/>
                <w:color w:val="1A1A18"/>
                <w:sz w:val="20"/>
                <w:szCs w:val="20"/>
              </w:rPr>
              <w:t xml:space="preserve">A complete map of all four flows showing intersections, tensions, and dependency structures.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B4F52"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i</w:t>
                  </w:r>
                </w:p>
              </w:tc>
              <w:tc>
                <w:tcPr>
                  <w:tcW w:type="dxa" w:w="9200"/>
                  <w:tcBorders>
                    <w:top w:val="none" w:color="FFFFFF" w:sz="0"/>
                    <w:left w:val="none" w:color="FFFFFF" w:sz="0"/>
                    <w:bottom w:val="none" w:color="FFFFFF" w:sz="0"/>
                    <w:right w:val="none" w:color="FFFFFF" w:sz="0"/>
                  </w:tcBorders>
                  <w:shd w:fill="D4ECEE" w:val="clear"/>
                  <w:tcMar>
                    <w:top w:type="dxa" w:w="100"/>
                    <w:left w:type="dxa" w:w="140"/>
                    <w:bottom w:type="dxa" w:w="100"/>
                    <w:right w:type="dxa" w:w="120"/>
                  </w:tcMar>
                </w:tcPr>
                <w:p>
                  <w:r>
                    <w:rPr>
                      <w:rFonts w:ascii="Arial" w:cs="Arial" w:eastAsia="Arial" w:hAnsi="Arial"/>
                      <w:color w:val="1A1A18"/>
                      <w:sz w:val="19"/>
                      <w:szCs w:val="19"/>
                    </w:rPr>
                    <w:t xml:space="preserve">Flow intersections are where reinforcement or fracture occurs. Both must be recorded. Flow tensions are not problems to be solved here — they are structural findings to be preserved.</w:t>
                  </w:r>
                </w:p>
              </w:tc>
            </w:tr>
          </w:tbl>
          <w:p/>
        </w:tc>
      </w:tr>
    </w:tbl>
    <w:p>
      <w:pPr>
        <w:spacing w:after="80" w:before="0"/>
      </w:pPr>
    </w:p>
    <w:p>
      <w:pPr>
        <w:spacing w:after="80" w:before="180"/>
      </w:pPr>
      <w:r>
        <w:rPr>
          <w:rFonts w:ascii="Arial" w:cs="Arial" w:eastAsia="Arial" w:hAnsi="Arial"/>
          <w:b/>
          <w:bCs/>
          <w:color w:val="1B4F52"/>
          <w:sz w:val="22"/>
          <w:szCs w:val="22"/>
        </w:rPr>
        <w:t xml:space="preserve">Process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rPr>
          <w:tblHeader/>
        </w:trPr>
        <w:tc>
          <w:tcPr>
            <w:tcW w:type="dxa" w:w="4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w:t>
            </w:r>
          </w:p>
        </w:tc>
        <w:tc>
          <w:tcPr>
            <w:tcW w:type="dxa" w:w="24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Action</w:t>
            </w:r>
          </w:p>
        </w:tc>
        <w:tc>
          <w:tcPr>
            <w:tcW w:type="dxa" w:w="656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Detail</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1</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Map money flow</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Identify all resource movement — revenue, grants, in-kind, redistribution</w:t>
            </w:r>
          </w:p>
        </w:tc>
      </w:tr>
      <w:tr>
        <w:tc>
          <w:tcPr>
            <w:tcW w:type="dxa" w:w="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2</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Map impact flow</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Identify all change movement — theory of change pathways, outcome chains</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3</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Map data flow</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Identify all information movement — capture, processing, use, feedback</w:t>
            </w:r>
          </w:p>
        </w:tc>
      </w:tr>
      <w:tr>
        <w:tc>
          <w:tcPr>
            <w:tcW w:type="dxa" w:w="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4</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Map decision flow</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Identify all authority movement — formal and informal decision structures</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5</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Identify flow intersections</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Surface points where flows reinforce or fracture each other</w:t>
            </w:r>
          </w:p>
        </w:tc>
      </w:tr>
      <w:tr>
        <w:tc>
          <w:tcPr>
            <w:tcW w:type="dxa" w:w="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6</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Capture flow tensions</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Record contradictions and disconnections between flows — these are structural findings</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7</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Preserve flow dependencies</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Maintain traceable relationships between flows and upstream structural conditions</w:t>
            </w:r>
          </w:p>
        </w:tc>
      </w:tr>
    </w:tbl>
    <w:p>
      <w:pPr>
        <w:spacing w:after="1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4F52" w:val="clear"/>
            <w:tcMar>
              <w:top w:type="dxa" w:w="120"/>
              <w:left w:type="dxa" w:w="140"/>
              <w:bottom w:type="dxa" w:w="120"/>
              <w:right w:type="dxa" w:w="120"/>
            </w:tcMar>
            <w:vAlign w:val="center"/>
          </w:tcPr>
          <w:p>
            <w:pPr>
              <w:jc w:val="center"/>
            </w:pPr>
            <w:r>
              <w:rPr>
                <w:rFonts w:ascii="Courier New" w:cs="Courier New" w:eastAsia="Courier New" w:hAnsi="Courier New"/>
                <w:caps/>
                <w:color w:val="C8893A"/>
                <w:sz w:val="17"/>
                <w:szCs w:val="17"/>
              </w:rPr>
              <w:t xml:space="preserve">Phase 4</w:t>
            </w:r>
          </w:p>
          <w:p>
            <w:pPr>
              <w:jc w:val="center"/>
            </w:pPr>
            <w:r>
              <w:rPr>
                <w:rFonts w:ascii="Arial" w:cs="Arial" w:eastAsia="Arial" w:hAnsi="Arial"/>
                <w:b/>
                <w:bCs/>
                <w:color w:val="FFFFFF"/>
                <w:sz w:val="23"/>
                <w:szCs w:val="23"/>
              </w:rPr>
              <w:t xml:space="preserve">Coherence Structuring</w:t>
            </w:r>
          </w:p>
        </w:tc>
        <w:tc>
          <w:tcPr>
            <w:tcW w:type="dxa" w:w="8460"/>
            <w:tcBorders>
              <w:top w:val="none" w:color="FFFFFF" w:sz="0"/>
              <w:left w:val="none" w:color="FFFFFF" w:sz="0"/>
              <w:bottom w:val="none" w:color="FFFFFF" w:sz="0"/>
              <w:right w:val="none" w:color="FFFFFF" w:sz="0"/>
            </w:tcBorders>
            <w:shd w:fill="D4ECEE" w:val="clear"/>
            <w:tcMar>
              <w:top w:type="dxa" w:w="120"/>
              <w:left w:type="dxa" w:w="200"/>
              <w:bottom w:type="dxa" w:w="120"/>
              <w:right w:type="dxa" w:w="140"/>
            </w:tcMar>
            <w:vAlign w:val="center"/>
          </w:tcPr>
          <w:p>
            <w:r>
              <w:rPr>
                <w:rFonts w:ascii="Arial" w:cs="Arial" w:eastAsia="Arial" w:hAnsi="Arial"/>
                <w:color w:val="1B4F52"/>
                <w:sz w:val="20"/>
                <w:szCs w:val="20"/>
              </w:rPr>
              <w:t xml:space="preserve">Determine whether the enterprise operating structure holds together under real-world conditions.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40"/>
            </w:tcMar>
          </w:tcPr>
          <w:p>
            <w:pPr>
              <w:spacing w:after="80" w:before="180"/>
            </w:pPr>
            <w:r>
              <w:rPr>
                <w:rFonts w:ascii="Arial" w:cs="Arial" w:eastAsia="Arial" w:hAnsi="Arial"/>
                <w:b/>
                <w:bCs/>
                <w:color w:val="1B4F52"/>
                <w:sz w:val="22"/>
                <w:szCs w:val="22"/>
              </w:rPr>
              <w:t xml:space="preserve">What This Phase Surfaces</w:t>
            </w:r>
          </w:p>
          <w:p>
            <w:pPr>
              <w:pStyle w:val="ListParagraph"/>
              <w:numPr>
                <w:ilvl w:val="0"/>
                <w:numId w:val="2"/>
              </w:numPr>
              <w:spacing w:after="80" w:before="0"/>
            </w:pPr>
            <w:r>
              <w:rPr>
                <w:rFonts w:ascii="Arial" w:cs="Arial" w:eastAsia="Arial" w:hAnsi="Arial"/>
                <w:b w:val="false"/>
                <w:bCs w:val="false"/>
                <w:color w:val="1A1A18"/>
                <w:sz w:val="20"/>
                <w:szCs w:val="20"/>
              </w:rPr>
              <w:t xml:space="preserve">Tensions between enterprise elements</w:t>
            </w:r>
          </w:p>
          <w:p>
            <w:pPr>
              <w:pStyle w:val="ListParagraph"/>
              <w:numPr>
                <w:ilvl w:val="0"/>
                <w:numId w:val="2"/>
              </w:numPr>
              <w:spacing w:after="80" w:before="0"/>
            </w:pPr>
            <w:r>
              <w:rPr>
                <w:rFonts w:ascii="Arial" w:cs="Arial" w:eastAsia="Arial" w:hAnsi="Arial"/>
                <w:b w:val="false"/>
                <w:bCs w:val="false"/>
                <w:color w:val="1A1A18"/>
                <w:sz w:val="20"/>
                <w:szCs w:val="20"/>
              </w:rPr>
              <w:t xml:space="preserve">Bottlenecks limiting continuity</w:t>
            </w:r>
          </w:p>
          <w:p>
            <w:pPr>
              <w:pStyle w:val="ListParagraph"/>
              <w:numPr>
                <w:ilvl w:val="0"/>
                <w:numId w:val="2"/>
              </w:numPr>
              <w:spacing w:after="80" w:before="0"/>
            </w:pPr>
            <w:r>
              <w:rPr>
                <w:rFonts w:ascii="Arial" w:cs="Arial" w:eastAsia="Arial" w:hAnsi="Arial"/>
                <w:b w:val="false"/>
                <w:bCs w:val="false"/>
                <w:color w:val="1A1A18"/>
                <w:sz w:val="20"/>
                <w:szCs w:val="20"/>
              </w:rPr>
              <w:t xml:space="preserve">Continuity risks</w:t>
            </w:r>
          </w:p>
          <w:p>
            <w:pPr>
              <w:pStyle w:val="ListParagraph"/>
              <w:numPr>
                <w:ilvl w:val="0"/>
                <w:numId w:val="2"/>
              </w:numPr>
              <w:spacing w:after="80" w:before="0"/>
            </w:pPr>
            <w:r>
              <w:rPr>
                <w:rFonts w:ascii="Arial" w:cs="Arial" w:eastAsia="Arial" w:hAnsi="Arial"/>
                <w:b w:val="false"/>
                <w:bCs w:val="false"/>
                <w:color w:val="1A1A18"/>
                <w:sz w:val="20"/>
                <w:szCs w:val="20"/>
              </w:rPr>
              <w:t xml:space="preserve">Founder dependence</w:t>
            </w:r>
          </w:p>
          <w:p>
            <w:pPr>
              <w:pStyle w:val="ListParagraph"/>
              <w:numPr>
                <w:ilvl w:val="0"/>
                <w:numId w:val="2"/>
              </w:numPr>
              <w:spacing w:after="80" w:before="0"/>
            </w:pPr>
            <w:r>
              <w:rPr>
                <w:rFonts w:ascii="Arial" w:cs="Arial" w:eastAsia="Arial" w:hAnsi="Arial"/>
                <w:b w:val="false"/>
                <w:bCs w:val="false"/>
                <w:color w:val="1A1A18"/>
                <w:sz w:val="20"/>
                <w:szCs w:val="20"/>
              </w:rPr>
              <w:t xml:space="preserve">Mission drift conditions</w:t>
            </w:r>
          </w:p>
          <w:p>
            <w:pPr>
              <w:pStyle w:val="ListParagraph"/>
              <w:numPr>
                <w:ilvl w:val="0"/>
                <w:numId w:val="2"/>
              </w:numPr>
              <w:spacing w:after="80" w:before="0"/>
            </w:pPr>
            <w:r>
              <w:rPr>
                <w:rFonts w:ascii="Arial" w:cs="Arial" w:eastAsia="Arial" w:hAnsi="Arial"/>
                <w:b w:val="false"/>
                <w:bCs w:val="false"/>
                <w:color w:val="1A1A18"/>
                <w:sz w:val="20"/>
                <w:szCs w:val="20"/>
              </w:rPr>
              <w:t xml:space="preserve">Unresolved structural dependencies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B85252"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X</w:t>
                  </w:r>
                </w:p>
              </w:tc>
              <w:tc>
                <w:tcPr>
                  <w:tcW w:type="dxa" w:w="9200"/>
                  <w:tcBorders>
                    <w:top w:val="none" w:color="FFFFFF" w:sz="0"/>
                    <w:left w:val="none" w:color="FFFFFF" w:sz="0"/>
                    <w:bottom w:val="none" w:color="FFFFFF" w:sz="0"/>
                    <w:right w:val="none" w:color="FFFFFF" w:sz="0"/>
                  </w:tcBorders>
                  <w:shd w:fill="FAEEEE" w:val="clear"/>
                  <w:tcMar>
                    <w:top w:type="dxa" w:w="100"/>
                    <w:left w:type="dxa" w:w="140"/>
                    <w:bottom w:type="dxa" w:w="100"/>
                    <w:right w:type="dxa" w:w="120"/>
                  </w:tcMar>
                </w:tcPr>
                <w:p>
                  <w:r>
                    <w:rPr>
                      <w:rFonts w:ascii="Arial" w:cs="Arial" w:eastAsia="Arial" w:hAnsi="Arial"/>
                      <w:color w:val="1A1A18"/>
                      <w:sz w:val="19"/>
                      <w:szCs w:val="19"/>
                    </w:rPr>
                    <w:t xml:space="preserve">SEC does not fabricate coherence. If tensions are unresolved, they are recorded as unresolved — not smoothed over.</w:t>
                  </w:r>
                </w:p>
              </w:tc>
            </w:tr>
          </w:tbl>
          <w:p/>
        </w:tc>
        <w:tc>
          <w:tcPr>
            <w:tcW w:type="dxa" w:w="4680"/>
            <w:tcBorders>
              <w:top w:val="none" w:color="FFFFFF" w:sz="0"/>
              <w:left w:val="none" w:color="FFFFFF" w:sz="0"/>
              <w:bottom w:val="none" w:color="FFFFFF" w:sz="0"/>
              <w:right w:val="none" w:color="FFFFFF" w:sz="0"/>
            </w:tcBorders>
            <w:tcMar>
              <w:top w:type="dxa" w:w="0"/>
              <w:left w:type="dxa" w:w="140"/>
              <w:bottom w:type="dxa" w:w="0"/>
              <w:right w:type="dxa" w:w="0"/>
            </w:tcMar>
          </w:tcPr>
          <w:p>
            <w:pPr>
              <w:spacing w:after="80" w:before="180"/>
            </w:pPr>
            <w:r>
              <w:rPr>
                <w:rFonts w:ascii="Arial" w:cs="Arial" w:eastAsia="Arial" w:hAnsi="Arial"/>
                <w:b/>
                <w:bCs/>
                <w:color w:val="1B4F52"/>
                <w:sz w:val="22"/>
                <w:szCs w:val="22"/>
              </w:rPr>
              <w:t xml:space="preserve">Coherence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80"/>
            </w:tblGrid>
            <w:tr>
              <w:trPr>
                <w:tblHeader/>
              </w:trPr>
              <w:tc>
                <w:tcPr>
                  <w:tcW w:type="dxa" w:w="14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Tag</w:t>
                  </w:r>
                </w:p>
              </w:tc>
              <w:tc>
                <w:tcPr>
                  <w:tcW w:type="dxa" w:w="338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State</w:t>
                  </w:r>
                </w:p>
              </w:tc>
            </w:tr>
            <w:tr>
              <w:tc>
                <w:tcPr>
                  <w:tcW w:type="dxa" w:w="1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RES-C</w:t>
                  </w:r>
                </w:p>
              </w:tc>
              <w:tc>
                <w:tcPr>
                  <w:tcW w:type="dxa" w:w="338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Coherent</w:t>
                  </w:r>
                </w:p>
              </w:tc>
            </w:tr>
            <w:tr>
              <w:tc>
                <w:tcPr>
                  <w:tcW w:type="dxa" w:w="1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RES-F</w:t>
                  </w:r>
                </w:p>
              </w:tc>
              <w:tc>
                <w:tcPr>
                  <w:tcW w:type="dxa" w:w="338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Fragile</w:t>
                  </w:r>
                </w:p>
              </w:tc>
            </w:tr>
            <w:tr>
              <w:tc>
                <w:tcPr>
                  <w:tcW w:type="dxa" w:w="1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RES-U</w:t>
                  </w:r>
                </w:p>
              </w:tc>
              <w:tc>
                <w:tcPr>
                  <w:tcW w:type="dxa" w:w="338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Unresolved</w:t>
                  </w:r>
                </w:p>
              </w:tc>
            </w:tr>
            <w:tr>
              <w:tc>
                <w:tcPr>
                  <w:tcW w:type="dxa" w:w="1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RES-D</w:t>
                  </w:r>
                </w:p>
              </w:tc>
              <w:tc>
                <w:tcPr>
                  <w:tcW w:type="dxa" w:w="338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Dependency exposed</w:t>
                  </w:r>
                </w:p>
              </w:tc>
            </w:tr>
            <w:tr>
              <w:tc>
                <w:tcPr>
                  <w:tcW w:type="dxa" w:w="1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RES-B</w:t>
                  </w:r>
                </w:p>
              </w:tc>
              <w:tc>
                <w:tcPr>
                  <w:tcW w:type="dxa" w:w="338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Bottleneck exposed</w:t>
                  </w:r>
                </w:p>
              </w:tc>
            </w:tr>
            <w:tr>
              <w:tc>
                <w:tcPr>
                  <w:tcW w:type="dxa" w:w="1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RES-MD</w:t>
                  </w:r>
                </w:p>
              </w:tc>
              <w:tc>
                <w:tcPr>
                  <w:tcW w:type="dxa" w:w="338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Mission drift risk</w:t>
                  </w:r>
                </w:p>
              </w:tc>
            </w:tr>
            <w:tr>
              <w:tc>
                <w:tcPr>
                  <w:tcW w:type="dxa" w:w="1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RES-FD</w:t>
                  </w:r>
                </w:p>
              </w:tc>
              <w:tc>
                <w:tcPr>
                  <w:tcW w:type="dxa" w:w="338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Founder dependent</w:t>
                  </w:r>
                </w:p>
              </w:tc>
            </w:tr>
            <w:tr>
              <w:tc>
                <w:tcPr>
                  <w:tcW w:type="dxa" w:w="1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RES-CR</w:t>
                  </w:r>
                </w:p>
              </w:tc>
              <w:tc>
                <w:tcPr>
                  <w:tcW w:type="dxa" w:w="338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Continuity risk exposed</w:t>
                  </w:r>
                </w:p>
              </w:tc>
            </w:tr>
          </w:tbl>
          <w:p/>
        </w:tc>
      </w:tr>
    </w:tbl>
    <w:p>
      <w:pPr>
        <w:spacing w:after="80" w:before="0"/>
      </w:pPr>
    </w:p>
    <w:p>
      <w:pPr>
        <w:spacing w:after="80" w:before="180"/>
      </w:pPr>
      <w:r>
        <w:rPr>
          <w:rFonts w:ascii="Arial" w:cs="Arial" w:eastAsia="Arial" w:hAnsi="Arial"/>
          <w:b/>
          <w:bCs/>
          <w:color w:val="1B4F52"/>
          <w:sz w:val="22"/>
          <w:szCs w:val="22"/>
        </w:rPr>
        <w:t xml:space="preserve">Process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rPr>
          <w:tblHeader/>
        </w:trPr>
        <w:tc>
          <w:tcPr>
            <w:tcW w:type="dxa" w:w="4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w:t>
            </w:r>
          </w:p>
        </w:tc>
        <w:tc>
          <w:tcPr>
            <w:tcW w:type="dxa" w:w="24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Action</w:t>
            </w:r>
          </w:p>
        </w:tc>
        <w:tc>
          <w:tcPr>
            <w:tcW w:type="dxa" w:w="656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Detail</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1</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Evaluate value coherence</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Does value logic align with delivery structure? Are value pathways operationally supported?</w:t>
            </w:r>
          </w:p>
        </w:tc>
      </w:tr>
      <w:tr>
        <w:tc>
          <w:tcPr>
            <w:tcW w:type="dxa" w:w="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2</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Evaluate impact coherence</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Does impact logic connect to operations? Is impact traceable through the enterprise?</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3</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Evaluate resource coherence</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Does resourcing support continuity? Are revenue and cost structures aligned?</w:t>
            </w:r>
          </w:p>
        </w:tc>
      </w:tr>
      <w:tr>
        <w:tc>
          <w:tcPr>
            <w:tcW w:type="dxa" w:w="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4</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Evaluate governance coherence</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Can authority function beyond founder dependence? Is decision-making distributed?</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5</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Evaluate flow coherence</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Do the four enterprise flows reinforce each other? Where do they fracture?</w:t>
            </w:r>
          </w:p>
        </w:tc>
      </w:tr>
      <w:tr>
        <w:tc>
          <w:tcPr>
            <w:tcW w:type="dxa" w:w="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6</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Identify bottlenecks</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Surface structural constraints limiting enterprise continuity or scale</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7</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Identify continuity risks</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Surface survivability conditions — what threatens the enterprise over time?</w:t>
            </w:r>
          </w:p>
        </w:tc>
      </w:tr>
      <w:tr>
        <w:tc>
          <w:tcPr>
            <w:tcW w:type="dxa" w:w="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8</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Preserve unresolved tensions</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Explicitly record incompleteness and fragility — do not resolve artificially</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4F52" w:val="clear"/>
            <w:tcMar>
              <w:top w:type="dxa" w:w="120"/>
              <w:left w:type="dxa" w:w="140"/>
              <w:bottom w:type="dxa" w:w="120"/>
              <w:right w:type="dxa" w:w="120"/>
            </w:tcMar>
            <w:vAlign w:val="center"/>
          </w:tcPr>
          <w:p>
            <w:pPr>
              <w:jc w:val="center"/>
            </w:pPr>
            <w:r>
              <w:rPr>
                <w:rFonts w:ascii="Courier New" w:cs="Courier New" w:eastAsia="Courier New" w:hAnsi="Courier New"/>
                <w:caps/>
                <w:color w:val="C8893A"/>
                <w:sz w:val="17"/>
                <w:szCs w:val="17"/>
              </w:rPr>
              <w:t xml:space="preserve">Phase 5</w:t>
            </w:r>
          </w:p>
          <w:p>
            <w:pPr>
              <w:jc w:val="center"/>
            </w:pPr>
            <w:r>
              <w:rPr>
                <w:rFonts w:ascii="Arial" w:cs="Arial" w:eastAsia="Arial" w:hAnsi="Arial"/>
                <w:b/>
                <w:bCs/>
                <w:color w:val="FFFFFF"/>
                <w:sz w:val="23"/>
                <w:szCs w:val="23"/>
              </w:rPr>
              <w:t xml:space="preserve">Operating Architecture Expression</w:t>
            </w:r>
          </w:p>
        </w:tc>
        <w:tc>
          <w:tcPr>
            <w:tcW w:type="dxa" w:w="8460"/>
            <w:tcBorders>
              <w:top w:val="none" w:color="FFFFFF" w:sz="0"/>
              <w:left w:val="none" w:color="FFFFFF" w:sz="0"/>
              <w:bottom w:val="none" w:color="FFFFFF" w:sz="0"/>
              <w:right w:val="none" w:color="FFFFFF" w:sz="0"/>
            </w:tcBorders>
            <w:shd w:fill="D4ECEE" w:val="clear"/>
            <w:tcMar>
              <w:top w:type="dxa" w:w="120"/>
              <w:left w:type="dxa" w:w="200"/>
              <w:bottom w:type="dxa" w:w="120"/>
              <w:right w:type="dxa" w:w="140"/>
            </w:tcMar>
            <w:vAlign w:val="center"/>
          </w:tcPr>
          <w:p>
            <w:r>
              <w:rPr>
                <w:rFonts w:ascii="Arial" w:cs="Arial" w:eastAsia="Arial" w:hAnsi="Arial"/>
                <w:color w:val="1B4F52"/>
                <w:sz w:val="20"/>
                <w:szCs w:val="20"/>
              </w:rPr>
              <w:t xml:space="preserve">Produce the structured enterprise operating architecture.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40"/>
            </w:tcMar>
          </w:tcPr>
          <w:p>
            <w:pPr>
              <w:spacing w:after="80" w:before="180"/>
            </w:pPr>
            <w:r>
              <w:rPr>
                <w:rFonts w:ascii="Arial" w:cs="Arial" w:eastAsia="Arial" w:hAnsi="Arial"/>
                <w:b/>
                <w:bCs/>
                <w:color w:val="1B4F52"/>
                <w:sz w:val="22"/>
                <w:szCs w:val="22"/>
              </w:rPr>
              <w:t xml:space="preserve">What This Phase Converts</w:t>
            </w:r>
          </w:p>
          <w:p>
            <w:pPr>
              <w:spacing w:after="100" w:before="0"/>
            </w:pPr>
            <w:r>
              <w:rPr>
                <w:rFonts w:ascii="Arial" w:cs="Arial" w:eastAsia="Arial" w:hAnsi="Arial"/>
                <w:b w:val="false"/>
                <w:bCs w:val="false"/>
                <w:i w:val="false"/>
                <w:iCs w:val="false"/>
                <w:color w:val="1A1A18"/>
                <w:sz w:val="20"/>
                <w:szCs w:val="20"/>
              </w:rPr>
              <w:t xml:space="preserve">This phase converts synthesized enterprise structures into:</w:t>
            </w:r>
          </w:p>
          <w:p>
            <w:pPr>
              <w:spacing w:after="40" w:before="0"/>
            </w:pPr>
          </w:p>
          <w:p>
            <w:pPr>
              <w:pStyle w:val="ListParagraph"/>
              <w:numPr>
                <w:ilvl w:val="0"/>
                <w:numId w:val="2"/>
              </w:numPr>
              <w:spacing w:after="80" w:before="0"/>
            </w:pPr>
            <w:r>
              <w:rPr>
                <w:rFonts w:ascii="Arial" w:cs="Arial" w:eastAsia="Arial" w:hAnsi="Arial"/>
                <w:b w:val="false"/>
                <w:bCs w:val="false"/>
                <w:color w:val="1A1A18"/>
                <w:sz w:val="20"/>
                <w:szCs w:val="20"/>
              </w:rPr>
              <w:t xml:space="preserve">Readable operating architecture</w:t>
            </w:r>
          </w:p>
          <w:p>
            <w:pPr>
              <w:pStyle w:val="ListParagraph"/>
              <w:numPr>
                <w:ilvl w:val="0"/>
                <w:numId w:val="2"/>
              </w:numPr>
              <w:spacing w:after="80" w:before="0"/>
            </w:pPr>
            <w:r>
              <w:rPr>
                <w:rFonts w:ascii="Arial" w:cs="Arial" w:eastAsia="Arial" w:hAnsi="Arial"/>
                <w:b w:val="false"/>
                <w:bCs w:val="false"/>
                <w:color w:val="1A1A18"/>
                <w:sz w:val="20"/>
                <w:szCs w:val="20"/>
              </w:rPr>
              <w:t xml:space="preserve">Traceable operating systems</w:t>
            </w:r>
          </w:p>
          <w:p>
            <w:pPr>
              <w:pStyle w:val="ListParagraph"/>
              <w:numPr>
                <w:ilvl w:val="0"/>
                <w:numId w:val="2"/>
              </w:numPr>
              <w:spacing w:after="80" w:before="0"/>
            </w:pPr>
            <w:r>
              <w:rPr>
                <w:rFonts w:ascii="Arial" w:cs="Arial" w:eastAsia="Arial" w:hAnsi="Arial"/>
                <w:b w:val="false"/>
                <w:bCs w:val="false"/>
                <w:color w:val="1A1A18"/>
                <w:sz w:val="20"/>
                <w:szCs w:val="20"/>
              </w:rPr>
              <w:t xml:space="preserve">Stewardship-ready representations</w:t>
            </w:r>
          </w:p>
          <w:p>
            <w:pPr>
              <w:spacing w:after="80" w:before="0"/>
            </w:pPr>
          </w:p>
          <w:p>
            <w:pPr>
              <w:spacing w:after="100" w:before="0"/>
            </w:pPr>
            <w:r>
              <w:rPr>
                <w:rFonts w:ascii="Arial" w:cs="Arial" w:eastAsia="Arial" w:hAnsi="Arial"/>
                <w:b w:val="false"/>
                <w:bCs w:val="false"/>
                <w:i w:val="false"/>
                <w:iCs w:val="false"/>
                <w:color w:val="1A1A18"/>
                <w:sz w:val="20"/>
                <w:szCs w:val="20"/>
              </w:rPr>
              <w:t xml:space="preserve">All representations must remain traceable to Phase 1–4 synthesis outputs. No new enterprise ideas enter at this stage.</w:t>
            </w:r>
          </w:p>
        </w:tc>
        <w:tc>
          <w:tcPr>
            <w:tcW w:type="dxa" w:w="4680"/>
            <w:tcBorders>
              <w:top w:val="none" w:color="FFFFFF" w:sz="0"/>
              <w:left w:val="none" w:color="FFFFFF" w:sz="0"/>
              <w:bottom w:val="none" w:color="FFFFFF" w:sz="0"/>
              <w:right w:val="none" w:color="FFFFFF" w:sz="0"/>
            </w:tcBorders>
            <w:tcMar>
              <w:top w:type="dxa" w:w="0"/>
              <w:left w:type="dxa" w:w="140"/>
              <w:bottom w:type="dxa" w:w="0"/>
              <w:right w:type="dxa" w:w="0"/>
            </w:tcMar>
          </w:tcPr>
          <w:p>
            <w:pPr>
              <w:spacing w:after="80" w:before="180"/>
            </w:pPr>
            <w:r>
              <w:rPr>
                <w:rFonts w:ascii="Arial" w:cs="Arial" w:eastAsia="Arial" w:hAnsi="Arial"/>
                <w:b/>
                <w:bCs/>
                <w:color w:val="1B4F52"/>
                <w:sz w:val="22"/>
                <w:szCs w:val="22"/>
              </w:rPr>
              <w:t xml:space="preserve">Output</w:t>
            </w:r>
          </w:p>
          <w:p>
            <w:pPr>
              <w:spacing w:after="100" w:before="0"/>
            </w:pPr>
            <w:r>
              <w:rPr>
                <w:rFonts w:ascii="Arial" w:cs="Arial" w:eastAsia="Arial" w:hAnsi="Arial"/>
                <w:b/>
                <w:bCs/>
                <w:i w:val="false"/>
                <w:iCs w:val="false"/>
                <w:color w:val="1A1A18"/>
                <w:sz w:val="20"/>
                <w:szCs w:val="20"/>
              </w:rPr>
              <w:t xml:space="preserve">Operating Architecture Expression (OAE)</w:t>
            </w:r>
          </w:p>
          <w:p>
            <w:pPr>
              <w:spacing w:after="100" w:before="0"/>
            </w:pPr>
            <w:r>
              <w:rPr>
                <w:rFonts w:ascii="Arial" w:cs="Arial" w:eastAsia="Arial" w:hAnsi="Arial"/>
                <w:b w:val="false"/>
                <w:bCs w:val="false"/>
                <w:i w:val="false"/>
                <w:iCs w:val="false"/>
                <w:color w:val="1A1A18"/>
                <w:sz w:val="20"/>
                <w:szCs w:val="20"/>
              </w:rPr>
              <w:t xml:space="preserve">A structured, layered representation of the enterprise operating system with full synthesis traceability.</w:t>
            </w:r>
          </w:p>
        </w:tc>
      </w:tr>
    </w:tbl>
    <w:p>
      <w:pPr>
        <w:spacing w:after="80" w:before="0"/>
      </w:pPr>
    </w:p>
    <w:p>
      <w:pPr>
        <w:spacing w:after="80" w:before="180"/>
      </w:pPr>
      <w:r>
        <w:rPr>
          <w:rFonts w:ascii="Arial" w:cs="Arial" w:eastAsia="Arial" w:hAnsi="Arial"/>
          <w:b/>
          <w:bCs/>
          <w:color w:val="1B4F52"/>
          <w:sz w:val="22"/>
          <w:szCs w:val="22"/>
        </w:rPr>
        <w:t xml:space="preserve">Process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rPr>
          <w:tblHeader/>
        </w:trPr>
        <w:tc>
          <w:tcPr>
            <w:tcW w:type="dxa" w:w="4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w:t>
            </w:r>
          </w:p>
        </w:tc>
        <w:tc>
          <w:tcPr>
            <w:tcW w:type="dxa" w:w="24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Action</w:t>
            </w:r>
          </w:p>
        </w:tc>
        <w:tc>
          <w:tcPr>
            <w:tcW w:type="dxa" w:w="656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Detail</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1</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Build architecture layers</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Organize the enterprise system into front-stage, back-stage, partnership, and leadership layers</w:t>
            </w:r>
          </w:p>
        </w:tc>
      </w:tr>
      <w:tr>
        <w:tc>
          <w:tcPr>
            <w:tcW w:type="dxa" w:w="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2</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Organize front-stage systems</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Capture visible enterprise structures — what the enterprise presents and delivers externally</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3</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Organize back-stage systems</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Capture operational systems — what the enterprise requires internally to function</w:t>
            </w:r>
          </w:p>
        </w:tc>
      </w:tr>
      <w:tr>
        <w:tc>
          <w:tcPr>
            <w:tcW w:type="dxa" w:w="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4</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Organize partnership architecture</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Capture dependency structures — relationships required for enterprise function</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5</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Organize leadership architecture</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Capture authority structures — how the enterprise is governed and stewarded</w:t>
            </w:r>
          </w:p>
        </w:tc>
      </w:tr>
      <w:tr>
        <w:tc>
          <w:tcPr>
            <w:tcW w:type="dxa" w:w="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6</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Preserve traceability</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Maintain synthesis paths from OAE elements to upstream phases and source observations</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7</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Preserve unresolved conditions</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Keep fragility, dependencies, and unresolved tensions visible in the architecture expression</w:t>
            </w:r>
          </w:p>
        </w:tc>
      </w:tr>
    </w:tbl>
    <w:p>
      <w:pPr>
        <w:spacing w:after="1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4F52" w:val="clear"/>
            <w:tcMar>
              <w:top w:type="dxa" w:w="120"/>
              <w:left w:type="dxa" w:w="140"/>
              <w:bottom w:type="dxa" w:w="120"/>
              <w:right w:type="dxa" w:w="120"/>
            </w:tcMar>
            <w:vAlign w:val="center"/>
          </w:tcPr>
          <w:p>
            <w:pPr>
              <w:jc w:val="center"/>
            </w:pPr>
            <w:r>
              <w:rPr>
                <w:rFonts w:ascii="Courier New" w:cs="Courier New" w:eastAsia="Courier New" w:hAnsi="Courier New"/>
                <w:caps/>
                <w:color w:val="C8893A"/>
                <w:sz w:val="17"/>
                <w:szCs w:val="17"/>
              </w:rPr>
              <w:t xml:space="preserve">Phase 6</w:t>
            </w:r>
          </w:p>
          <w:p>
            <w:pPr>
              <w:jc w:val="center"/>
            </w:pPr>
            <w:r>
              <w:rPr>
                <w:rFonts w:ascii="Arial" w:cs="Arial" w:eastAsia="Arial" w:hAnsi="Arial"/>
                <w:b/>
                <w:bCs/>
                <w:color w:val="FFFFFF"/>
                <w:sz w:val="23"/>
                <w:szCs w:val="23"/>
              </w:rPr>
              <w:t xml:space="preserve">Continuity &amp; Scale Expression</w:t>
            </w:r>
          </w:p>
        </w:tc>
        <w:tc>
          <w:tcPr>
            <w:tcW w:type="dxa" w:w="8460"/>
            <w:tcBorders>
              <w:top w:val="none" w:color="FFFFFF" w:sz="0"/>
              <w:left w:val="none" w:color="FFFFFF" w:sz="0"/>
              <w:bottom w:val="none" w:color="FFFFFF" w:sz="0"/>
              <w:right w:val="none" w:color="FFFFFF" w:sz="0"/>
            </w:tcBorders>
            <w:shd w:fill="D4ECEE" w:val="clear"/>
            <w:tcMar>
              <w:top w:type="dxa" w:w="120"/>
              <w:left w:type="dxa" w:w="200"/>
              <w:bottom w:type="dxa" w:w="120"/>
              <w:right w:type="dxa" w:w="140"/>
            </w:tcMar>
            <w:vAlign w:val="center"/>
          </w:tcPr>
          <w:p>
            <w:r>
              <w:rPr>
                <w:rFonts w:ascii="Arial" w:cs="Arial" w:eastAsia="Arial" w:hAnsi="Arial"/>
                <w:color w:val="1B4F52"/>
                <w:sz w:val="20"/>
                <w:szCs w:val="20"/>
              </w:rPr>
              <w:t xml:space="preserve">Stress-test survivability under growth and operational pressure.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40"/>
            </w:tcMar>
          </w:tcPr>
          <w:p>
            <w:pPr>
              <w:spacing w:after="80" w:before="180"/>
            </w:pPr>
            <w:r>
              <w:rPr>
                <w:rFonts w:ascii="Arial" w:cs="Arial" w:eastAsia="Arial" w:hAnsi="Arial"/>
                <w:b/>
                <w:bCs/>
                <w:color w:val="1B4F52"/>
                <w:sz w:val="22"/>
                <w:szCs w:val="22"/>
              </w:rPr>
              <w:t xml:space="preserve">Scale Pathway Types</w:t>
            </w:r>
          </w:p>
          <w:p>
            <w:pPr>
              <w:pStyle w:val="ListParagraph"/>
              <w:numPr>
                <w:ilvl w:val="0"/>
                <w:numId w:val="2"/>
              </w:numPr>
              <w:spacing w:after="80" w:before="0"/>
            </w:pPr>
            <w:r>
              <w:rPr>
                <w:rFonts w:ascii="Arial" w:cs="Arial" w:eastAsia="Arial" w:hAnsi="Arial"/>
                <w:b w:val="false"/>
                <w:bCs w:val="false"/>
                <w:color w:val="1A1A18"/>
                <w:sz w:val="20"/>
                <w:szCs w:val="20"/>
              </w:rPr>
              <w:t xml:space="preserve">Replication — duplicating the model elsewhere</w:t>
            </w:r>
          </w:p>
          <w:p>
            <w:pPr>
              <w:pStyle w:val="ListParagraph"/>
              <w:numPr>
                <w:ilvl w:val="0"/>
                <w:numId w:val="2"/>
              </w:numPr>
              <w:spacing w:after="80" w:before="0"/>
            </w:pPr>
            <w:r>
              <w:rPr>
                <w:rFonts w:ascii="Arial" w:cs="Arial" w:eastAsia="Arial" w:hAnsi="Arial"/>
                <w:b w:val="false"/>
                <w:bCs w:val="false"/>
                <w:color w:val="1A1A18"/>
                <w:sz w:val="20"/>
                <w:szCs w:val="20"/>
              </w:rPr>
              <w:t xml:space="preserve">Network — connecting nodes into a coordinated system</w:t>
            </w:r>
          </w:p>
          <w:p>
            <w:pPr>
              <w:pStyle w:val="ListParagraph"/>
              <w:numPr>
                <w:ilvl w:val="0"/>
                <w:numId w:val="2"/>
              </w:numPr>
              <w:spacing w:after="80" w:before="0"/>
            </w:pPr>
            <w:r>
              <w:rPr>
                <w:rFonts w:ascii="Arial" w:cs="Arial" w:eastAsia="Arial" w:hAnsi="Arial"/>
                <w:b w:val="false"/>
                <w:bCs w:val="false"/>
                <w:color w:val="1A1A18"/>
                <w:sz w:val="20"/>
                <w:szCs w:val="20"/>
              </w:rPr>
              <w:t xml:space="preserve">Franchise — licensing structure and brand</w:t>
            </w:r>
          </w:p>
          <w:p>
            <w:pPr>
              <w:pStyle w:val="ListParagraph"/>
              <w:numPr>
                <w:ilvl w:val="0"/>
                <w:numId w:val="2"/>
              </w:numPr>
              <w:spacing w:after="80" w:before="0"/>
            </w:pPr>
            <w:r>
              <w:rPr>
                <w:rFonts w:ascii="Arial" w:cs="Arial" w:eastAsia="Arial" w:hAnsi="Arial"/>
                <w:b w:val="false"/>
                <w:bCs w:val="false"/>
                <w:color w:val="1A1A18"/>
                <w:sz w:val="20"/>
                <w:szCs w:val="20"/>
              </w:rPr>
              <w:t xml:space="preserve">Policy — embedding in institutional systems</w:t>
            </w:r>
          </w:p>
          <w:p>
            <w:pPr>
              <w:pStyle w:val="ListParagraph"/>
              <w:numPr>
                <w:ilvl w:val="0"/>
                <w:numId w:val="2"/>
              </w:numPr>
              <w:spacing w:after="80" w:before="0"/>
            </w:pPr>
            <w:r>
              <w:rPr>
                <w:rFonts w:ascii="Arial" w:cs="Arial" w:eastAsia="Arial" w:hAnsi="Arial"/>
                <w:b w:val="false"/>
                <w:bCs w:val="false"/>
                <w:color w:val="1A1A18"/>
                <w:sz w:val="20"/>
                <w:szCs w:val="20"/>
              </w:rPr>
              <w:t xml:space="preserve">Hybrid — combining multiple pathways</w:t>
            </w:r>
          </w:p>
          <w:p>
            <w:pPr>
              <w:spacing w:after="80" w:before="0"/>
            </w:pPr>
          </w:p>
          <w:p>
            <w:pPr>
              <w:spacing w:after="80" w:before="180"/>
            </w:pPr>
            <w:r>
              <w:rPr>
                <w:rFonts w:ascii="Arial" w:cs="Arial" w:eastAsia="Arial" w:hAnsi="Arial"/>
                <w:b/>
                <w:bCs/>
                <w:color w:val="1B4F52"/>
                <w:sz w:val="22"/>
                <w:szCs w:val="22"/>
              </w:rPr>
              <w:t xml:space="preserve">Continuity Risk Categories</w:t>
            </w:r>
          </w:p>
          <w:p>
            <w:pPr>
              <w:pStyle w:val="ListParagraph"/>
              <w:numPr>
                <w:ilvl w:val="0"/>
                <w:numId w:val="2"/>
              </w:numPr>
              <w:spacing w:after="80" w:before="0"/>
            </w:pPr>
            <w:r>
              <w:rPr>
                <w:rFonts w:ascii="Arial" w:cs="Arial" w:eastAsia="Arial" w:hAnsi="Arial"/>
                <w:b w:val="false"/>
                <w:bCs w:val="false"/>
                <w:color w:val="1A1A18"/>
                <w:sz w:val="20"/>
                <w:szCs w:val="20"/>
              </w:rPr>
              <w:t xml:space="preserve">Operational risks — what threatens daily function</w:t>
            </w:r>
          </w:p>
          <w:p>
            <w:pPr>
              <w:pStyle w:val="ListParagraph"/>
              <w:numPr>
                <w:ilvl w:val="0"/>
                <w:numId w:val="2"/>
              </w:numPr>
              <w:spacing w:after="80" w:before="0"/>
            </w:pPr>
            <w:r>
              <w:rPr>
                <w:rFonts w:ascii="Arial" w:cs="Arial" w:eastAsia="Arial" w:hAnsi="Arial"/>
                <w:b w:val="false"/>
                <w:bCs w:val="false"/>
                <w:color w:val="1A1A18"/>
                <w:sz w:val="20"/>
                <w:szCs w:val="20"/>
              </w:rPr>
              <w:t xml:space="preserve">Financial risks — what threatens resource sustainability</w:t>
            </w:r>
          </w:p>
          <w:p>
            <w:pPr>
              <w:pStyle w:val="ListParagraph"/>
              <w:numPr>
                <w:ilvl w:val="0"/>
                <w:numId w:val="2"/>
              </w:numPr>
              <w:spacing w:after="80" w:before="0"/>
            </w:pPr>
            <w:r>
              <w:rPr>
                <w:rFonts w:ascii="Arial" w:cs="Arial" w:eastAsia="Arial" w:hAnsi="Arial"/>
                <w:b w:val="false"/>
                <w:bCs w:val="false"/>
                <w:color w:val="1A1A18"/>
                <w:sz w:val="20"/>
                <w:szCs w:val="20"/>
              </w:rPr>
              <w:t xml:space="preserve">Legitimacy risks — what threatens trust and accountability</w:t>
            </w:r>
          </w:p>
          <w:p>
            <w:pPr>
              <w:pStyle w:val="ListParagraph"/>
              <w:numPr>
                <w:ilvl w:val="0"/>
                <w:numId w:val="2"/>
              </w:numPr>
              <w:spacing w:after="80" w:before="0"/>
            </w:pPr>
            <w:r>
              <w:rPr>
                <w:rFonts w:ascii="Arial" w:cs="Arial" w:eastAsia="Arial" w:hAnsi="Arial"/>
                <w:b w:val="false"/>
                <w:bCs w:val="false"/>
                <w:color w:val="1A1A18"/>
                <w:sz w:val="20"/>
                <w:szCs w:val="20"/>
              </w:rPr>
              <w:t xml:space="preserve">Founder risks — what threatens continuity beyond key individuals</w:t>
            </w:r>
          </w:p>
        </w:tc>
        <w:tc>
          <w:tcPr>
            <w:tcW w:type="dxa" w:w="4680"/>
            <w:tcBorders>
              <w:top w:val="none" w:color="FFFFFF" w:sz="0"/>
              <w:left w:val="none" w:color="FFFFFF" w:sz="0"/>
              <w:bottom w:val="none" w:color="FFFFFF" w:sz="0"/>
              <w:right w:val="none" w:color="FFFFFF" w:sz="0"/>
            </w:tcBorders>
            <w:tcMar>
              <w:top w:type="dxa" w:w="0"/>
              <w:left w:type="dxa" w:w="140"/>
              <w:bottom w:type="dxa" w:w="0"/>
              <w:right w:type="dxa" w:w="0"/>
            </w:tcMar>
          </w:tcPr>
          <w:p>
            <w:pPr>
              <w:spacing w:after="80" w:before="180"/>
            </w:pPr>
            <w:r>
              <w:rPr>
                <w:rFonts w:ascii="Arial" w:cs="Arial" w:eastAsia="Arial" w:hAnsi="Arial"/>
                <w:b/>
                <w:bCs/>
                <w:color w:val="1B4F52"/>
                <w:sz w:val="22"/>
                <w:szCs w:val="22"/>
              </w:rPr>
              <w:t xml:space="preserve">Output</w:t>
            </w:r>
          </w:p>
          <w:p>
            <w:pPr>
              <w:spacing w:after="100" w:before="0"/>
            </w:pPr>
            <w:r>
              <w:rPr>
                <w:rFonts w:ascii="Arial" w:cs="Arial" w:eastAsia="Arial" w:hAnsi="Arial"/>
                <w:b/>
                <w:bCs/>
                <w:i w:val="false"/>
                <w:iCs w:val="false"/>
                <w:color w:val="1A1A18"/>
                <w:sz w:val="20"/>
                <w:szCs w:val="20"/>
              </w:rPr>
              <w:t xml:space="preserve">Continuity &amp; Scale Map (CSM-2)</w:t>
            </w:r>
          </w:p>
          <w:p>
            <w:pPr>
              <w:spacing w:after="100" w:before="0"/>
            </w:pPr>
            <w:r>
              <w:rPr>
                <w:rFonts w:ascii="Arial" w:cs="Arial" w:eastAsia="Arial" w:hAnsi="Arial"/>
                <w:b w:val="false"/>
                <w:bCs w:val="false"/>
                <w:i w:val="false"/>
                <w:iCs w:val="false"/>
                <w:color w:val="1A1A18"/>
                <w:sz w:val="20"/>
                <w:szCs w:val="20"/>
              </w:rPr>
              <w:t xml:space="preserve">A structured assessment of survivability under growth and operational pressure, with explicit visibility of unresolved conditions.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8893A"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w:t>
                  </w:r>
                </w:p>
              </w:tc>
              <w:tc>
                <w:tcPr>
                  <w:tcW w:type="dxa" w:w="9200"/>
                  <w:tcBorders>
                    <w:top w:val="none" w:color="FFFFFF" w:sz="0"/>
                    <w:left w:val="none" w:color="FFFFFF" w:sz="0"/>
                    <w:bottom w:val="none" w:color="FFFFFF" w:sz="0"/>
                    <w:right w:val="none" w:color="FFFFFF" w:sz="0"/>
                  </w:tcBorders>
                  <w:shd w:fill="FDF3E7" w:val="clear"/>
                  <w:tcMar>
                    <w:top w:type="dxa" w:w="100"/>
                    <w:left w:type="dxa" w:w="140"/>
                    <w:bottom w:type="dxa" w:w="100"/>
                    <w:right w:type="dxa" w:w="120"/>
                  </w:tcMar>
                </w:tcPr>
                <w:p>
                  <w:r>
                    <w:rPr>
                      <w:rFonts w:ascii="Arial" w:cs="Arial" w:eastAsia="Arial" w:hAnsi="Arial"/>
                      <w:color w:val="1A1A18"/>
                      <w:sz w:val="19"/>
                      <w:szCs w:val="19"/>
                    </w:rPr>
                    <w:t xml:space="preserve">Survivability missingness — conditions that are unresolved at this stage — must be recorded explicitly and carried into the CBC Transition Package.</w:t>
                  </w:r>
                </w:p>
              </w:tc>
            </w:tr>
          </w:tbl>
          <w:p/>
        </w:tc>
      </w:tr>
    </w:tbl>
    <w:p>
      <w:pPr>
        <w:spacing w:after="80" w:before="0"/>
      </w:pPr>
    </w:p>
    <w:p>
      <w:pPr>
        <w:spacing w:after="80" w:before="180"/>
      </w:pPr>
      <w:r>
        <w:rPr>
          <w:rFonts w:ascii="Arial" w:cs="Arial" w:eastAsia="Arial" w:hAnsi="Arial"/>
          <w:b/>
          <w:bCs/>
          <w:color w:val="1B4F52"/>
          <w:sz w:val="22"/>
          <w:szCs w:val="22"/>
        </w:rPr>
        <w:t xml:space="preserve">Process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rPr>
          <w:tblHeader/>
        </w:trPr>
        <w:tc>
          <w:tcPr>
            <w:tcW w:type="dxa" w:w="4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w:t>
            </w:r>
          </w:p>
        </w:tc>
        <w:tc>
          <w:tcPr>
            <w:tcW w:type="dxa" w:w="24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Action</w:t>
            </w:r>
          </w:p>
        </w:tc>
        <w:tc>
          <w:tcPr>
            <w:tcW w:type="dxa" w:w="656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Detail</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1</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Identify scale pathways</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Determine applicable scale type: Replication / Network / Franchise / Policy / Hybrid</w:t>
            </w:r>
          </w:p>
        </w:tc>
      </w:tr>
      <w:tr>
        <w:tc>
          <w:tcPr>
            <w:tcW w:type="dxa" w:w="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2</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Identify continuity risks</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Surface operational, financial, legitimacy, and founder risks</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3</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Evaluate founder dependence</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Determine the degree of authority concentration in key individuals</w:t>
            </w:r>
          </w:p>
        </w:tc>
      </w:tr>
      <w:tr>
        <w:tc>
          <w:tcPr>
            <w:tcW w:type="dxa" w:w="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4</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Evaluate governance resilience</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Assess whether distributed authority structures can sustain the enterprise</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5</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Identify scale breakpoints</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Surface the specific points at which scaling creates fragility or system failure</w:t>
            </w:r>
          </w:p>
        </w:tc>
      </w:tr>
      <w:tr>
        <w:tc>
          <w:tcPr>
            <w:tcW w:type="dxa" w:w="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6</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Preserve survivability missingness</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Record all unresolved continuity conditions — do not project resolution that has not been demonstrated</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4F52" w:val="clear"/>
            <w:tcMar>
              <w:top w:type="dxa" w:w="120"/>
              <w:left w:type="dxa" w:w="140"/>
              <w:bottom w:type="dxa" w:w="120"/>
              <w:right w:type="dxa" w:w="120"/>
            </w:tcMar>
            <w:vAlign w:val="center"/>
          </w:tcPr>
          <w:p>
            <w:pPr>
              <w:jc w:val="center"/>
            </w:pPr>
            <w:r>
              <w:rPr>
                <w:rFonts w:ascii="Courier New" w:cs="Courier New" w:eastAsia="Courier New" w:hAnsi="Courier New"/>
                <w:caps/>
                <w:color w:val="C8893A"/>
                <w:sz w:val="17"/>
                <w:szCs w:val="17"/>
              </w:rPr>
              <w:t xml:space="preserve">Phase 7</w:t>
            </w:r>
          </w:p>
          <w:p>
            <w:pPr>
              <w:jc w:val="center"/>
            </w:pPr>
            <w:r>
              <w:rPr>
                <w:rFonts w:ascii="Arial" w:cs="Arial" w:eastAsia="Arial" w:hAnsi="Arial"/>
                <w:b/>
                <w:bCs/>
                <w:color w:val="FFFFFF"/>
                <w:sz w:val="23"/>
                <w:szCs w:val="23"/>
              </w:rPr>
              <w:t xml:space="preserve">CBC Transition Readiness</w:t>
            </w:r>
          </w:p>
        </w:tc>
        <w:tc>
          <w:tcPr>
            <w:tcW w:type="dxa" w:w="8460"/>
            <w:tcBorders>
              <w:top w:val="none" w:color="FFFFFF" w:sz="0"/>
              <w:left w:val="none" w:color="FFFFFF" w:sz="0"/>
              <w:bottom w:val="none" w:color="FFFFFF" w:sz="0"/>
              <w:right w:val="none" w:color="FFFFFF" w:sz="0"/>
            </w:tcBorders>
            <w:shd w:fill="D4ECEE" w:val="clear"/>
            <w:tcMar>
              <w:top w:type="dxa" w:w="120"/>
              <w:left w:type="dxa" w:w="200"/>
              <w:bottom w:type="dxa" w:w="120"/>
              <w:right w:type="dxa" w:w="140"/>
            </w:tcMar>
            <w:vAlign w:val="center"/>
          </w:tcPr>
          <w:p>
            <w:r>
              <w:rPr>
                <w:rFonts w:ascii="Arial" w:cs="Arial" w:eastAsia="Arial" w:hAnsi="Arial"/>
                <w:color w:val="1B4F52"/>
                <w:sz w:val="20"/>
                <w:szCs w:val="20"/>
              </w:rPr>
              <w:t xml:space="preserve">Determine what requires governance formalization, negotiated exchange, or accountability structuring.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40"/>
            </w:tcMar>
          </w:tcPr>
          <w:p>
            <w:pPr>
              <w:spacing w:after="80" w:before="180"/>
            </w:pPr>
            <w:r>
              <w:rPr>
                <w:rFonts w:ascii="Arial" w:cs="Arial" w:eastAsia="Arial" w:hAnsi="Arial"/>
                <w:b/>
                <w:bCs/>
                <w:color w:val="1B4F52"/>
                <w:sz w:val="22"/>
                <w:szCs w:val="22"/>
              </w:rPr>
              <w:t xml:space="preserve">What SEC Identifies (Not Formalizes)</w:t>
            </w:r>
          </w:p>
          <w:p>
            <w:pPr>
              <w:spacing w:after="100" w:before="0"/>
            </w:pPr>
            <w:r>
              <w:rPr>
                <w:rFonts w:ascii="Arial" w:cs="Arial" w:eastAsia="Arial" w:hAnsi="Arial"/>
                <w:b w:val="false"/>
                <w:bCs w:val="false"/>
                <w:i w:val="false"/>
                <w:iCs w:val="false"/>
                <w:color w:val="1A1A18"/>
                <w:sz w:val="20"/>
                <w:szCs w:val="20"/>
              </w:rPr>
              <w:t xml:space="preserve">SEC does not formalize governance. It identifies:</w:t>
            </w:r>
          </w:p>
          <w:p>
            <w:pPr>
              <w:spacing w:after="40" w:before="0"/>
            </w:pPr>
          </w:p>
          <w:p>
            <w:pPr>
              <w:pStyle w:val="ListParagraph"/>
              <w:numPr>
                <w:ilvl w:val="0"/>
                <w:numId w:val="2"/>
              </w:numPr>
              <w:spacing w:after="80" w:before="0"/>
            </w:pPr>
            <w:r>
              <w:rPr>
                <w:rFonts w:ascii="Arial" w:cs="Arial" w:eastAsia="Arial" w:hAnsi="Arial"/>
                <w:b w:val="false"/>
                <w:bCs w:val="false"/>
                <w:color w:val="1A1A18"/>
                <w:sz w:val="20"/>
                <w:szCs w:val="20"/>
              </w:rPr>
              <w:t xml:space="preserve">What requires formalization</w:t>
            </w:r>
          </w:p>
          <w:p>
            <w:pPr>
              <w:pStyle w:val="ListParagraph"/>
              <w:numPr>
                <w:ilvl w:val="0"/>
                <w:numId w:val="2"/>
              </w:numPr>
              <w:spacing w:after="80" w:before="0"/>
            </w:pPr>
            <w:r>
              <w:rPr>
                <w:rFonts w:ascii="Arial" w:cs="Arial" w:eastAsia="Arial" w:hAnsi="Arial"/>
                <w:b w:val="false"/>
                <w:bCs w:val="false"/>
                <w:color w:val="1A1A18"/>
                <w:sz w:val="20"/>
                <w:szCs w:val="20"/>
              </w:rPr>
              <w:t xml:space="preserve">Where negotiated structures are necessary</w:t>
            </w:r>
          </w:p>
          <w:p>
            <w:pPr>
              <w:pStyle w:val="ListParagraph"/>
              <w:numPr>
                <w:ilvl w:val="0"/>
                <w:numId w:val="2"/>
              </w:numPr>
              <w:spacing w:after="80" w:before="0"/>
            </w:pPr>
            <w:r>
              <w:rPr>
                <w:rFonts w:ascii="Arial" w:cs="Arial" w:eastAsia="Arial" w:hAnsi="Arial"/>
                <w:b w:val="false"/>
                <w:bCs w:val="false"/>
                <w:color w:val="1A1A18"/>
                <w:sz w:val="20"/>
                <w:szCs w:val="20"/>
              </w:rPr>
              <w:t xml:space="preserve">Where accountability must be structurally protected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B4F52"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i</w:t>
                  </w:r>
                </w:p>
              </w:tc>
              <w:tc>
                <w:tcPr>
                  <w:tcW w:type="dxa" w:w="9200"/>
                  <w:tcBorders>
                    <w:top w:val="none" w:color="FFFFFF" w:sz="0"/>
                    <w:left w:val="none" w:color="FFFFFF" w:sz="0"/>
                    <w:bottom w:val="none" w:color="FFFFFF" w:sz="0"/>
                    <w:right w:val="none" w:color="FFFFFF" w:sz="0"/>
                  </w:tcBorders>
                  <w:shd w:fill="D4ECEE" w:val="clear"/>
                  <w:tcMar>
                    <w:top w:type="dxa" w:w="100"/>
                    <w:left w:type="dxa" w:w="140"/>
                    <w:bottom w:type="dxa" w:w="100"/>
                    <w:right w:type="dxa" w:w="120"/>
                  </w:tcMar>
                </w:tcPr>
                <w:p>
                  <w:r>
                    <w:rPr>
                      <w:rFonts w:ascii="Arial" w:cs="Arial" w:eastAsia="Arial" w:hAnsi="Arial"/>
                      <w:color w:val="1A1A18"/>
                      <w:sz w:val="19"/>
                      <w:szCs w:val="19"/>
                    </w:rPr>
                    <w:t xml:space="preserve">Governance formalization is the role of CBC. SEC prepares the downstream intake — it does not perform the formalization itself.</w:t>
                  </w:r>
                </w:p>
              </w:tc>
            </w:tr>
          </w:tbl>
          <w:p/>
        </w:tc>
        <w:tc>
          <w:tcPr>
            <w:tcW w:type="dxa" w:w="4680"/>
            <w:tcBorders>
              <w:top w:val="none" w:color="FFFFFF" w:sz="0"/>
              <w:left w:val="none" w:color="FFFFFF" w:sz="0"/>
              <w:bottom w:val="none" w:color="FFFFFF" w:sz="0"/>
              <w:right w:val="none" w:color="FFFFFF" w:sz="0"/>
            </w:tcBorders>
            <w:tcMar>
              <w:top w:type="dxa" w:w="0"/>
              <w:left w:type="dxa" w:w="140"/>
              <w:bottom w:type="dxa" w:w="0"/>
              <w:right w:type="dxa" w:w="0"/>
            </w:tcMar>
          </w:tcPr>
          <w:p>
            <w:pPr>
              <w:spacing w:after="80" w:before="180"/>
            </w:pPr>
            <w:r>
              <w:rPr>
                <w:rFonts w:ascii="Arial" w:cs="Arial" w:eastAsia="Arial" w:hAnsi="Arial"/>
                <w:b/>
                <w:bCs/>
                <w:color w:val="1B4F52"/>
                <w:sz w:val="22"/>
                <w:szCs w:val="22"/>
              </w:rPr>
              <w:t xml:space="preserve">Output</w:t>
            </w:r>
          </w:p>
          <w:p>
            <w:pPr>
              <w:spacing w:after="100" w:before="0"/>
            </w:pPr>
            <w:r>
              <w:rPr>
                <w:rFonts w:ascii="Arial" w:cs="Arial" w:eastAsia="Arial" w:hAnsi="Arial"/>
                <w:b/>
                <w:bCs/>
                <w:i w:val="false"/>
                <w:iCs w:val="false"/>
                <w:color w:val="1A1A18"/>
                <w:sz w:val="20"/>
                <w:szCs w:val="20"/>
              </w:rPr>
              <w:t xml:space="preserve">CBC Transition Package (CTP)</w:t>
            </w:r>
          </w:p>
          <w:p>
            <w:pPr>
              <w:spacing w:after="100" w:before="0"/>
            </w:pPr>
            <w:r>
              <w:rPr>
                <w:rFonts w:ascii="Arial" w:cs="Arial" w:eastAsia="Arial" w:hAnsi="Arial"/>
                <w:b w:val="false"/>
                <w:bCs w:val="false"/>
                <w:i w:val="false"/>
                <w:iCs w:val="false"/>
                <w:color w:val="1A1A18"/>
                <w:sz w:val="20"/>
                <w:szCs w:val="20"/>
              </w:rPr>
              <w:t xml:space="preserve">The complete downstream intake structure for CBC. Includes all governance-bearing structures, accountability dependencies, stewardship obligations, measurement requirements, and continuity protections identified through SEC synthesis.</w:t>
            </w:r>
          </w:p>
        </w:tc>
      </w:tr>
    </w:tbl>
    <w:p>
      <w:pPr>
        <w:spacing w:after="80" w:before="0"/>
      </w:pPr>
    </w:p>
    <w:p>
      <w:pPr>
        <w:spacing w:after="80" w:before="180"/>
      </w:pPr>
      <w:r>
        <w:rPr>
          <w:rFonts w:ascii="Arial" w:cs="Arial" w:eastAsia="Arial" w:hAnsi="Arial"/>
          <w:b/>
          <w:bCs/>
          <w:color w:val="1B4F52"/>
          <w:sz w:val="22"/>
          <w:szCs w:val="22"/>
        </w:rPr>
        <w:t xml:space="preserve">Process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rPr>
          <w:tblHeader/>
        </w:trPr>
        <w:tc>
          <w:tcPr>
            <w:tcW w:type="dxa" w:w="4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w:t>
            </w:r>
          </w:p>
        </w:tc>
        <w:tc>
          <w:tcPr>
            <w:tcW w:type="dxa" w:w="24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Action</w:t>
            </w:r>
          </w:p>
        </w:tc>
        <w:tc>
          <w:tcPr>
            <w:tcW w:type="dxa" w:w="656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Detail</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1</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Identify governance-bearing structures</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Determine which enterprise structures require formal governance or contractual protection</w:t>
            </w:r>
          </w:p>
        </w:tc>
      </w:tr>
      <w:tr>
        <w:tc>
          <w:tcPr>
            <w:tcW w:type="dxa" w:w="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2</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Identify negotiated value exchange conditions</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Surface accountability dependencies that require formal negotiation or agreement</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3</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Identify stewardship obligations</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Determine responsibility structures that must be formalized — who holds what accountability</w:t>
            </w:r>
          </w:p>
        </w:tc>
      </w:tr>
      <w:tr>
        <w:tc>
          <w:tcPr>
            <w:tcW w:type="dxa" w:w="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4</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Identify measurement obligations</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Determine traceability requirements — what must be measured and reported</w:t>
            </w:r>
          </w:p>
        </w:tc>
      </w:tr>
      <w:tr>
        <w:tc>
          <w:tcPr>
            <w:tcW w:type="dxa" w:w="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5</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Identify continuity protections</w:t>
            </w:r>
          </w:p>
        </w:tc>
        <w:tc>
          <w:tcPr>
            <w:tcW w:type="dxa" w:w="6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Determine governance safeguards required to protect enterprise continuity under pressure</w:t>
            </w:r>
          </w:p>
        </w:tc>
      </w:tr>
      <w:tr>
        <w:tc>
          <w:tcPr>
            <w:tcW w:type="dxa" w:w="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6</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Build CBC Transition Package</w:t>
            </w:r>
          </w:p>
        </w:tc>
        <w:tc>
          <w:tcPr>
            <w:tcW w:type="dxa" w:w="6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Prepare the complete downstream CBC intake structure from all Phase 1–6 synthesis outputs</w:t>
            </w:r>
          </w:p>
        </w:tc>
      </w:tr>
    </w:tbl>
    <w:p>
      <w:pPr>
        <w:spacing w:after="120" w:before="0"/>
      </w:pPr>
    </w:p>
    <w:p>
      <w:r>
        <w:br w:type="page"/>
      </w:r>
    </w:p>
    <w:p>
      <w:pPr>
        <w:spacing w:after="60" w:before="280"/>
      </w:pPr>
      <w:r>
        <w:rPr>
          <w:rFonts w:ascii="Courier New" w:cs="Courier New" w:eastAsia="Courier New" w:hAnsi="Courier New"/>
          <w:caps/>
          <w:color w:val="2A7A7E"/>
          <w:sz w:val="16"/>
          <w:szCs w:val="16"/>
        </w:rPr>
        <w:t xml:space="preserve">Section 4</w:t>
      </w:r>
    </w:p>
    <w:p>
      <w:pPr>
        <w:pBdr>
          <w:bottom w:val="single" w:color="1B4F52" w:sz="4" w:space="2"/>
        </w:pBdr>
        <w:spacing w:after="120" w:before="60"/>
      </w:pPr>
      <w:r>
        <w:rPr>
          <w:rFonts w:ascii="Arial" w:cs="Arial" w:eastAsia="Arial" w:hAnsi="Arial"/>
          <w:b/>
          <w:bCs/>
          <w:color w:val="1B4F52"/>
          <w:sz w:val="28"/>
          <w:szCs w:val="28"/>
        </w:rPr>
        <w:t xml:space="preserve">Canonical Output Structure</w:t>
      </w:r>
    </w:p>
    <w:p>
      <w:pPr>
        <w:spacing w:after="60" w:before="0"/>
      </w:pPr>
    </w:p>
    <w:p>
      <w:pPr>
        <w:spacing w:after="80" w:before="180"/>
      </w:pPr>
      <w:r>
        <w:rPr>
          <w:rFonts w:ascii="Arial" w:cs="Arial" w:eastAsia="Arial" w:hAnsi="Arial"/>
          <w:b/>
          <w:bCs/>
          <w:color w:val="1B4F52"/>
          <w:sz w:val="22"/>
          <w:szCs w:val="22"/>
        </w:rPr>
        <w:t xml:space="preserve">Phase Output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600"/>
        <w:gridCol w:w="2560"/>
      </w:tblGrid>
      <w:tr>
        <w:trPr>
          <w:tblHeader/>
        </w:trPr>
        <w:tc>
          <w:tcPr>
            <w:tcW w:type="dxa" w:w="24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Phase</w:t>
            </w:r>
          </w:p>
        </w:tc>
        <w:tc>
          <w:tcPr>
            <w:tcW w:type="dxa" w:w="28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Output</w:t>
            </w:r>
          </w:p>
        </w:tc>
        <w:tc>
          <w:tcPr>
            <w:tcW w:type="dxa" w:w="16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Abbreviation</w:t>
            </w:r>
          </w:p>
        </w:tc>
        <w:tc>
          <w:tcPr>
            <w:tcW w:type="dxa" w:w="256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Feeds into</w:t>
            </w:r>
          </w:p>
        </w:tc>
      </w:tr>
      <w:tr>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1 — Structural Intake</w:t>
            </w:r>
          </w:p>
        </w:tc>
        <w:tc>
          <w:tcPr>
            <w:tcW w:type="dxa" w:w="28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Structural Intake Package</w:t>
            </w:r>
          </w:p>
        </w:tc>
        <w:tc>
          <w:tcPr>
            <w:tcW w:type="dxa" w:w="16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SIP</w:t>
            </w:r>
          </w:p>
        </w:tc>
        <w:tc>
          <w:tcPr>
            <w:tcW w:type="dxa" w:w="2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Phase 2 Realization Framing</w:t>
            </w:r>
          </w:p>
        </w:tc>
      </w:tr>
      <w:tr>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2 — Realization Framing</w:t>
            </w:r>
          </w:p>
        </w:tc>
        <w:tc>
          <w:tcPr>
            <w:tcW w:type="dxa" w:w="28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Enterprise Structure Set</w:t>
            </w:r>
          </w:p>
        </w:tc>
        <w:tc>
          <w:tcPr>
            <w:tcW w:type="dxa" w:w="16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ESS</w:t>
            </w:r>
          </w:p>
        </w:tc>
        <w:tc>
          <w:tcPr>
            <w:tcW w:type="dxa" w:w="2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Phase 3 Enterprise Flow Synthesis</w:t>
            </w:r>
          </w:p>
        </w:tc>
      </w:tr>
      <w:tr>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3 — Enterprise Flow Synthesis</w:t>
            </w:r>
          </w:p>
        </w:tc>
        <w:tc>
          <w:tcPr>
            <w:tcW w:type="dxa" w:w="28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Enterprise Flow Map</w:t>
            </w:r>
          </w:p>
        </w:tc>
        <w:tc>
          <w:tcPr>
            <w:tcW w:type="dxa" w:w="16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EFM</w:t>
            </w:r>
          </w:p>
        </w:tc>
        <w:tc>
          <w:tcPr>
            <w:tcW w:type="dxa" w:w="2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Phase 4 Coherence Structuring</w:t>
            </w:r>
          </w:p>
        </w:tc>
      </w:tr>
      <w:tr>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4 — Coherence Structuring</w:t>
            </w:r>
          </w:p>
        </w:tc>
        <w:tc>
          <w:tcPr>
            <w:tcW w:type="dxa" w:w="28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Coherence Structure Map</w:t>
            </w:r>
          </w:p>
        </w:tc>
        <w:tc>
          <w:tcPr>
            <w:tcW w:type="dxa" w:w="16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CSM</w:t>
            </w:r>
          </w:p>
        </w:tc>
        <w:tc>
          <w:tcPr>
            <w:tcW w:type="dxa" w:w="2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Phase 5 Operating Architecture Expression</w:t>
            </w:r>
          </w:p>
        </w:tc>
      </w:tr>
      <w:tr>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5 — Operating Architecture Expression</w:t>
            </w:r>
          </w:p>
        </w:tc>
        <w:tc>
          <w:tcPr>
            <w:tcW w:type="dxa" w:w="28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Operating Architecture Expression</w:t>
            </w:r>
          </w:p>
        </w:tc>
        <w:tc>
          <w:tcPr>
            <w:tcW w:type="dxa" w:w="16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OAE</w:t>
            </w:r>
          </w:p>
        </w:tc>
        <w:tc>
          <w:tcPr>
            <w:tcW w:type="dxa" w:w="2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Phase 6 Continuity &amp; Scale Expression</w:t>
            </w:r>
          </w:p>
        </w:tc>
      </w:tr>
      <w:tr>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6 — Continuity &amp; Scale Expression</w:t>
            </w:r>
          </w:p>
        </w:tc>
        <w:tc>
          <w:tcPr>
            <w:tcW w:type="dxa" w:w="28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Continuity &amp; Scale Map</w:t>
            </w:r>
          </w:p>
        </w:tc>
        <w:tc>
          <w:tcPr>
            <w:tcW w:type="dxa" w:w="16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CSM-2</w:t>
            </w:r>
          </w:p>
        </w:tc>
        <w:tc>
          <w:tcPr>
            <w:tcW w:type="dxa" w:w="2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Phase 7 CBC Transition Readiness</w:t>
            </w:r>
          </w:p>
        </w:tc>
      </w:tr>
      <w:tr>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7 — CBC Transition Readiness</w:t>
            </w:r>
          </w:p>
        </w:tc>
        <w:tc>
          <w:tcPr>
            <w:tcW w:type="dxa" w:w="28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CBC Transition Package</w:t>
            </w:r>
          </w:p>
        </w:tc>
        <w:tc>
          <w:tcPr>
            <w:tcW w:type="dxa" w:w="16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CTP</w:t>
            </w:r>
          </w:p>
        </w:tc>
        <w:tc>
          <w:tcPr>
            <w:tcW w:type="dxa" w:w="2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CBC tool — governance formalization</w:t>
            </w:r>
          </w:p>
        </w:tc>
      </w:tr>
    </w:tbl>
    <w:p>
      <w:pPr>
        <w:spacing w:after="100" w:before="0"/>
      </w:pPr>
    </w:p>
    <w:p>
      <w:pPr>
        <w:spacing w:after="80" w:before="180"/>
      </w:pPr>
      <w:r>
        <w:rPr>
          <w:rFonts w:ascii="Arial" w:cs="Arial" w:eastAsia="Arial" w:hAnsi="Arial"/>
          <w:b/>
          <w:bCs/>
          <w:color w:val="1B4F52"/>
          <w:sz w:val="22"/>
          <w:szCs w:val="22"/>
        </w:rPr>
        <w:t xml:space="preserve">SEC Output Record Format</w:t>
      </w:r>
    </w:p>
    <w:p>
      <w:pPr>
        <w:spacing w:after="100" w:before="0"/>
      </w:pPr>
      <w:r>
        <w:rPr>
          <w:rFonts w:ascii="Arial" w:cs="Arial" w:eastAsia="Arial" w:hAnsi="Arial"/>
          <w:b w:val="false"/>
          <w:bCs w:val="false"/>
          <w:i w:val="false"/>
          <w:iCs w:val="false"/>
          <w:color w:val="1A1A18"/>
          <w:sz w:val="20"/>
          <w:szCs w:val="20"/>
        </w:rPr>
        <w:t xml:space="preserve">Every SEC output record passed to the unified DALE master dataset must carry the following fields.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Field</w:t>
            </w:r>
          </w:p>
        </w:tc>
        <w:tc>
          <w:tcPr>
            <w:tcW w:type="dxa" w:w="240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Type / Values</w:t>
            </w:r>
          </w:p>
        </w:tc>
        <w:tc>
          <w:tcPr>
            <w:tcW w:type="dxa" w:w="4560"/>
            <w:tcBorders>
              <w:top w:val="single" w:color="D8D3C8" w:sz="1"/>
              <w:left w:val="single" w:color="D8D3C8" w:sz="1"/>
              <w:bottom w:val="single" w:color="D8D3C8" w:sz="1"/>
              <w:right w:val="single" w:color="D8D3C8" w:sz="1"/>
            </w:tcBorders>
            <w:shd w:fill="1B4F52" w:val="clear"/>
            <w:tcMar>
              <w:top w:type="dxa" w:w="80"/>
              <w:left w:type="dxa" w:w="120"/>
              <w:bottom w:type="dxa" w:w="80"/>
              <w:right w:type="dxa" w:w="120"/>
            </w:tcMar>
          </w:tcPr>
          <w:p>
            <w:r>
              <w:rPr>
                <w:rFonts w:ascii="Arial" w:cs="Arial" w:eastAsia="Arial" w:hAnsi="Arial"/>
                <w:b/>
                <w:bCs/>
                <w:caps/>
                <w:color w:val="FFFFFF"/>
                <w:sz w:val="18"/>
                <w:szCs w:val="18"/>
              </w:rPr>
              <w:t xml:space="preserve">Description</w:t>
            </w:r>
          </w:p>
        </w:tc>
      </w:tr>
      <w:tr>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ObservationID</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String — SEC-YYYYMMDD-XXXXXX</w:t>
            </w:r>
          </w:p>
        </w:tc>
        <w:tc>
          <w:tcPr>
            <w:tcW w:type="dxa" w:w="4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Unique identifier linking this record to the observation instance</w:t>
            </w:r>
          </w:p>
        </w:tc>
      </w:tr>
      <w:tr>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SourceTool</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"SEC"</w:t>
            </w:r>
          </w:p>
        </w:tc>
        <w:tc>
          <w:tcPr>
            <w:tcW w:type="dxa" w:w="4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Identifies the originating tool</w:t>
            </w:r>
          </w:p>
        </w:tc>
      </w:tr>
      <w:tr>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Phase</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1–7</w:t>
            </w:r>
          </w:p>
        </w:tc>
        <w:tc>
          <w:tcPr>
            <w:tcW w:type="dxa" w:w="4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SEC phase that produced this record</w:t>
            </w:r>
          </w:p>
        </w:tc>
      </w:tr>
      <w:tr>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Layer</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synthesis / expression / transition</w:t>
            </w:r>
          </w:p>
        </w:tc>
        <w:tc>
          <w:tcPr>
            <w:tcW w:type="dxa" w:w="4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Architectural layer within SEC</w:t>
            </w:r>
          </w:p>
        </w:tc>
      </w:tr>
      <w:tr>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Domain</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Value / Impact / Resource / Delivery / Governance / Flow / Scale</w:t>
            </w:r>
          </w:p>
        </w:tc>
        <w:tc>
          <w:tcPr>
            <w:tcW w:type="dxa" w:w="4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Enterprise domain</w:t>
            </w:r>
          </w:p>
        </w:tc>
      </w:tr>
      <w:tr>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EntityID</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String</w:t>
            </w:r>
          </w:p>
        </w:tc>
        <w:tc>
          <w:tcPr>
            <w:tcW w:type="dxa" w:w="4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Identifies the observed entity or unit</w:t>
            </w:r>
          </w:p>
        </w:tc>
      </w:tr>
      <w:tr>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StateID</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Output abbreviation (SIP / ESS / EFM / CSM / OAE / CSM-2 / CTP)</w:t>
            </w:r>
          </w:p>
        </w:tc>
        <w:tc>
          <w:tcPr>
            <w:tcW w:type="dxa" w:w="4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Identifies the phase output</w:t>
            </w:r>
          </w:p>
        </w:tc>
      </w:tr>
      <w:tr>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CoherenceState</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RES-C / RES-F / RES-U / RES-D / RES-B / RES-MD / RES-FD / RES-CR</w:t>
            </w:r>
          </w:p>
        </w:tc>
        <w:tc>
          <w:tcPr>
            <w:tcW w:type="dxa" w:w="4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Structural coherence state where applicable</w:t>
            </w:r>
          </w:p>
        </w:tc>
      </w:tr>
      <w:tr>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RealizationType</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RT-SEC / RT-CBC / RT-H / RT-U</w:t>
            </w:r>
          </w:p>
        </w:tc>
        <w:tc>
          <w:tcPr>
            <w:tcW w:type="dxa" w:w="4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Realization type from Runner activation</w:t>
            </w:r>
          </w:p>
        </w:tc>
      </w:tr>
      <w:tr>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Status</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resolved / unresolved / fragile / missing</w:t>
            </w:r>
          </w:p>
        </w:tc>
        <w:tc>
          <w:tcPr>
            <w:tcW w:type="dxa" w:w="4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Synthesis status of this record</w:t>
            </w:r>
          </w:p>
        </w:tc>
      </w:tr>
      <w:tr>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TraceRef</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String</w:t>
            </w:r>
          </w:p>
        </w:tc>
        <w:tc>
          <w:tcPr>
            <w:tcW w:type="dxa" w:w="4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Backward traceability to upstream CoS / ECOA / ARA / Runner source</w:t>
            </w:r>
          </w:p>
        </w:tc>
      </w:tr>
      <w:tr>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UsedPrinciples</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Array: P1–P5</w:t>
            </w:r>
          </w:p>
        </w:tc>
        <w:tc>
          <w:tcPr>
            <w:tcW w:type="dxa" w:w="4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Fixed DALE principles governing the synthesis path</w:t>
            </w:r>
          </w:p>
        </w:tc>
      </w:tr>
      <w:tr>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ObservationCondition</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String</w:t>
            </w:r>
          </w:p>
        </w:tc>
        <w:tc>
          <w:tcPr>
            <w:tcW w:type="dxa" w:w="4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Concrete observation condition from CoS</w:t>
            </w:r>
          </w:p>
        </w:tc>
      </w:tr>
      <w:tr>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Timestamp</w:t>
            </w:r>
          </w:p>
        </w:tc>
        <w:tc>
          <w:tcPr>
            <w:tcW w:type="dxa" w:w="240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ISO 8601 datetime</w:t>
            </w:r>
          </w:p>
        </w:tc>
        <w:tc>
          <w:tcPr>
            <w:tcW w:type="dxa" w:w="4560"/>
            <w:tcBorders>
              <w:top w:val="single" w:color="D8D3C8" w:sz="1"/>
              <w:left w:val="single" w:color="D8D3C8" w:sz="1"/>
              <w:bottom w:val="single" w:color="D8D3C8" w:sz="1"/>
              <w:right w:val="single" w:color="D8D3C8" w:sz="1"/>
            </w:tcBorders>
            <w:shd w:fill="F0EDE8"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When the record was produced</w:t>
            </w:r>
          </w:p>
        </w:tc>
      </w:tr>
      <w:tr>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TracePath</w:t>
            </w:r>
          </w:p>
        </w:tc>
        <w:tc>
          <w:tcPr>
            <w:tcW w:type="dxa" w:w="240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String</w:t>
            </w:r>
          </w:p>
        </w:tc>
        <w:tc>
          <w:tcPr>
            <w:tcW w:type="dxa" w:w="4560"/>
            <w:tcBorders>
              <w:top w:val="single" w:color="D8D3C8" w:sz="1"/>
              <w:left w:val="single" w:color="D8D3C8" w:sz="1"/>
              <w:bottom w:val="single" w:color="D8D3C8" w:sz="1"/>
              <w:right w:val="single" w:color="D8D3C8" w:sz="1"/>
            </w:tcBorders>
            <w:shd w:fill="FFFFFF" w:val="clear"/>
            <w:tcMar>
              <w:top w:type="dxa" w:w="60"/>
              <w:left w:type="dxa" w:w="120"/>
              <w:bottom w:type="dxa" w:w="60"/>
              <w:right w:type="dxa" w:w="120"/>
            </w:tcMar>
            <w:vAlign w:val="top"/>
          </w:tcPr>
          <w:p>
            <w:r>
              <w:rPr>
                <w:rFonts w:ascii="Arial" w:cs="Arial" w:eastAsia="Arial" w:hAnsi="Arial"/>
                <w:b w:val="false"/>
                <w:bCs w:val="false"/>
                <w:color w:val="1A1A18"/>
                <w:sz w:val="19"/>
                <w:szCs w:val="19"/>
              </w:rPr>
              <w:t xml:space="preserve">Full synthesis path from source observation to this output</w:t>
            </w:r>
          </w:p>
        </w:tc>
      </w:tr>
    </w:tbl>
    <w:p>
      <w:pPr>
        <w:spacing w:after="120" w:before="0"/>
      </w:pPr>
    </w:p>
    <w:p>
      <w:pPr>
        <w:spacing w:after="60" w:before="280"/>
      </w:pPr>
      <w:r>
        <w:rPr>
          <w:rFonts w:ascii="Courier New" w:cs="Courier New" w:eastAsia="Courier New" w:hAnsi="Courier New"/>
          <w:caps/>
          <w:color w:val="2A7A7E"/>
          <w:sz w:val="16"/>
          <w:szCs w:val="16"/>
        </w:rPr>
        <w:t xml:space="preserve">Section 5</w:t>
      </w:r>
    </w:p>
    <w:p>
      <w:pPr>
        <w:pBdr>
          <w:bottom w:val="single" w:color="1B4F52" w:sz="4" w:space="2"/>
        </w:pBdr>
        <w:spacing w:after="120" w:before="60"/>
      </w:pPr>
      <w:r>
        <w:rPr>
          <w:rFonts w:ascii="Arial" w:cs="Arial" w:eastAsia="Arial" w:hAnsi="Arial"/>
          <w:b/>
          <w:bCs/>
          <w:color w:val="1B4F52"/>
          <w:sz w:val="28"/>
          <w:szCs w:val="28"/>
        </w:rPr>
        <w:t xml:space="preserve">Global Canonical Rule &amp; Architectural Constraints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52" w:val="clear"/>
            <w:tcMar>
              <w:top w:type="dxa" w:w="200"/>
              <w:left w:type="dxa" w:w="360"/>
              <w:bottom w:type="dxa" w:w="200"/>
              <w:right w:type="dxa" w:w="360"/>
            </w:tcMar>
          </w:tcPr>
          <w:p>
            <w:pPr>
              <w:jc w:val="center"/>
            </w:pPr>
            <w:r>
              <w:rPr>
                <w:rFonts w:ascii="Arial" w:cs="Arial" w:eastAsia="Arial" w:hAnsi="Arial"/>
                <w:b/>
                <w:bCs/>
                <w:i/>
                <w:iCs/>
                <w:color w:val="FFFFFF"/>
                <w:sz w:val="28"/>
                <w:szCs w:val="28"/>
              </w:rPr>
              <w:t xml:space="preserve">Tools operate on structure. They do not create it.</w:t>
            </w:r>
          </w:p>
          <w:p>
            <w:pPr>
              <w:spacing w:after="80" w:before="0"/>
            </w:pPr>
          </w:p>
          <w:p>
            <w:pPr>
              <w:jc w:val="center"/>
            </w:pPr>
            <w:r>
              <w:rPr>
                <w:rFonts w:ascii="Arial" w:cs="Arial" w:eastAsia="Arial" w:hAnsi="Arial"/>
                <w:color w:val="AACCCC"/>
                <w:sz w:val="20"/>
                <w:szCs w:val="20"/>
              </w:rPr>
              <w:t xml:space="preserve">SEC inherits this rule directly from the CoS architecture.</w:t>
            </w:r>
          </w:p>
        </w:tc>
      </w:tr>
    </w:tbl>
    <w:p>
      <w:pPr>
        <w:spacing w:after="80" w:before="0"/>
      </w:pPr>
    </w:p>
    <w:p>
      <w:pPr>
        <w:spacing w:after="80" w:before="180"/>
      </w:pPr>
      <w:r>
        <w:rPr>
          <w:rFonts w:ascii="Arial" w:cs="Arial" w:eastAsia="Arial" w:hAnsi="Arial"/>
          <w:b/>
          <w:bCs/>
          <w:color w:val="1B4F52"/>
          <w:sz w:val="22"/>
          <w:szCs w:val="22"/>
        </w:rPr>
        <w:t xml:space="preserve">Every SEC Output Must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40"/>
            </w:tcMar>
          </w:tcPr>
          <w:p>
            <w:pPr>
              <w:pStyle w:val="ListParagraph"/>
              <w:numPr>
                <w:ilvl w:val="0"/>
                <w:numId w:val="2"/>
              </w:numPr>
              <w:spacing w:after="80" w:before="0"/>
            </w:pPr>
            <w:r>
              <w:rPr>
                <w:rFonts w:ascii="Arial" w:cs="Arial" w:eastAsia="Arial" w:hAnsi="Arial"/>
                <w:b w:val="false"/>
                <w:bCs w:val="false"/>
                <w:color w:val="1A1A18"/>
                <w:sz w:val="20"/>
                <w:szCs w:val="20"/>
              </w:rPr>
              <w:t xml:space="preserve">Remain traceable to upstream structural conditions (CoS, ECOA, ARA, Runner)</w:t>
            </w:r>
          </w:p>
          <w:p>
            <w:pPr>
              <w:pStyle w:val="ListParagraph"/>
              <w:numPr>
                <w:ilvl w:val="0"/>
                <w:numId w:val="2"/>
              </w:numPr>
              <w:spacing w:after="80" w:before="0"/>
            </w:pPr>
            <w:r>
              <w:rPr>
                <w:rFonts w:ascii="Arial" w:cs="Arial" w:eastAsia="Arial" w:hAnsi="Arial"/>
                <w:b w:val="false"/>
                <w:bCs w:val="false"/>
                <w:color w:val="1A1A18"/>
                <w:sz w:val="20"/>
                <w:szCs w:val="20"/>
              </w:rPr>
              <w:t xml:space="preserve">Preserve unresolved tensions — not resolve them artificially</w:t>
            </w:r>
          </w:p>
          <w:p>
            <w:pPr>
              <w:pStyle w:val="ListParagraph"/>
              <w:numPr>
                <w:ilvl w:val="0"/>
                <w:numId w:val="2"/>
              </w:numPr>
              <w:spacing w:after="80" w:before="0"/>
            </w:pPr>
            <w:r>
              <w:rPr>
                <w:rFonts w:ascii="Arial" w:cs="Arial" w:eastAsia="Arial" w:hAnsi="Arial"/>
                <w:b w:val="false"/>
                <w:bCs w:val="false"/>
                <w:color w:val="1A1A18"/>
                <w:sz w:val="20"/>
                <w:szCs w:val="20"/>
              </w:rPr>
              <w:t xml:space="preserve">Maintain explicit structural dependencies</w:t>
            </w:r>
          </w:p>
          <w:p>
            <w:pPr>
              <w:pStyle w:val="ListParagraph"/>
              <w:numPr>
                <w:ilvl w:val="0"/>
                <w:numId w:val="2"/>
              </w:numPr>
              <w:spacing w:after="80" w:before="0"/>
            </w:pPr>
            <w:r>
              <w:rPr>
                <w:rFonts w:ascii="Arial" w:cs="Arial" w:eastAsia="Arial" w:hAnsi="Arial"/>
                <w:b w:val="false"/>
                <w:bCs w:val="false"/>
                <w:color w:val="1A1A18"/>
                <w:sz w:val="20"/>
                <w:szCs w:val="20"/>
              </w:rPr>
              <w:t xml:space="preserve">Avoid fabricated coherence</w:t>
            </w:r>
          </w:p>
          <w:p>
            <w:pPr>
              <w:pStyle w:val="ListParagraph"/>
              <w:numPr>
                <w:ilvl w:val="0"/>
                <w:numId w:val="2"/>
              </w:numPr>
              <w:spacing w:after="80" w:before="0"/>
            </w:pPr>
            <w:r>
              <w:rPr>
                <w:rFonts w:ascii="Arial" w:cs="Arial" w:eastAsia="Arial" w:hAnsi="Arial"/>
                <w:b w:val="false"/>
                <w:bCs w:val="false"/>
                <w:color w:val="1A1A18"/>
                <w:sz w:val="20"/>
                <w:szCs w:val="20"/>
              </w:rPr>
              <w:t xml:space="preserve">Remain admissible within the fixed DALE architecture (P1–P5, M1–M5)</w:t>
            </w:r>
          </w:p>
          <w:p>
            <w:pPr>
              <w:spacing w:after="60" w:before="0"/>
            </w:pPr>
          </w:p>
          <w:p>
            <w:pPr>
              <w:spacing w:after="100" w:before="0"/>
            </w:pPr>
            <w:r>
              <w:rPr>
                <w:rFonts w:ascii="Arial" w:cs="Arial" w:eastAsia="Arial" w:hAnsi="Arial"/>
                <w:b/>
                <w:bCs/>
                <w:i w:val="false"/>
                <w:iCs w:val="false"/>
                <w:color w:val="1A1A18"/>
                <w:sz w:val="20"/>
                <w:szCs w:val="20"/>
              </w:rPr>
              <w:t xml:space="preserve">No SEC structure may exist without:</w:t>
            </w:r>
          </w:p>
          <w:p>
            <w:pPr>
              <w:pStyle w:val="ListParagraph"/>
              <w:numPr>
                <w:ilvl w:val="0"/>
                <w:numId w:val="2"/>
              </w:numPr>
              <w:spacing w:after="80" w:before="0"/>
            </w:pPr>
            <w:r>
              <w:rPr>
                <w:rFonts w:ascii="Arial" w:cs="Arial" w:eastAsia="Arial" w:hAnsi="Arial"/>
                <w:b w:val="false"/>
                <w:bCs w:val="false"/>
                <w:color w:val="1A1A18"/>
                <w:sz w:val="20"/>
                <w:szCs w:val="20"/>
              </w:rPr>
              <w:t xml:space="preserve">Traceable inputs from upstream layers</w:t>
            </w:r>
          </w:p>
          <w:p>
            <w:pPr>
              <w:pStyle w:val="ListParagraph"/>
              <w:numPr>
                <w:ilvl w:val="0"/>
                <w:numId w:val="2"/>
              </w:numPr>
              <w:spacing w:after="80" w:before="0"/>
            </w:pPr>
            <w:r>
              <w:rPr>
                <w:rFonts w:ascii="Arial" w:cs="Arial" w:eastAsia="Arial" w:hAnsi="Arial"/>
                <w:b w:val="false"/>
                <w:bCs w:val="false"/>
                <w:color w:val="1A1A18"/>
                <w:sz w:val="20"/>
                <w:szCs w:val="20"/>
              </w:rPr>
              <w:t xml:space="preserve">Identifiable synthesis logic</w:t>
            </w:r>
          </w:p>
          <w:p>
            <w:pPr>
              <w:pStyle w:val="ListParagraph"/>
              <w:numPr>
                <w:ilvl w:val="0"/>
                <w:numId w:val="2"/>
              </w:numPr>
              <w:spacing w:after="80" w:before="0"/>
            </w:pPr>
            <w:r>
              <w:rPr>
                <w:rFonts w:ascii="Arial" w:cs="Arial" w:eastAsia="Arial" w:hAnsi="Arial"/>
                <w:b w:val="false"/>
                <w:bCs w:val="false"/>
                <w:color w:val="1A1A18"/>
                <w:sz w:val="20"/>
                <w:szCs w:val="20"/>
              </w:rPr>
              <w:t xml:space="preserve">Explicit coherence state (RES-C / RES-F / RES-U / ...)</w:t>
            </w:r>
          </w:p>
          <w:p>
            <w:pPr>
              <w:pStyle w:val="ListParagraph"/>
              <w:numPr>
                <w:ilvl w:val="0"/>
                <w:numId w:val="2"/>
              </w:numPr>
              <w:spacing w:after="80" w:before="0"/>
            </w:pPr>
            <w:r>
              <w:rPr>
                <w:rFonts w:ascii="Arial" w:cs="Arial" w:eastAsia="Arial" w:hAnsi="Arial"/>
                <w:b w:val="false"/>
                <w:bCs w:val="false"/>
                <w:color w:val="1A1A18"/>
                <w:sz w:val="20"/>
                <w:szCs w:val="20"/>
              </w:rPr>
              <w:t xml:space="preserve">Visible dependency conditions</w:t>
            </w:r>
          </w:p>
        </w:tc>
        <w:tc>
          <w:tcPr>
            <w:tcW w:type="dxa" w:w="4680"/>
            <w:tcBorders>
              <w:top w:val="none" w:color="FFFFFF" w:sz="0"/>
              <w:left w:val="none" w:color="FFFFFF" w:sz="0"/>
              <w:bottom w:val="none" w:color="FFFFFF" w:sz="0"/>
              <w:right w:val="none" w:color="FFFFFF" w:sz="0"/>
            </w:tcBorders>
            <w:tcMar>
              <w:top w:type="dxa" w:w="0"/>
              <w:left w:type="dxa" w:w="14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B4F52"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i</w:t>
                  </w:r>
                </w:p>
              </w:tc>
              <w:tc>
                <w:tcPr>
                  <w:tcW w:type="dxa" w:w="9200"/>
                  <w:tcBorders>
                    <w:top w:val="none" w:color="FFFFFF" w:sz="0"/>
                    <w:left w:val="none" w:color="FFFFFF" w:sz="0"/>
                    <w:bottom w:val="none" w:color="FFFFFF" w:sz="0"/>
                    <w:right w:val="none" w:color="FFFFFF" w:sz="0"/>
                  </w:tcBorders>
                  <w:shd w:fill="D4ECEE" w:val="clear"/>
                  <w:tcMar>
                    <w:top w:type="dxa" w:w="100"/>
                    <w:left w:type="dxa" w:w="140"/>
                    <w:bottom w:type="dxa" w:w="100"/>
                    <w:right w:type="dxa" w:w="120"/>
                  </w:tcMar>
                </w:tcPr>
                <w:p>
                  <w:r>
                    <w:rPr>
                      <w:rFonts w:ascii="Arial" w:cs="Arial" w:eastAsia="Arial" w:hAnsi="Arial"/>
                      <w:color w:val="1A1A18"/>
                      <w:sz w:val="19"/>
                      <w:szCs w:val="19"/>
                    </w:rPr>
                    <w:t xml:space="preserve">SEC organizes enterprise coherence.
It does not invent it.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B85252"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X</w:t>
                  </w:r>
                </w:p>
              </w:tc>
              <w:tc>
                <w:tcPr>
                  <w:tcW w:type="dxa" w:w="9200"/>
                  <w:tcBorders>
                    <w:top w:val="none" w:color="FFFFFF" w:sz="0"/>
                    <w:left w:val="none" w:color="FFFFFF" w:sz="0"/>
                    <w:bottom w:val="none" w:color="FFFFFF" w:sz="0"/>
                    <w:right w:val="none" w:color="FFFFFF" w:sz="0"/>
                  </w:tcBorders>
                  <w:shd w:fill="FAEEEE" w:val="clear"/>
                  <w:tcMar>
                    <w:top w:type="dxa" w:w="100"/>
                    <w:left w:type="dxa" w:w="140"/>
                    <w:bottom w:type="dxa" w:w="100"/>
                    <w:right w:type="dxa" w:w="120"/>
                  </w:tcMar>
                </w:tcPr>
                <w:p>
                  <w:r>
                    <w:rPr>
                      <w:rFonts w:ascii="Arial" w:cs="Arial" w:eastAsia="Arial" w:hAnsi="Arial"/>
                      <w:color w:val="1A1A18"/>
                      <w:sz w:val="19"/>
                      <w:szCs w:val="19"/>
                    </w:rPr>
                    <w:t xml:space="preserve">Unresolved conditions are structural findings. They must be preserved and carried forward to CBC — not collapsed, resolved prematurely, or omitted from output records.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8893A"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w:t>
                  </w:r>
                </w:p>
              </w:tc>
              <w:tc>
                <w:tcPr>
                  <w:tcW w:type="dxa" w:w="9200"/>
                  <w:tcBorders>
                    <w:top w:val="none" w:color="FFFFFF" w:sz="0"/>
                    <w:left w:val="none" w:color="FFFFFF" w:sz="0"/>
                    <w:bottom w:val="none" w:color="FFFFFF" w:sz="0"/>
                    <w:right w:val="none" w:color="FFFFFF" w:sz="0"/>
                  </w:tcBorders>
                  <w:shd w:fill="FDF3E7" w:val="clear"/>
                  <w:tcMar>
                    <w:top w:type="dxa" w:w="100"/>
                    <w:left w:type="dxa" w:w="140"/>
                    <w:bottom w:type="dxa" w:w="100"/>
                    <w:right w:type="dxa" w:w="120"/>
                  </w:tcMar>
                </w:tcPr>
                <w:p>
                  <w:r>
                    <w:rPr>
                      <w:rFonts w:ascii="Arial" w:cs="Arial" w:eastAsia="Arial" w:hAnsi="Arial"/>
                      <w:color w:val="1A1A18"/>
                      <w:sz w:val="19"/>
                      <w:szCs w:val="19"/>
                    </w:rPr>
                    <w:t xml:space="preserve">SEC is activated only when Runner determines it. No practitioner decision overrides the realization type determination from Runner.</w:t>
                  </w:r>
                </w:p>
              </w:tc>
            </w:tr>
          </w:tbl>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52" w:val="clear"/>
            <w:tcMar>
              <w:top w:type="dxa" w:w="280"/>
              <w:left w:type="dxa" w:w="360"/>
              <w:bottom w:type="dxa" w:w="280"/>
              <w:right w:type="dxa" w:w="360"/>
            </w:tcMar>
          </w:tcPr>
          <w:p>
            <w:pPr>
              <w:jc w:val="center"/>
            </w:pPr>
            <w:r>
              <w:rPr>
                <w:rFonts w:ascii="Courier New" w:cs="Courier New" w:eastAsia="Courier New" w:hAnsi="Courier New"/>
                <w:color w:val="C8893A"/>
                <w:sz w:val="18"/>
                <w:szCs w:val="18"/>
              </w:rPr>
              <w:t xml:space="preserve">Social Enterprise Canvas (SEC) — Canonical Spec Sheet  ·  v1.0.0</w:t>
            </w:r>
          </w:p>
          <w:p>
            <w:pPr>
              <w:spacing w:after="80" w:before="0"/>
            </w:pPr>
          </w:p>
          <w:p>
            <w:pPr>
              <w:jc w:val="center"/>
            </w:pPr>
            <w:r>
              <w:rPr>
                <w:rFonts w:ascii="Arial" w:cs="Arial" w:eastAsia="Arial" w:hAnsi="Arial"/>
                <w:color w:val="AACCCC"/>
                <w:sz w:val="19"/>
                <w:szCs w:val="19"/>
              </w:rPr>
              <w:t xml:space="preserve">DALE · Kadana  |  April 2026  |  Confidential</w:t>
            </w:r>
          </w:p>
          <w:p>
            <w:pPr>
              <w:spacing w:after="60" w:before="0"/>
            </w:pPr>
          </w:p>
          <w:p>
            <w:pPr>
              <w:jc w:val="center"/>
            </w:pPr>
            <w:r>
              <w:rPr>
                <w:rFonts w:ascii="Arial" w:cs="Arial" w:eastAsia="Arial" w:hAnsi="Arial"/>
                <w:i/>
                <w:iCs/>
                <w:color w:val="AACCCC"/>
                <w:sz w:val="18"/>
                <w:szCs w:val="18"/>
              </w:rPr>
              <w:t xml:space="preserve">ECOA defines reality  ·  ARA resolves structure  ·  Runner executes  ·  SEC synthesizes enterprise coherence  ·  CBC formalizes governance and value exchange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3C8" w:sz="2" w:space="6"/>
      </w:pBdr>
      <w:tabs>
        <w:tab w:val="right" w:pos="9720"/>
      </w:tabs>
      <w:spacing w:before="80"/>
    </w:pPr>
    <w:r>
      <w:rPr>
        <w:rFonts w:ascii="Arial" w:cs="Arial" w:eastAsia="Arial" w:hAnsi="Arial"/>
        <w:color w:val="999999"/>
        <w:sz w:val="16"/>
        <w:szCs w:val="16"/>
      </w:rPr>
      <w:t xml:space="preserve">Social Enterprise Canvas (SEC)  |  Enterprise Synthesis &amp; Coherence Layer  |  CONFIDENTIAL</w:t>
    </w:r>
    <w:r>
      <w:rPr>
        <w:rFonts w:ascii="Arial" w:cs="Arial" w:eastAsia="Arial" w:hAnsi="Arial"/>
        <w:sz w:val="16"/>
        <w:szCs w:val="16"/>
      </w:rPr>
      <w:t xml:space="preserve">	</w:t>
    </w:r>
    <w:r>
      <w:rPr>
        <w:rFonts w:ascii="Arial" w:cs="Arial" w:eastAsia="Arial" w:hAnsi="Arial"/>
        <w:color w:val="999999"/>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720"/>
      <w:gridCol w:w="2360"/>
    </w:tblGrid>
    <w:tr>
      <w:tc>
        <w:tcPr>
          <w:tcBorders>
            <w:top w:val="none" w:color="FFFFFF" w:sz="0"/>
            <w:left w:val="none" w:color="FFFFFF" w:sz="0"/>
            <w:bottom w:val="none" w:color="FFFFFF" w:sz="0"/>
            <w:right w:val="none" w:color="FFFFFF" w:sz="0"/>
          </w:tcBorders>
          <w:shd w:fill="1B4F52" w:val="clear"/>
          <w:tcMar>
            <w:top w:type="dxa" w:w="60"/>
            <w:left w:type="dxa" w:w="140"/>
            <w:bottom w:type="dxa" w:w="60"/>
            <w:right w:type="dxa" w:w="120"/>
          </w:tcMar>
        </w:tcPr>
        <w:p>
          <w:r>
            <w:rPr>
              <w:rFonts w:ascii="Courier New" w:cs="Courier New" w:eastAsia="Courier New" w:hAnsi="Courier New"/>
              <w:caps/>
              <w:color w:val="C8893A"/>
              <w:sz w:val="16"/>
              <w:szCs w:val="16"/>
            </w:rPr>
            <w:t xml:space="preserve">DALE · Kadana  </w:t>
          </w:r>
          <w:r>
            <w:rPr>
              <w:rFonts w:ascii="Arial" w:cs="Arial" w:eastAsia="Arial" w:hAnsi="Arial"/>
              <w:color w:val="AACCCC"/>
              <w:sz w:val="17"/>
              <w:szCs w:val="17"/>
            </w:rPr>
            <w:t xml:space="preserve">Social Enterprise Canvas (SEC) — Canonical Spec Sheet  |  v1.0.0  |  April 2026</w:t>
          </w:r>
        </w:p>
      </w:tc>
      <w:tc>
        <w:tcPr>
          <w:tcBorders>
            <w:top w:val="none" w:color="FFFFFF" w:sz="0"/>
            <w:left w:val="none" w:color="FFFFFF" w:sz="0"/>
            <w:bottom w:val="none" w:color="FFFFFF" w:sz="0"/>
            <w:right w:val="none" w:color="FFFFFF" w:sz="0"/>
          </w:tcBorders>
          <w:shd w:fill="1B4F52" w:val="clear"/>
          <w:tcMar>
            <w:top w:type="dxa" w:w="60"/>
            <w:left w:type="dxa" w:w="80"/>
            <w:bottom w:type="dxa" w:w="60"/>
            <w:right w:type="dxa" w:w="140"/>
          </w:tcMar>
        </w:tcPr>
        <w:p>
          <w:pPr>
            <w:jc w:val="right"/>
          </w:pPr>
          <w:r>
            <w:rPr>
              <w:rFonts w:ascii="Arial" w:cs="Arial" w:eastAsia="Arial" w:hAnsi="Arial"/>
              <w:color w:val="AACCCC"/>
              <w:sz w:val="17"/>
              <w:szCs w:val="17"/>
            </w:rPr>
            <w:t xml:space="preserve">Stage: </w:t>
          </w:r>
          <w:r>
            <w:rPr>
              <w:rFonts w:ascii="Arial" w:cs="Arial" w:eastAsia="Arial" w:hAnsi="Arial"/>
              <w:b/>
              <w:bCs/>
              <w:color w:val="C8893A"/>
              <w:sz w:val="17"/>
              <w:szCs w:val="17"/>
            </w:rPr>
            <w:t xml:space="preserve">Realize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2026-05-08T05:16:23.173Z</dcterms:created>
  <dcterms:modified xsi:type="dcterms:W3CDTF">2026-05-08T05:16:23.190Z</dcterms:modified>
</cp:coreProperties>
</file>

<file path=docProps/custom.xml><?xml version="1.0" encoding="utf-8"?>
<Properties xmlns="http://schemas.openxmlformats.org/officeDocument/2006/custom-properties" xmlns:vt="http://schemas.openxmlformats.org/officeDocument/2006/docPropsVTypes"/>
</file>