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Set 3 — Professional Engagement</w:t>
      </w:r>
    </w:p>
    <w:p>
      <w:pPr>
        <w:pStyle w:val="Subtitle"/>
      </w:pPr>
      <w:r>
        <w:t>Learning Through Reflection and Professional Relationships</w:t>
      </w:r>
    </w:p>
    <w:p>
      <w:pPr>
        <w:pStyle w:val="Heading1"/>
      </w:pPr>
      <w:r>
        <w:t>Context for the evidence set</w:t>
      </w:r>
    </w:p>
    <w:p>
      <w:r>
        <w:t>My professional learning across early childhood and Reception settings has involved identifying development needs, seeking mentor guidance and reflecting on responsibility to children, families and communities. This set connects APST goal setting with teaching feedback, and considers how community expertise and ethical practice can inform educational decisions.</w:t>
      </w:r>
    </w:p>
    <w:p>
      <w:pPr>
        <w:pStyle w:val="Heading1"/>
      </w:pPr>
      <w:r>
        <w:t>Artefact 6 — Identifying and Responding to Professional Learning Needs</w:t>
      </w:r>
    </w:p>
    <w:p>
      <w:r>
        <w:t>APST 6.1, 6.2 and 6.4</w:t>
      </w:r>
    </w:p>
    <w:p>
      <w:pPr>
        <w:pStyle w:val="Heading2"/>
      </w:pPr>
      <w:r>
        <w:t>Context</w:t>
      </w:r>
    </w:p>
    <w:p>
      <w:r>
        <w:t>TPA1 identifies a goal to strengthen phonics knowledge and teaching, linked to APST 1.2, 2.1, 2.2 and 2.5. Another goal concerns behaviour and wellbeing. Later lesson feedback allows me to examine development against these needs.</w:t>
      </w:r>
    </w:p>
    <w:p>
      <w:pPr>
        <w:pStyle w:val="Heading2"/>
      </w:pPr>
      <w:r>
        <w:t>Action</w:t>
      </w:r>
    </w:p>
    <w:p>
      <w:r>
        <w:t>During placement, daily mentor conversations and video review helped me examine teaching. Feedback recognised clear delivery while identifying pronunciation, behaviour support and resource selection as continuing needs. I also used Department phonological awareness training resources and a roller-coaster gesture in phonics teaching to support identifying the middle sound. These are relevant learning sources and a concrete classroom strategy.</w:t>
      </w:r>
    </w:p>
    <w:p>
      <w:pPr>
        <w:pStyle w:val="Heading2"/>
      </w:pPr>
      <w:r>
        <w:t>Results</w:t>
      </w:r>
    </w:p>
    <w:p>
      <w:r>
        <w:t>The school report describes simpler instructions, improved pacing and resource organisation following feedback. Children found the roller-coaster gesture helpful. These are reflective and observed indications of usefulness; they do not establish measured progress for every child. TPA4 records planned adjustments whose effectiveness requires follow-up.</w:t>
      </w:r>
    </w:p>
    <w:p>
      <w:pPr>
        <w:pStyle w:val="Heading2"/>
      </w:pPr>
      <w:r>
        <w:t>Evaluation</w:t>
      </w:r>
    </w:p>
    <w:p>
      <w:r>
        <w:t>APST helped organise specific needs rather than only a general wish for confidence. Continued learning matters because accurate phoneme modelling supports literacy, accessible instructions help EAL learners start tasks, and proportionate behaviour responses protect participation. Future observations should examine children’s understanding and independence as well as my delivery.</w:t>
      </w:r>
    </w:p>
    <w:p>
      <w:pPr>
        <w:pStyle w:val="Heading2"/>
      </w:pPr>
      <w:r>
        <w:t>Standards</w:t>
      </w:r>
    </w:p>
    <w:p>
      <w:r>
        <w:t>APST 6.1 is addressed through standards-based goal setting; 6.2 through Department resources, mentor feedback and video review; and 6.4 through the rationale connecting professional learning with children’s access and understanding.</w:t>
      </w:r>
    </w:p>
    <w:p>
      <w:pPr>
        <w:pStyle w:val="Heading1"/>
      </w:pPr>
      <w:r>
        <w:t>Artefact 7 — Learning Through Aboriginal Community Expertise</w:t>
      </w:r>
    </w:p>
    <w:p>
      <w:r>
        <w:t>APST 7.1 and 7.4</w:t>
      </w:r>
    </w:p>
    <w:p>
      <w:pPr>
        <w:pStyle w:val="Heading2"/>
      </w:pPr>
      <w:r>
        <w:t>Context</w:t>
      </w:r>
    </w:p>
    <w:p>
      <w:r>
        <w:t>During an Aboriginal educator-led walk through a local natural park, approximately in November 2025, I learned alongside the children. Section 7 of my EDUC9107 assignment records the experience and the follow-up plant collages. I selected it because it demonstrates how learning directly from a community educator changed my professional understanding of place-based learning.</w:t>
      </w:r>
    </w:p>
    <w:p>
      <w:pPr>
        <w:pStyle w:val="Heading2"/>
      </w:pPr>
      <w:r>
        <w:t>Action</w:t>
      </w:r>
    </w:p>
    <w:p>
      <w:r>
        <w:t>The educator introduced plants encountered during the walk and explained uses including providing water, cleaning teeth and flavouring with salty plants. Children were invited to observe and participate under the educator’s guidance. I listened and learned alongside them. My assignment acknowledges the educator as the source of this knowledge and reflects on learning through relationships, observation and place. It also recognises that my developing understanding does not make me an authority on Aboriginal cultures.</w:t>
      </w:r>
    </w:p>
    <w:p>
      <w:pPr>
        <w:pStyle w:val="Heading2"/>
      </w:pPr>
      <w:r>
        <w:t>Results</w:t>
      </w:r>
    </w:p>
    <w:p>
      <w:r>
        <w:t>Back at the centre, children made collages with collected plants and recalled the walk through conversation. The assignment describes opportunities for oral language, vocabulary and description. It identifies comparing and classifying materials as a possible numeracy extension, rather than claiming that this extension was implemented. Professionally, the experience broadened my understanding of plants and showed how community expertise can shape both educator learning and meaningful experiences for children.</w:t>
      </w:r>
    </w:p>
    <w:p>
      <w:pPr>
        <w:pStyle w:val="Heading2"/>
      </w:pPr>
      <w:r>
        <w:t>Evaluation</w:t>
      </w:r>
    </w:p>
    <w:p>
      <w:r>
        <w:t>I now examine this experience retrospectively through the Early Childhood Australia Code of Ethics; I did not consciously use a named code during the walk. Its emphasis on community-informed practice and remaining within professional competence helps explain why acknowledging the Aboriginal educator’s expertise and the limits of my knowledge matters. Sections 5 and 8 of my assignment show this reflection: I recognise the need for guidance and avoid assuming that knowledge shared in one place applies across Countries and communities. The Code also addresses confidentiality. TPA2’s documented use of pseudonyms offers a separate example of protecting identifying information. My next step is to seek local guidance before extending or sharing cultural knowledge in future teaching.</w:t>
      </w:r>
    </w:p>
    <w:p>
      <w:pPr>
        <w:pStyle w:val="Heading2"/>
      </w:pPr>
      <w:r>
        <w:t>Standards</w:t>
      </w:r>
    </w:p>
    <w:p>
      <w:r>
        <w:t>APST 7.4 is addressed through the educator-led experience, my learning alongside children and the resulting change in my understanding of teaching connected to place. APST 7.1 is addressed through retrospective reflection using professional ethical principles, acknowledgement of expertise and limits, and the documented confidentiality practice. This links the Code to genuine actions and reflections without claiming that it consciously directed the original walk.</w:t>
      </w:r>
    </w:p>
    <w:p>
      <w:r>
        <w:br w:type="page"/>
      </w:r>
    </w:p>
    <w:p>
      <w:pPr>
        <w:pStyle w:val="Heading1"/>
      </w:pPr>
      <w:r>
        <w:t>Selected source evidence</w:t>
      </w:r>
    </w:p>
    <w:p>
      <w:r>
        <w:t>These excerpts support the numbered artefacts above. They are drawn from the supplied placement documents; layout has been adapted for readability. Original sources remain in originalHomework and report. Source excerpts are separate from the annotation prose.</w:t>
      </w:r>
    </w:p>
    <w:p>
      <w:pPr>
        <w:pStyle w:val="Heading2"/>
      </w:pPr>
      <w:r>
        <w:t>Artefact 6 — Professional learning goals, feedback and reflection</w:t>
      </w:r>
    </w:p>
    <w:p>
      <w:pPr>
        <w:pStyle w:val="Heading3"/>
      </w:pPr>
      <w:r>
        <w:t>Source: TPA1-JiZhou-1.pdf, pages 23–24 — Goal 2</w:t>
      </w:r>
    </w:p>
    <w:p>
      <w:pPr>
        <w:pStyle w:val="SourceExtract"/>
      </w:pPr>
      <w:r>
        <w:t xml:space="preserve">I will strengthen my professional knowledge and skills in teaching phonics to effectively support students’ early literacy </w:t>
        <w:br/>
        <w:t xml:space="preserve">development. </w:t>
        <w:br/>
        <w:t xml:space="preserve"> </w:t>
        <w:br/>
        <w:t xml:space="preserve">- </w:t>
        <w:br/>
        <w:t xml:space="preserve">APST1.2 Demonstrate knowledge and understanding of research into how students learn and the </w:t>
        <w:br/>
        <w:t xml:space="preserve">implications of teaching. </w:t>
        <w:br/>
        <w:t xml:space="preserve">- </w:t>
        <w:br/>
        <w:t xml:space="preserve">APST2.1 Demonstrate knowledge and understanding of the concepts, substance and structure of the </w:t>
        <w:br/>
        <w:t xml:space="preserve">content and teaching strategies of the teaching area. </w:t>
        <w:br/>
        <w:t xml:space="preserve">- </w:t>
        <w:br/>
        <w:t xml:space="preserve">APST2.2 Organise content into an effective learning and teaching sequence  </w:t>
        <w:br/>
        <w:t xml:space="preserve">- </w:t>
        <w:br/>
        <w:t>APST2.5 Know and understand literacy and numeracy teaching strategies and their application in</w:t>
        <w:br/>
        <w:br/>
        <w:t xml:space="preserve">teaching areas. </w:t>
        <w:br/>
        <w:t xml:space="preserve">Strategies and Resources </w:t>
        <w:br/>
        <w:t xml:space="preserve">- </w:t>
        <w:br/>
        <w:t xml:space="preserve">I will attend some training on how professional teacher delivers phonics instruction, including the use of explicit </w:t>
        <w:br/>
        <w:t xml:space="preserve">and systematic teaching approaches. </w:t>
        <w:br/>
        <w:t xml:space="preserve">- </w:t>
        <w:br/>
        <w:t xml:space="preserve">I will deliver some phonics lessons in front of my mentor teacher and ask for feedback in order to refine my </w:t>
        <w:br/>
        <w:t xml:space="preserve">teaching practices. </w:t>
        <w:br/>
        <w:t xml:space="preserve">- </w:t>
        <w:br/>
        <w:t xml:space="preserve">I will use a range of resources such as phonics games, songs and visual supports to enhance students' engagement </w:t>
        <w:br/>
        <w:t xml:space="preserve">and understanding. </w:t>
        <w:br/>
        <w:t xml:space="preserve">Evidence </w:t>
        <w:br/>
        <w:t xml:space="preserve">- </w:t>
        <w:br/>
        <w:t xml:space="preserve">Feedback from my mentor teacher on my phonics teaching. </w:t>
        <w:br/>
        <w:t xml:space="preserve">- </w:t>
        <w:br/>
        <w:t xml:space="preserve">Data about progress in phonics and early literacy skills from student work samples. </w:t>
        <w:br/>
        <w:t xml:space="preserve">- </w:t>
        <w:br/>
        <w:t>Phonics lesson plans which present the use of explicit and systematic instruction.</w:t>
      </w:r>
    </w:p>
    <w:p>
      <w:pPr>
        <w:pStyle w:val="Heading3"/>
      </w:pPr>
      <w:r>
        <w:t>Supporting source: TPA4, page 7 — Mentor feedback and next steps</w:t>
      </w:r>
    </w:p>
    <w:p>
      <w:pPr>
        <w:pStyle w:val="SourceExtract"/>
      </w:pPr>
      <w:r>
        <w:t xml:space="preserve">My mentor provided positive feedback regarding the overall delivery of the lesson. She noted that </w:t>
        <w:br/>
        <w:t xml:space="preserve">students were highly engaged throughout the phonics session and that the lesson was well paced. </w:t>
        <w:br/>
        <w:t xml:space="preserve">She commented that I demonstrated strong content knowledge and confidence when delivering the </w:t>
        <w:br/>
        <w:t xml:space="preserve">phonics program, allowing the lesson to progress smoothly while providing appropriate opportunities </w:t>
        <w:br/>
        <w:t xml:space="preserve">for revision and consolidation of irregular words and newly introduced phonemes. (APST 3.3, 6.3) </w:t>
        <w:br/>
        <w:t xml:space="preserve">My mentor also highlighted several areas for further development. Firstly, she suggested proactively </w:t>
        <w:br/>
        <w:t xml:space="preserve">arranging student seating prior to the lesson to minimise distractions and separate students who may </w:t>
        <w:br/>
        <w:t xml:space="preserve">negatively influence one another’s learning. Secondly, she recommended incorporating more </w:t>
        <w:br/>
        <w:t xml:space="preserve">physical phonics cards and hands-on resources rather than relying primarily on PowerPoint slides, as </w:t>
        <w:br/>
        <w:t xml:space="preserve">this may further increase student engagement and participation. (APST 3.4, 4.3) </w:t>
        <w:br/>
        <w:t xml:space="preserve">In relation to behaviour management, my mentor encouraged me to explore strategies other than </w:t>
        <w:br/>
        <w:t xml:space="preserve">raising my voice when addressing off-task behaviour. She suggested using actions, movement </w:t>
        <w:br/>
        <w:t xml:space="preserve">patterns or attention signals to regain student focus, as well as lowering my voice to encourage </w:t>
        <w:br/>
        <w:t xml:space="preserve">students to listen more carefully. She also emphasised the importance of providing clear instructions </w:t>
        <w:br/>
        <w:t xml:space="preserve">before students begin any activity to ensure expectations are understood and transitions run </w:t>
        <w:br/>
        <w:t xml:space="preserve">smoothly. (APST 4.2, 4.3) </w:t>
        <w:br/>
        <w:t xml:space="preserve">Finally, my mentor acknowledged the progress I have made as an EAL teacher delivering phonics </w:t>
        <w:br/>
        <w:t xml:space="preserve">instruction. She noted that my phonics teaching was effective and well structured, while encouraging </w:t>
        <w:br/>
        <w:t xml:space="preserve">me to continue refining the pronunciation of a small number of phonemes to further strengthen my </w:t>
        <w:br/>
        <w:t xml:space="preserve">teaching practice. (APST 6.3) </w:t>
        <w:br/>
        <w:t xml:space="preserve"> </w:t>
        <w:br/>
        <w:t xml:space="preserve">Next Step </w:t>
        <w:br/>
        <w:t xml:space="preserve">As I continue developing my teaching practice, I aim to strengthen my behaviour management </w:t>
        <w:br/>
        <w:t xml:space="preserve">strategies by using a wider range of non-verbal cues and classroom routines to maintain student </w:t>
        <w:br/>
        <w:t xml:space="preserve">engagement. I also plan to provide more opportunities for students to self-correct during phonics </w:t>
        <w:br/>
        <w:t xml:space="preserve">activities through targeted questioning and discussion. Additionally, I will continue refining my </w:t>
        <w:br/>
        <w:t xml:space="preserve">questioning techniques and pronunciation of specific phonemes to further support student learning </w:t>
        <w:br/>
        <w:t>and participation (APST 3.5, 4.3, 6.3).</w:t>
      </w:r>
    </w:p>
    <w:p>
      <w:pPr>
        <w:pStyle w:val="Heading3"/>
      </w:pPr>
      <w:r>
        <w:t>Source: School Final Report — Professional learning</w:t>
      </w:r>
    </w:p>
    <w:p>
      <w:pPr>
        <w:pStyle w:val="SourceExtract"/>
      </w:pPr>
      <w:r>
        <w:t>Reflection and feedback was important for my professional development during this placement (APST 6.1, 6.2, 6.3). I spoke to my mentor teacher every day to share ideas on how well my lessons worked, student engagement, behaviour management and areas for improvement. Taking this feedback on board enabled me to enhance my lesson planning, better organise resources and to become more confident in leading whole class learning experiences.</w:t>
      </w:r>
    </w:p>
    <w:p>
      <w:pPr>
        <w:pStyle w:val="Heading3"/>
      </w:pPr>
      <w:r>
        <w:t>Source: School Final Report — Professional learning</w:t>
      </w:r>
    </w:p>
    <w:p>
      <w:pPr>
        <w:pStyle w:val="SourceExtract"/>
      </w:pPr>
      <w:r>
        <w:t>There were a number of teaching experiences which prompted a critical reflection of my practice and meaningful changes. For instance, when teaching phonological awareness, I knew that certain activities and instructions were not always effective in conveying the message. My mentor teacher's feedback gave me encouragement to make instructions more explicit, improve pacing of lessons and simplify instructions. My confidence in providing lessons, addressing learner needs as they occurred and making changes to enable successful learning outcomes increased as the placement went on (APST 6.1, 6.2).</w:t>
      </w:r>
    </w:p>
    <w:p>
      <w:r>
        <w:br w:type="page"/>
      </w:r>
    </w:p>
    <w:p>
      <w:pPr>
        <w:pStyle w:val="Heading2"/>
      </w:pPr>
      <w:r>
        <w:t>Artefact 7 — Community and ethical practice: supporting context</w:t>
      </w:r>
    </w:p>
    <w:p>
      <w:pPr>
        <w:pStyle w:val="Heading3"/>
      </w:pPr>
      <w:r>
        <w:t>Source: Child Care Final Report-Herb, section 1 — Community context</w:t>
      </w:r>
    </w:p>
    <w:p>
      <w:pPr>
        <w:pStyle w:val="SourceExtract"/>
      </w:pPr>
      <w:r>
        <w:t>As a community-based center , here are several advantages it enjoying. For example ,it is next to Oxford Aged Care Home . Therefore , almost every festival , center will invite aged care center to organize something or hold some events together ,which definitely help children to build their sympathy and empathy .What’s more , the community coach comes to center weekly to take children to the nearby libraries or national parks .They can learn the social rules and attain the practical experience in their real life. Additionally , acknowledging of Country to honor Aboriginal and Torres Strait People not only happens in center’s daily routine but also aboriginal people are invited to celebrate the RAP festival with children .</w:t>
      </w:r>
    </w:p>
    <w:p>
      <w:pPr>
        <w:pStyle w:val="Heading3"/>
      </w:pPr>
      <w:r>
        <w:t>Source: TPA2, page 2 — Confidentiality</w:t>
      </w:r>
    </w:p>
    <w:p>
      <w:pPr>
        <w:pStyle w:val="SourceExtract"/>
      </w:pPr>
      <w:r>
        <w:t xml:space="preserve">Pseudonyms </w:t>
        <w:br/>
        <w:t xml:space="preserve">are used to ensure confidentiality and ethical practice when referring to students in </w:t>
        <w:br/>
        <w:t xml:space="preserve">this context (APST 7.1).Therefore, in accordance with ethical and confidentiality </w:t>
        <w:br/>
        <w:t xml:space="preserve">requirements , students’ real names will not be used in my any assignments or </w:t>
        <w:br/>
        <w:t xml:space="preserve">documentation, and pictures that reveal students’ identities (faces or names)will not </w:t>
        <w:br/>
        <w:t>be exposed. Informed consent will be obtained from students’ parents or caregivers.</w:t>
      </w:r>
    </w:p>
    <w:p>
      <w:pPr>
        <w:pStyle w:val="Heading3"/>
      </w:pPr>
      <w:r>
        <w:t>Source: EDUC9107 Assignment 1 — 5. My Philosophy: Educator as Learner</w:t>
      </w:r>
    </w:p>
    <w:p>
      <w:pPr>
        <w:pStyle w:val="SourceExtract"/>
      </w:pPr>
      <w:r>
        <w:t>5. My Philosophy: Educator as Learner</w:t>
        <w:br/>
        <w:br/>
        <w:t>An important part of my teaching philosophy is seeing myself as an ongoing learner in Aboriginal education. My developing knowledge does not make me an authority or give me cultural knowledge that I can simply pass on to children. I need to continue learning from Aboriginal people and local communities and consider whose knowledge is being represented in my practice. Staines and Scarlet (2018) emphasise first-hand experiences and respectful, reciprocal relationships with Aboriginal people and knowledge holders. In practice, I would seek guidance from local Aboriginal educators and knowledge holders when planning culturally connected learning experiences, while continuing to reflect on my own assumptions. Building these relationships would be an ongoing part of my practice rather than something I consider only when planning a particular cultural activity.</w:t>
      </w:r>
    </w:p>
    <w:p>
      <w:pPr>
        <w:pStyle w:val="Heading3"/>
      </w:pPr>
      <w:r>
        <w:t>Source: EDUC9107 Assignment 1 — 7. Aboriginal Educator-Led Place-Based Learning</w:t>
      </w:r>
    </w:p>
    <w:p>
      <w:pPr>
        <w:pStyle w:val="SourceExtract"/>
      </w:pPr>
      <w:r>
        <w:t xml:space="preserve">7. Aboriginal Educator-Led Place-Based Learning </w:t>
        <w:br/>
        <w:br/>
        <w:t>A recent experience in my early childhood setting helped me see how this philosophy could work in practice. An Aboriginal educator visited our centre and took the children and educators on a walk through a local natural park. Along the way, the educator introduced plants as we came across them and explained some of their uses. For example, some could provide water, some were used to clean teeth, and others had a salty taste that could be used for flavouring. The children were invited to observe, touch, taste and collect appropriate plants with the educator.</w:t>
        <w:br/>
        <w:br/>
        <w:t>What stood out to me was that the knowledge came directly from an Aboriginal educator and was shared in the place where the plants were growing. The children listened, observed and participated, and I was learning alongside them. Kemarre Turner et al. (2023) describe learning on Country through walking, observing, listening and doing, with Land taking an active role in learning. I could see this in our experience because what we learned was shaped by the plants and places we encountered during the walk.</w:t>
        <w:br/>
        <w:br/>
        <w:t>Back at the centre, the children used the plants they had collected to make collages. As they recalled the walk and talked about the plants, there were natural opportunities for oral language, new vocabulary and description. Research on Australian bush kinder also shows how learning can develop through children’s direct exploration and interaction with natural environments (Speldewinde et al., 2023). The materials could also support numeracy as children compare and classify their shapes, sizes, quantities and patterns. Literacy and numeracy can therefore grow from the experience itself, while remaining connected to the place and cultural knowledge that gave the learning its meaning (Kemarre Turner et al., 2023).</w:t>
      </w:r>
    </w:p>
    <w:p>
      <w:pPr>
        <w:pStyle w:val="Heading3"/>
      </w:pPr>
      <w:r>
        <w:t>Source: EDUC9107 Assignment 1 — 8. EYLF v2.0 and Local Country/Community</w:t>
      </w:r>
    </w:p>
    <w:p>
      <w:pPr>
        <w:pStyle w:val="SourceExtract"/>
      </w:pPr>
      <w:r>
        <w:t xml:space="preserve">8. EYLF v2.0 and Local Country/Community </w:t>
        <w:br/>
        <w:br/>
        <w:t>The EYLF V2.0 provides a framework for bringing these ideas into my future practice. Its focus on respectful relationships, diversity and Aboriginal and Torres Strait Islander perspectives supports the kind of locally responsive practice I want to develop (Australian Government Department of Education, 2022). This requires learning about the Country and Aboriginal community where I teach and building relationships with local knowledge holders. For example, I would not take the plant knowledge shared during this experience and assume that it could be used in the same way in another community. What is appropriate will depend on the local Country, knowledge and relationships. The EYLF can guide my practice, but working respectfully with the local community will shape how these principles are actually put into practice.</w:t>
      </w:r>
    </w:p>
    <w:p>
      <w:pPr>
        <w:pStyle w:val="Heading3"/>
      </w:pPr>
      <w:r>
        <w:t>Ethical framework used for retrospective reflection</w:t>
      </w:r>
    </w:p>
    <w:p>
      <w:r>
        <w:t>Early Childhood Australia Code of Ethics, official brochure: https://www.earlychildhoodaustralia.org.au/wp-content/uploads/2026/03/ECA-COE-Brochure-2016.pdf. The annotation paraphrases commitments concerning community-informed practice, professional competence and confidentiality. This locator records the framework checked during revision; the portfolio reference list remains for the author to prepare.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Evidence Set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C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C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C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4C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xtract">
    <w:name w:val="Source Extract"/>
    <w:basedOn w:val="Normal"/>
    <w:pPr>
      <w:ind w:left="216"/>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