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E3CC3" w14:textId="6447AEE3" w:rsidR="001E4E3A" w:rsidRDefault="00000000">
      <w:pPr>
        <w:pStyle w:val="Heading2"/>
      </w:pPr>
      <w:bookmarkStart w:id="0" w:name="Xcd26ef496400cde46fbb8afaa263319ab757473"/>
      <w:r>
        <w:t xml:space="preserve">Vehicle Price Evaluation — Domain Research </w:t>
      </w:r>
      <w:r w:rsidR="00527E3A">
        <w:t>Document</w:t>
      </w:r>
      <w:r>
        <w:t xml:space="preserve"> (Revised)</w:t>
      </w:r>
    </w:p>
    <w:p w14:paraId="2FDDE367" w14:textId="77777777" w:rsidR="001E4E3A" w:rsidRDefault="00000000">
      <w:pPr>
        <w:pStyle w:val="Heading3"/>
      </w:pPr>
      <w:bookmarkStart w:id="1" w:name="introduction"/>
      <w:r>
        <w:t>1. Introduction</w:t>
      </w:r>
    </w:p>
    <w:p w14:paraId="6E69A2BC" w14:textId="46306F6D" w:rsidR="001E4E3A" w:rsidRDefault="00000000">
      <w:pPr>
        <w:pStyle w:val="FirstParagraph"/>
      </w:pPr>
      <w:r>
        <w:t xml:space="preserve">The </w:t>
      </w:r>
      <w:r>
        <w:rPr>
          <w:i/>
          <w:iCs/>
        </w:rPr>
        <w:t>Vehicle Price Evaluation</w:t>
      </w:r>
      <w:r>
        <w:t xml:space="preserve"> project aims to develop an AI tool capable of accurately predicting vehicle prices</w:t>
      </w:r>
      <w:r w:rsidR="00AA772B">
        <w:t xml:space="preserve"> in Bulgaria</w:t>
      </w:r>
      <w:r>
        <w:t xml:space="preserve"> based on measurable and contextual factors. Vehicle pricing is influenced by a wide range of variables, including physical attributes</w:t>
      </w:r>
      <w:r w:rsidR="00505E33">
        <w:t xml:space="preserve">, </w:t>
      </w:r>
      <w:r>
        <w:t>brand reputation and external factors like economic conditions and market trends. Understanding these factors is critical not only for consumers and dealerships but also for data scientists aiming to design robust AI models. This research integrates domain knowledge from the automotive industry with data analysis and AI modeling principles to identify and quantify the most relevant predictors of vehicle value.</w:t>
      </w:r>
    </w:p>
    <w:p w14:paraId="6594E89A" w14:textId="77777777" w:rsidR="001E4E3A" w:rsidRDefault="00000000">
      <w:pPr>
        <w:pStyle w:val="Heading3"/>
      </w:pPr>
      <w:bookmarkStart w:id="2" w:name="research-question-and-sub-questions"/>
      <w:bookmarkEnd w:id="1"/>
      <w:r>
        <w:t>2. Research Question and Sub-Questions</w:t>
      </w:r>
    </w:p>
    <w:p w14:paraId="1CAC41C6" w14:textId="77777777" w:rsidR="001E4E3A" w:rsidRDefault="00000000">
      <w:pPr>
        <w:pStyle w:val="FirstParagraph"/>
      </w:pPr>
      <w:r>
        <w:rPr>
          <w:b/>
          <w:bCs/>
        </w:rPr>
        <w:t>Main Research Question:</w:t>
      </w:r>
      <w:r>
        <w:br/>
        <w:t>How can vehicle price determinants be identified and quantified to design an AI model capable of accurately predicting market value?</w:t>
      </w:r>
    </w:p>
    <w:p w14:paraId="3A2E8204" w14:textId="77777777" w:rsidR="00AA772B" w:rsidRDefault="00000000">
      <w:pPr>
        <w:pStyle w:val="BodyText"/>
      </w:pPr>
      <w:r>
        <w:rPr>
          <w:b/>
          <w:bCs/>
        </w:rPr>
        <w:t>Sub-Questions:</w:t>
      </w:r>
      <w:r>
        <w:t xml:space="preserve"> </w:t>
      </w:r>
    </w:p>
    <w:p w14:paraId="379C013A" w14:textId="76E7EAFA" w:rsidR="00AA772B" w:rsidRDefault="00000000">
      <w:pPr>
        <w:pStyle w:val="BodyText"/>
      </w:pPr>
      <w:r>
        <w:t xml:space="preserve">1. What physical and technical attributes most strongly influence vehicle price (e.g., mileage, engine size, condition)? </w:t>
      </w:r>
    </w:p>
    <w:p w14:paraId="6E298355" w14:textId="77777777" w:rsidR="00AA772B" w:rsidRDefault="00000000">
      <w:pPr>
        <w:pStyle w:val="BodyText"/>
      </w:pPr>
      <w:r>
        <w:t xml:space="preserve">2. How do market and economic factors (e.g., fuel prices, inflation, brand value) affect vehicle pricing dynamics? </w:t>
      </w:r>
    </w:p>
    <w:p w14:paraId="2567CB28" w14:textId="77777777" w:rsidR="00AA772B" w:rsidRDefault="00000000">
      <w:pPr>
        <w:pStyle w:val="BodyText"/>
      </w:pPr>
      <w:r>
        <w:t xml:space="preserve">3. How can these insights be translated into measurable indicators suitable for AI modeling? </w:t>
      </w:r>
    </w:p>
    <w:p w14:paraId="17641D01" w14:textId="49A04AF1" w:rsidR="001E4E3A" w:rsidRDefault="00000000">
      <w:pPr>
        <w:pStyle w:val="BodyText"/>
      </w:pPr>
      <w:r>
        <w:t>4. What ethical and legal considerations (e.g., GDPR) must be addressed when collecting and using vehicle data for AI development?</w:t>
      </w:r>
    </w:p>
    <w:p w14:paraId="76B95B31" w14:textId="77777777" w:rsidR="001E4E3A" w:rsidRDefault="00000000">
      <w:pPr>
        <w:pStyle w:val="Heading3"/>
      </w:pPr>
      <w:bookmarkStart w:id="3" w:name="objectives"/>
      <w:bookmarkEnd w:id="2"/>
      <w:r>
        <w:t>3. Objectives</w:t>
      </w:r>
    </w:p>
    <w:p w14:paraId="3FEC70F8" w14:textId="77777777" w:rsidR="001E4E3A" w:rsidRDefault="00000000">
      <w:pPr>
        <w:pStyle w:val="Compact"/>
        <w:numPr>
          <w:ilvl w:val="0"/>
          <w:numId w:val="2"/>
        </w:numPr>
      </w:pPr>
      <w:r>
        <w:t>Identify and analyze the physical, technical, and contextual variables that affect vehicle prices.</w:t>
      </w:r>
    </w:p>
    <w:p w14:paraId="6CB6B1D5" w14:textId="77777777" w:rsidR="001E4E3A" w:rsidRDefault="00000000">
      <w:pPr>
        <w:pStyle w:val="Compact"/>
        <w:numPr>
          <w:ilvl w:val="0"/>
          <w:numId w:val="2"/>
        </w:numPr>
      </w:pPr>
      <w:r>
        <w:t>Examine how external factors and consumer trends influence vehicle value over time.</w:t>
      </w:r>
    </w:p>
    <w:p w14:paraId="37D12D1E" w14:textId="77777777" w:rsidR="001E4E3A" w:rsidRDefault="00000000">
      <w:pPr>
        <w:pStyle w:val="Compact"/>
        <w:numPr>
          <w:ilvl w:val="0"/>
          <w:numId w:val="2"/>
        </w:numPr>
      </w:pPr>
      <w:r>
        <w:t>Translate research insights into quantifiable and standardized indicators for AI model input.</w:t>
      </w:r>
    </w:p>
    <w:p w14:paraId="6EBCB196" w14:textId="77777777" w:rsidR="001E4E3A" w:rsidRDefault="00000000">
      <w:pPr>
        <w:pStyle w:val="Compact"/>
        <w:numPr>
          <w:ilvl w:val="0"/>
          <w:numId w:val="2"/>
        </w:numPr>
      </w:pPr>
      <w:r>
        <w:t>Ensure data collection and analysis comply with ethical and legal standards.</w:t>
      </w:r>
    </w:p>
    <w:p w14:paraId="57F5B197" w14:textId="77777777" w:rsidR="001E4E3A" w:rsidRDefault="00000000">
      <w:pPr>
        <w:pStyle w:val="Heading3"/>
      </w:pPr>
      <w:bookmarkStart w:id="4" w:name="research-methodology"/>
      <w:bookmarkEnd w:id="3"/>
      <w:r>
        <w:t>4. Research Methodology</w:t>
      </w:r>
    </w:p>
    <w:p w14:paraId="07AACF7E" w14:textId="77777777" w:rsidR="001E4E3A" w:rsidRDefault="00000000">
      <w:pPr>
        <w:pStyle w:val="FirstParagraph"/>
      </w:pPr>
      <w:r>
        <w:t>The research follows a mixed-methods approach combining literature review, industry consultation, and data analysis.</w:t>
      </w:r>
    </w:p>
    <w:p w14:paraId="3EE6BBE3" w14:textId="77777777" w:rsidR="001E4E3A" w:rsidRDefault="00000000">
      <w:pPr>
        <w:pStyle w:val="BodyText"/>
      </w:pPr>
      <w:r>
        <w:rPr>
          <w:b/>
          <w:bCs/>
        </w:rPr>
        <w:lastRenderedPageBreak/>
        <w:t>Literature Review:</w:t>
      </w:r>
      <w:r>
        <w:br/>
        <w:t>Peer-reviewed studies (e.g., Klein &amp; Smart, 2019; Soni et al., 2021) and industry reports (McKinsey, 2023; Statista, 2024) were analyzed to identify commonly used vehicle features in price prediction models. These studies provide empirical evidence on factors influencing depreciation, consumer preferences, and market volatility.</w:t>
      </w:r>
    </w:p>
    <w:p w14:paraId="34C2C643" w14:textId="77777777" w:rsidR="001E4E3A" w:rsidRDefault="00000000">
      <w:pPr>
        <w:pStyle w:val="BodyText"/>
      </w:pPr>
      <w:r>
        <w:rPr>
          <w:b/>
          <w:bCs/>
        </w:rPr>
        <w:t>Expert Input:</w:t>
      </w:r>
      <w:r>
        <w:br/>
        <w:t>Where possible, insights from automotive professionals were considered to validate theoretical findings and contextualize them within real-world pricing practices. When direct consultation was not possible, findings are framed as ideal scenarios that reflect established industry practices.</w:t>
      </w:r>
    </w:p>
    <w:p w14:paraId="2F3CC72A" w14:textId="77777777" w:rsidR="001E4E3A" w:rsidRDefault="00000000">
      <w:pPr>
        <w:pStyle w:val="BodyText"/>
      </w:pPr>
      <w:r>
        <w:rPr>
          <w:b/>
          <w:bCs/>
        </w:rPr>
        <w:t>Data Analysis:</w:t>
      </w:r>
      <w:r>
        <w:br/>
        <w:t>Historical vehicle pricing datasets will be examined to identify correlations between key variables (e.g., mileage, age, brand, fuel type) and price. Derived features such as mileage per year and depreciation rate will be computed to capture long-term trends.</w:t>
      </w:r>
    </w:p>
    <w:p w14:paraId="49B17365" w14:textId="77777777" w:rsidR="001E4E3A" w:rsidRDefault="00000000">
      <w:pPr>
        <w:pStyle w:val="Heading3"/>
      </w:pPr>
      <w:bookmarkStart w:id="5" w:name="X193922eb89ca9812f25307612bcfcf96ef583d3"/>
      <w:bookmarkEnd w:id="4"/>
      <w:r>
        <w:t>5. Scientific Background: Vehicle Pricing Dynamics</w:t>
      </w:r>
    </w:p>
    <w:p w14:paraId="37A4BB10" w14:textId="77777777" w:rsidR="001E4E3A" w:rsidRDefault="00000000">
      <w:pPr>
        <w:pStyle w:val="Heading4"/>
      </w:pPr>
      <w:bookmarkStart w:id="6" w:name="physical-and-technical-attributes"/>
      <w:r>
        <w:t>5.1 Physical and Technical Attributes</w:t>
      </w:r>
    </w:p>
    <w:p w14:paraId="45A938B1" w14:textId="77777777" w:rsidR="001E4E3A" w:rsidRDefault="00000000">
      <w:pPr>
        <w:pStyle w:val="FirstParagraph"/>
      </w:pPr>
      <w:r>
        <w:rPr>
          <w:b/>
          <w:bCs/>
        </w:rPr>
        <w:t>Mileage:</w:t>
      </w:r>
      <w:r>
        <w:br/>
        <w:t>Higher mileage generally reduces vehicle value, reflecting greater wear and tear. However, the depreciation rate is non-linear—for example, vehicles with extremely high reliability ratings (e.g., Toyota Corolla) may retain more value than expected at higher mileage levels (Statista, 2024). This relationship provides a measurable and interpretable variable for AI models.</w:t>
      </w:r>
    </w:p>
    <w:p w14:paraId="07F0BD04" w14:textId="77777777" w:rsidR="001E4E3A" w:rsidRDefault="00000000">
      <w:pPr>
        <w:pStyle w:val="BodyText"/>
      </w:pPr>
      <w:r>
        <w:rPr>
          <w:b/>
          <w:bCs/>
        </w:rPr>
        <w:t>Engine Size and Power:</w:t>
      </w:r>
      <w:r>
        <w:br/>
        <w:t>Larger engines often increase base price but may reduce resale value due to fuel inefficiency. This trade-off must be modeled in AI tools as a context-dependent variable linked to consumer preferences and fuel price trends (McKinsey, 2023).</w:t>
      </w:r>
    </w:p>
    <w:p w14:paraId="398FE658" w14:textId="77777777" w:rsidR="001E4E3A" w:rsidRDefault="00000000">
      <w:pPr>
        <w:pStyle w:val="BodyText"/>
      </w:pPr>
      <w:r>
        <w:rPr>
          <w:b/>
          <w:bCs/>
        </w:rPr>
        <w:t>Condition and Age:</w:t>
      </w:r>
      <w:r>
        <w:br/>
        <w:t>Well-maintained vehicles command higher prices, while accident or damage history significantly lowers value. The vehicle’s age also impacts depreciation but interacts with brand reputation and market demand—classic cars, for instance, may appreciate over time.</w:t>
      </w:r>
    </w:p>
    <w:p w14:paraId="60849808" w14:textId="77777777" w:rsidR="001E4E3A" w:rsidRDefault="00000000">
      <w:pPr>
        <w:pStyle w:val="Heading4"/>
      </w:pPr>
      <w:bookmarkStart w:id="7" w:name="brand-and-model-influence"/>
      <w:bookmarkEnd w:id="6"/>
      <w:r>
        <w:t>5.2 Brand and Model Influence</w:t>
      </w:r>
    </w:p>
    <w:p w14:paraId="59C9517B" w14:textId="77777777" w:rsidR="001E4E3A" w:rsidRDefault="00000000">
      <w:pPr>
        <w:pStyle w:val="FirstParagraph"/>
      </w:pPr>
      <w:r>
        <w:t>Luxury brands such as BMW and Mercedes typically retain value better due to brand equity, perceived reliability, and demand consistency (Klein &amp; Smart, 2019). Popular models also experience less volatility, meaning the brand-model combination should be encoded as a categorical variable in AI design to preserve relational patterns.</w:t>
      </w:r>
    </w:p>
    <w:p w14:paraId="1B47CF13" w14:textId="77777777" w:rsidR="001E4E3A" w:rsidRDefault="00000000">
      <w:pPr>
        <w:pStyle w:val="Heading4"/>
      </w:pPr>
      <w:bookmarkStart w:id="8" w:name="market-and-economic-conditions"/>
      <w:bookmarkEnd w:id="7"/>
      <w:r>
        <w:lastRenderedPageBreak/>
        <w:t>5.3 Market and Economic Conditions</w:t>
      </w:r>
    </w:p>
    <w:p w14:paraId="2CDFDB41" w14:textId="77777777" w:rsidR="001E4E3A" w:rsidRDefault="00000000">
      <w:pPr>
        <w:pStyle w:val="FirstParagraph"/>
      </w:pPr>
      <w:r>
        <w:t>Macroeconomic factors like inflation and fuel prices can cause temporary fluctuations in vehicle value. For example, during fuel price surges, smaller and hybrid vehicles tend to hold value better than large SUVs. Similarly, government incentives for electric vehicles directly raise their effective resale value (McKinsey, 2023). These contextual variables can be incorporated into AI models through time-series features or external data feeds.</w:t>
      </w:r>
    </w:p>
    <w:p w14:paraId="22EB0DCE" w14:textId="77777777" w:rsidR="001E4E3A" w:rsidRDefault="00000000">
      <w:pPr>
        <w:pStyle w:val="Heading3"/>
      </w:pPr>
      <w:bookmarkStart w:id="9" w:name="synthesis-and-discussion"/>
      <w:bookmarkEnd w:id="5"/>
      <w:bookmarkEnd w:id="8"/>
      <w:r>
        <w:t>6. Synthesis and Discussion</w:t>
      </w:r>
    </w:p>
    <w:p w14:paraId="2E7D4C5D" w14:textId="77777777" w:rsidR="001E4E3A" w:rsidRDefault="00000000">
      <w:pPr>
        <w:pStyle w:val="FirstParagraph"/>
      </w:pPr>
      <w:r>
        <w:t>Vehicle prices are shaped by an interplay of physical attributes, consumer sentiment, and broader economic factors. This interconnectedness implies that purely technical data (e.g., mileage or horsepower) cannot fully explain price variation. Instead, the model must capture both objective and behavioral dimensions.</w:t>
      </w:r>
    </w:p>
    <w:p w14:paraId="17E74BED" w14:textId="77777777" w:rsidR="001E4E3A" w:rsidRDefault="00000000">
      <w:pPr>
        <w:pStyle w:val="BodyText"/>
      </w:pPr>
      <w:r>
        <w:rPr>
          <w:b/>
          <w:bCs/>
        </w:rPr>
        <w:t>Connecting Domain Understanding and AI:</w:t>
      </w:r>
      <w:r>
        <w:br/>
        <w:t>For instance, understanding that mileage per year reflects vehicle usage intensity allows the AI model to weight this variable accordingly. Similarly, recognizing that brand equity stabilizes resale prices informs the design of categorical encoding and feature weighting. Each domain insight thus directly shapes the AI model’s architecture and data preprocessing strategy.</w:t>
      </w:r>
    </w:p>
    <w:p w14:paraId="1F588928" w14:textId="77777777" w:rsidR="001E4E3A" w:rsidRDefault="00000000">
      <w:pPr>
        <w:pStyle w:val="Heading3"/>
      </w:pPr>
      <w:bookmarkStart w:id="10" w:name="implications-for-ai-model-design"/>
      <w:bookmarkEnd w:id="9"/>
      <w:r>
        <w:t>7. Implications for AI Model Design</w:t>
      </w:r>
    </w:p>
    <w:tbl>
      <w:tblPr>
        <w:tblStyle w:val="Table"/>
        <w:tblW w:w="5000" w:type="pct"/>
        <w:tblLayout w:type="fixed"/>
        <w:tblLook w:val="0020" w:firstRow="1" w:lastRow="0" w:firstColumn="0" w:lastColumn="0" w:noHBand="0" w:noVBand="0"/>
      </w:tblPr>
      <w:tblGrid>
        <w:gridCol w:w="2541"/>
        <w:gridCol w:w="3127"/>
        <w:gridCol w:w="3908"/>
      </w:tblGrid>
      <w:tr w:rsidR="001E4E3A" w14:paraId="1EF2E539" w14:textId="77777777" w:rsidTr="001E4E3A">
        <w:trPr>
          <w:cnfStyle w:val="100000000000" w:firstRow="1" w:lastRow="0" w:firstColumn="0" w:lastColumn="0" w:oddVBand="0" w:evenVBand="0" w:oddHBand="0" w:evenHBand="0" w:firstRowFirstColumn="0" w:firstRowLastColumn="0" w:lastRowFirstColumn="0" w:lastRowLastColumn="0"/>
          <w:tblHeader/>
        </w:trPr>
        <w:tc>
          <w:tcPr>
            <w:tcW w:w="2101" w:type="dxa"/>
          </w:tcPr>
          <w:p w14:paraId="22929701" w14:textId="77777777" w:rsidR="001E4E3A" w:rsidRDefault="00000000">
            <w:pPr>
              <w:pStyle w:val="Compact"/>
            </w:pPr>
            <w:r>
              <w:t>Focus Area</w:t>
            </w:r>
          </w:p>
        </w:tc>
        <w:tc>
          <w:tcPr>
            <w:tcW w:w="2586" w:type="dxa"/>
          </w:tcPr>
          <w:p w14:paraId="6CB7C22D" w14:textId="77777777" w:rsidR="001E4E3A" w:rsidRDefault="00000000">
            <w:pPr>
              <w:pStyle w:val="Compact"/>
            </w:pPr>
            <w:r>
              <w:t>Research Basis</w:t>
            </w:r>
          </w:p>
        </w:tc>
        <w:tc>
          <w:tcPr>
            <w:tcW w:w="3232" w:type="dxa"/>
          </w:tcPr>
          <w:p w14:paraId="60A116C1" w14:textId="77777777" w:rsidR="001E4E3A" w:rsidRDefault="00000000">
            <w:pPr>
              <w:pStyle w:val="Compact"/>
            </w:pPr>
            <w:r>
              <w:t>Design Implication</w:t>
            </w:r>
          </w:p>
        </w:tc>
      </w:tr>
      <w:tr w:rsidR="001E4E3A" w14:paraId="68D2FCBC" w14:textId="77777777">
        <w:tc>
          <w:tcPr>
            <w:tcW w:w="2101" w:type="dxa"/>
          </w:tcPr>
          <w:p w14:paraId="67507FE4" w14:textId="77777777" w:rsidR="001E4E3A" w:rsidRDefault="00000000">
            <w:pPr>
              <w:pStyle w:val="Compact"/>
            </w:pPr>
            <w:r>
              <w:t>Mileage</w:t>
            </w:r>
          </w:p>
        </w:tc>
        <w:tc>
          <w:tcPr>
            <w:tcW w:w="2586" w:type="dxa"/>
          </w:tcPr>
          <w:p w14:paraId="164732E9" w14:textId="77777777" w:rsidR="001E4E3A" w:rsidRDefault="00000000">
            <w:pPr>
              <w:pStyle w:val="Compact"/>
            </w:pPr>
            <w:r>
              <w:t>High mileage reduces value but non-linearly</w:t>
            </w:r>
          </w:p>
        </w:tc>
        <w:tc>
          <w:tcPr>
            <w:tcW w:w="3232" w:type="dxa"/>
          </w:tcPr>
          <w:p w14:paraId="4478C965" w14:textId="77777777" w:rsidR="001E4E3A" w:rsidRDefault="00000000">
            <w:pPr>
              <w:pStyle w:val="Compact"/>
            </w:pPr>
            <w:r>
              <w:t>Encode as numeric; apply non-linear transformations (e.g., logarithmic)</w:t>
            </w:r>
          </w:p>
        </w:tc>
      </w:tr>
      <w:tr w:rsidR="001E4E3A" w14:paraId="27007A9E" w14:textId="77777777">
        <w:tc>
          <w:tcPr>
            <w:tcW w:w="2101" w:type="dxa"/>
          </w:tcPr>
          <w:p w14:paraId="0136985C" w14:textId="77777777" w:rsidR="001E4E3A" w:rsidRDefault="00000000">
            <w:pPr>
              <w:pStyle w:val="Compact"/>
            </w:pPr>
            <w:r>
              <w:t>Age</w:t>
            </w:r>
          </w:p>
        </w:tc>
        <w:tc>
          <w:tcPr>
            <w:tcW w:w="2586" w:type="dxa"/>
          </w:tcPr>
          <w:p w14:paraId="267FAFA8" w14:textId="77777777" w:rsidR="001E4E3A" w:rsidRDefault="00000000">
            <w:pPr>
              <w:pStyle w:val="Compact"/>
            </w:pPr>
            <w:r>
              <w:t>Depreciation accelerates with age</w:t>
            </w:r>
          </w:p>
        </w:tc>
        <w:tc>
          <w:tcPr>
            <w:tcW w:w="3232" w:type="dxa"/>
          </w:tcPr>
          <w:p w14:paraId="0B827649" w14:textId="77777777" w:rsidR="001E4E3A" w:rsidRDefault="00000000">
            <w:pPr>
              <w:pStyle w:val="Compact"/>
            </w:pPr>
            <w:r>
              <w:t>Include as derived feature (current year - manufacture year)</w:t>
            </w:r>
          </w:p>
        </w:tc>
      </w:tr>
      <w:tr w:rsidR="001E4E3A" w14:paraId="468A9AF8" w14:textId="77777777">
        <w:tc>
          <w:tcPr>
            <w:tcW w:w="2101" w:type="dxa"/>
          </w:tcPr>
          <w:p w14:paraId="586CC20C" w14:textId="77777777" w:rsidR="001E4E3A" w:rsidRDefault="00000000">
            <w:pPr>
              <w:pStyle w:val="Compact"/>
            </w:pPr>
            <w:r>
              <w:t>Brand/Model</w:t>
            </w:r>
          </w:p>
        </w:tc>
        <w:tc>
          <w:tcPr>
            <w:tcW w:w="2586" w:type="dxa"/>
          </w:tcPr>
          <w:p w14:paraId="5F5D22DB" w14:textId="77777777" w:rsidR="001E4E3A" w:rsidRDefault="00000000">
            <w:pPr>
              <w:pStyle w:val="Compact"/>
            </w:pPr>
            <w:r>
              <w:t>Brand reputation affects resale stability</w:t>
            </w:r>
          </w:p>
        </w:tc>
        <w:tc>
          <w:tcPr>
            <w:tcW w:w="3232" w:type="dxa"/>
          </w:tcPr>
          <w:p w14:paraId="130F21A6" w14:textId="77777777" w:rsidR="001E4E3A" w:rsidRDefault="00000000">
            <w:pPr>
              <w:pStyle w:val="Compact"/>
            </w:pPr>
            <w:r>
              <w:t>Encode categorically and consider weighting by average depreciation rate</w:t>
            </w:r>
          </w:p>
        </w:tc>
      </w:tr>
      <w:tr w:rsidR="001E4E3A" w14:paraId="3A27642A" w14:textId="77777777">
        <w:tc>
          <w:tcPr>
            <w:tcW w:w="2101" w:type="dxa"/>
          </w:tcPr>
          <w:p w14:paraId="4E6808BD" w14:textId="77777777" w:rsidR="001E4E3A" w:rsidRDefault="00000000">
            <w:pPr>
              <w:pStyle w:val="Compact"/>
            </w:pPr>
            <w:r>
              <w:t>Fuel Type</w:t>
            </w:r>
          </w:p>
        </w:tc>
        <w:tc>
          <w:tcPr>
            <w:tcW w:w="2586" w:type="dxa"/>
          </w:tcPr>
          <w:p w14:paraId="0824230A" w14:textId="77777777" w:rsidR="001E4E3A" w:rsidRDefault="00000000">
            <w:pPr>
              <w:pStyle w:val="Compact"/>
            </w:pPr>
            <w:r>
              <w:t>EVs and hybrids increasing in demand</w:t>
            </w:r>
          </w:p>
        </w:tc>
        <w:tc>
          <w:tcPr>
            <w:tcW w:w="3232" w:type="dxa"/>
          </w:tcPr>
          <w:p w14:paraId="6D60EB15" w14:textId="77777777" w:rsidR="001E4E3A" w:rsidRDefault="00000000">
            <w:pPr>
              <w:pStyle w:val="Compact"/>
            </w:pPr>
            <w:r>
              <w:t>Include as categorical feature and test market trend correlation</w:t>
            </w:r>
          </w:p>
        </w:tc>
      </w:tr>
      <w:tr w:rsidR="001E4E3A" w14:paraId="3786F6EA" w14:textId="77777777">
        <w:tc>
          <w:tcPr>
            <w:tcW w:w="2101" w:type="dxa"/>
          </w:tcPr>
          <w:p w14:paraId="143A6984" w14:textId="77777777" w:rsidR="001E4E3A" w:rsidRDefault="00000000">
            <w:pPr>
              <w:pStyle w:val="Compact"/>
            </w:pPr>
            <w:r>
              <w:t>Market Factors</w:t>
            </w:r>
          </w:p>
        </w:tc>
        <w:tc>
          <w:tcPr>
            <w:tcW w:w="2586" w:type="dxa"/>
          </w:tcPr>
          <w:p w14:paraId="1FEEA0A8" w14:textId="77777777" w:rsidR="001E4E3A" w:rsidRDefault="00000000">
            <w:pPr>
              <w:pStyle w:val="Compact"/>
            </w:pPr>
            <w:r>
              <w:t>Inflation, incentives, fuel prices impact value</w:t>
            </w:r>
          </w:p>
        </w:tc>
        <w:tc>
          <w:tcPr>
            <w:tcW w:w="3232" w:type="dxa"/>
          </w:tcPr>
          <w:p w14:paraId="20960D3F" w14:textId="19E97B93" w:rsidR="001E4E3A" w:rsidRDefault="00000000">
            <w:pPr>
              <w:pStyle w:val="Compact"/>
            </w:pPr>
            <w:r>
              <w:t>Integrate external tie-based datasets for contextual modeling</w:t>
            </w:r>
          </w:p>
        </w:tc>
      </w:tr>
    </w:tbl>
    <w:p w14:paraId="4FBB3E5B" w14:textId="77777777" w:rsidR="001E4E3A" w:rsidRDefault="00000000">
      <w:pPr>
        <w:pStyle w:val="BodyText"/>
      </w:pPr>
      <w:r>
        <w:rPr>
          <w:b/>
          <w:bCs/>
        </w:rPr>
        <w:t>So that:</w:t>
      </w:r>
      <w:r>
        <w:t xml:space="preserve"> the model not only predicts current market price but also adapts to evolving trends, providing more accurate and future-proof evaluations.</w:t>
      </w:r>
    </w:p>
    <w:p w14:paraId="5D54109C" w14:textId="77777777" w:rsidR="001E4E3A" w:rsidRDefault="00000000">
      <w:pPr>
        <w:pStyle w:val="Heading3"/>
      </w:pPr>
      <w:bookmarkStart w:id="11" w:name="data-ethics-and-gdpr-compliance"/>
      <w:bookmarkEnd w:id="10"/>
      <w:r>
        <w:t>8. Data Ethics and GDPR Compliance</w:t>
      </w:r>
    </w:p>
    <w:p w14:paraId="77E88737" w14:textId="77777777" w:rsidR="00AA772B" w:rsidRDefault="00000000">
      <w:pPr>
        <w:pStyle w:val="FirstParagraph"/>
      </w:pPr>
      <w:r>
        <w:t xml:space="preserve">Complying with GDPR and ethical guidelines ensures the responsible use of data. In this project context, it means: </w:t>
      </w:r>
    </w:p>
    <w:p w14:paraId="60356DFA" w14:textId="77777777" w:rsidR="00AA772B" w:rsidRDefault="00000000" w:rsidP="00AA772B">
      <w:pPr>
        <w:pStyle w:val="FirstParagraph"/>
        <w:numPr>
          <w:ilvl w:val="0"/>
          <w:numId w:val="4"/>
        </w:numPr>
      </w:pPr>
      <w:r>
        <w:lastRenderedPageBreak/>
        <w:t>Collecting only publicly available or anonymized vehicle data.</w:t>
      </w:r>
      <w:r w:rsidR="00AA772B">
        <w:t xml:space="preserve"> </w:t>
      </w:r>
    </w:p>
    <w:p w14:paraId="19409911" w14:textId="77777777" w:rsidR="00AA772B" w:rsidRDefault="00000000" w:rsidP="00AA772B">
      <w:pPr>
        <w:pStyle w:val="FirstParagraph"/>
        <w:numPr>
          <w:ilvl w:val="0"/>
          <w:numId w:val="4"/>
        </w:numPr>
      </w:pPr>
      <w:r>
        <w:t xml:space="preserve">Excluding any personally identifiable information (e.g., owner names or registration numbers). </w:t>
      </w:r>
    </w:p>
    <w:p w14:paraId="5E102F57" w14:textId="2D149D41" w:rsidR="00AA772B" w:rsidRDefault="00000000" w:rsidP="00AA772B">
      <w:pPr>
        <w:pStyle w:val="FirstParagraph"/>
        <w:numPr>
          <w:ilvl w:val="0"/>
          <w:numId w:val="4"/>
        </w:numPr>
      </w:pPr>
      <w:r>
        <w:t xml:space="preserve">Clearly documenting data sources and consent conditions. </w:t>
      </w:r>
      <w:r w:rsidR="00AA772B">
        <w:t>–</w:t>
      </w:r>
      <w:r>
        <w:t xml:space="preserve"> </w:t>
      </w:r>
    </w:p>
    <w:p w14:paraId="7D0E0B8E" w14:textId="5E3CD04E" w:rsidR="001E4E3A" w:rsidRDefault="00000000" w:rsidP="00AA772B">
      <w:pPr>
        <w:pStyle w:val="FirstParagraph"/>
        <w:numPr>
          <w:ilvl w:val="0"/>
          <w:numId w:val="4"/>
        </w:numPr>
      </w:pPr>
      <w:r>
        <w:t>Implementing data quality checks to prevent bias (e.g., filtering incomplete or outlier records).</w:t>
      </w:r>
    </w:p>
    <w:p w14:paraId="1EDE5374" w14:textId="77777777" w:rsidR="001E4E3A" w:rsidRDefault="00000000">
      <w:pPr>
        <w:pStyle w:val="BodyText"/>
      </w:pPr>
      <w:r>
        <w:t>These steps ensure transparency, accountability, and fairness in the AI pipeline.</w:t>
      </w:r>
    </w:p>
    <w:p w14:paraId="52344F33" w14:textId="77777777" w:rsidR="001E4E3A" w:rsidRDefault="00000000">
      <w:pPr>
        <w:pStyle w:val="Heading3"/>
      </w:pPr>
      <w:bookmarkStart w:id="12" w:name="connection-to-ai-methodology"/>
      <w:bookmarkEnd w:id="11"/>
      <w:r>
        <w:t>9. Connection to AI Methodology</w:t>
      </w:r>
    </w:p>
    <w:p w14:paraId="3BCF2AFF" w14:textId="77777777" w:rsidR="001E4E3A" w:rsidRDefault="00000000">
      <w:pPr>
        <w:pStyle w:val="FirstParagraph"/>
      </w:pPr>
      <w:r>
        <w:t>The research feeds directly into the DAIA (Domain, Analytics, Intelligence, Application) framework:</w:t>
      </w:r>
    </w:p>
    <w:p w14:paraId="15B15FD1" w14:textId="77777777" w:rsidR="001E4E3A" w:rsidRDefault="00000000">
      <w:pPr>
        <w:pStyle w:val="Compact"/>
        <w:numPr>
          <w:ilvl w:val="0"/>
          <w:numId w:val="3"/>
        </w:numPr>
      </w:pPr>
      <w:r>
        <w:rPr>
          <w:b/>
          <w:bCs/>
        </w:rPr>
        <w:t>Domain Understanding:</w:t>
      </w:r>
      <w:r>
        <w:t xml:space="preserve"> Analyze factors influencing vehicle prices through literature and industry research.</w:t>
      </w:r>
    </w:p>
    <w:p w14:paraId="50B58CF9" w14:textId="77777777" w:rsidR="001E4E3A" w:rsidRDefault="00000000">
      <w:pPr>
        <w:pStyle w:val="Compact"/>
        <w:numPr>
          <w:ilvl w:val="0"/>
          <w:numId w:val="3"/>
        </w:numPr>
      </w:pPr>
      <w:r>
        <w:rPr>
          <w:b/>
          <w:bCs/>
        </w:rPr>
        <w:t>Analytics:</w:t>
      </w:r>
      <w:r>
        <w:t xml:space="preserve"> Process and structure the data to derive meaningful indicators (e.g., depreciation rate, brand impact).</w:t>
      </w:r>
    </w:p>
    <w:p w14:paraId="5FEE0133" w14:textId="77777777" w:rsidR="001E4E3A" w:rsidRDefault="00000000">
      <w:pPr>
        <w:pStyle w:val="Compact"/>
        <w:numPr>
          <w:ilvl w:val="0"/>
          <w:numId w:val="3"/>
        </w:numPr>
      </w:pPr>
      <w:r>
        <w:rPr>
          <w:b/>
          <w:bCs/>
        </w:rPr>
        <w:t>Intelligence:</w:t>
      </w:r>
      <w:r>
        <w:t xml:space="preserve"> Develop and train machine learning models (e.g., regression, random forest) using these features.</w:t>
      </w:r>
    </w:p>
    <w:p w14:paraId="48B0EC13" w14:textId="77777777" w:rsidR="001E4E3A" w:rsidRDefault="00000000">
      <w:pPr>
        <w:pStyle w:val="Compact"/>
        <w:numPr>
          <w:ilvl w:val="0"/>
          <w:numId w:val="3"/>
        </w:numPr>
      </w:pPr>
      <w:r>
        <w:rPr>
          <w:b/>
          <w:bCs/>
        </w:rPr>
        <w:t>Application:</w:t>
      </w:r>
      <w:r>
        <w:t xml:space="preserve"> Deliver an AI-based pricing tool capable of assisting dealerships, buyers, and analysts in decision-making.</w:t>
      </w:r>
    </w:p>
    <w:p w14:paraId="465D79FB" w14:textId="77777777" w:rsidR="001E4E3A" w:rsidRDefault="00000000">
      <w:pPr>
        <w:pStyle w:val="Heading3"/>
      </w:pPr>
      <w:bookmarkStart w:id="13" w:name="conclusion"/>
      <w:bookmarkEnd w:id="12"/>
      <w:r>
        <w:t>10. Conclusion</w:t>
      </w:r>
    </w:p>
    <w:p w14:paraId="0B1D6D4D" w14:textId="09B36C6D" w:rsidR="001E4E3A" w:rsidRDefault="00000000">
      <w:pPr>
        <w:pStyle w:val="FirstParagraph"/>
      </w:pPr>
      <w:r>
        <w:t>This research provides a comprehensive understanding of the factors affecting vehicle pricing and demonstrates how domain insights can be operationalized into AI model design. By grounding the model in both technical and contextual evidence, the project ensures relevance, interpretability, and ethical integrity. Future work will involve data acquisition, preprocessing, and model validation to evaluate prediction performance across vehicle segments.</w:t>
      </w:r>
    </w:p>
    <w:p w14:paraId="02F6D1A8" w14:textId="77777777" w:rsidR="001E4E3A" w:rsidRDefault="00000000">
      <w:pPr>
        <w:pStyle w:val="Heading3"/>
      </w:pPr>
      <w:bookmarkStart w:id="14" w:name="references"/>
      <w:bookmarkEnd w:id="13"/>
      <w:r>
        <w:t>11. References</w:t>
      </w:r>
    </w:p>
    <w:p w14:paraId="51D5D3BA" w14:textId="77777777" w:rsidR="001E4E3A" w:rsidRDefault="00000000">
      <w:pPr>
        <w:pStyle w:val="FirstParagraph"/>
      </w:pPr>
      <w:r>
        <w:t xml:space="preserve">Klein, A., &amp; Smart, D. (2019). </w:t>
      </w:r>
      <w:r>
        <w:rPr>
          <w:i/>
          <w:iCs/>
        </w:rPr>
        <w:t>Predicting Used Car Prices Using Machine Learning Techniques.</w:t>
      </w:r>
      <w:r>
        <w:t xml:space="preserve"> IEEE ICMLA.</w:t>
      </w:r>
      <w:r>
        <w:br/>
        <w:t xml:space="preserve">Soni, A., et al. (2021). </w:t>
      </w:r>
      <w:r>
        <w:rPr>
          <w:i/>
          <w:iCs/>
        </w:rPr>
        <w:t>Car Price Prediction Using Multiple Linear Regression and Random Forest.</w:t>
      </w:r>
      <w:r>
        <w:t xml:space="preserve"> ScienceDirect.</w:t>
      </w:r>
      <w:r>
        <w:br/>
        <w:t xml:space="preserve">McKinsey &amp; Company. (2023). </w:t>
      </w:r>
      <w:r>
        <w:rPr>
          <w:i/>
          <w:iCs/>
        </w:rPr>
        <w:t>The Future of Electric Vehicles and Market Price Dynamics.</w:t>
      </w:r>
      <w:r>
        <w:br/>
        <w:t xml:space="preserve">Statista. (2024). </w:t>
      </w:r>
      <w:r>
        <w:rPr>
          <w:i/>
          <w:iCs/>
        </w:rPr>
        <w:t>Average Car Depreciation Rates in Europe and the U.S.</w:t>
      </w:r>
      <w:bookmarkEnd w:id="0"/>
      <w:bookmarkEnd w:id="14"/>
    </w:p>
    <w:sectPr w:rsidR="001E4E3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CBC05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C8A60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F437D63"/>
    <w:multiLevelType w:val="hybridMultilevel"/>
    <w:tmpl w:val="D2243296"/>
    <w:lvl w:ilvl="0" w:tplc="D3424594">
      <w:start w:val="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1593594">
    <w:abstractNumId w:val="0"/>
  </w:num>
  <w:num w:numId="2" w16cid:durableId="1799446540">
    <w:abstractNumId w:val="1"/>
  </w:num>
  <w:num w:numId="3" w16cid:durableId="262224983">
    <w:abstractNumId w:val="1"/>
  </w:num>
  <w:num w:numId="4" w16cid:durableId="400607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E4E3A"/>
    <w:rsid w:val="001563A5"/>
    <w:rsid w:val="001E4E3A"/>
    <w:rsid w:val="00416CF1"/>
    <w:rsid w:val="00505E33"/>
    <w:rsid w:val="00527E3A"/>
    <w:rsid w:val="00AA772B"/>
    <w:rsid w:val="00F14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6733E3"/>
  <w15:docId w15:val="{F951F002-02BE-9B42-B593-D0CEFF7F6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1239</Words>
  <Characters>7064</Characters>
  <Application>Microsoft Office Word</Application>
  <DocSecurity>0</DocSecurity>
  <Lines>58</Lines>
  <Paragraphs>16</Paragraphs>
  <ScaleCrop>false</ScaleCrop>
  <Company/>
  <LinksUpToDate>false</LinksUpToDate>
  <CharactersWithSpaces>8287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Dalemski,Ivan I.I.</cp:lastModifiedBy>
  <cp:revision>11</cp:revision>
  <dcterms:created xsi:type="dcterms:W3CDTF">2025-11-03T20:03:00Z</dcterms:created>
  <dcterms:modified xsi:type="dcterms:W3CDTF">2025-11-03T20:12:00Z</dcterms:modified>
</cp:coreProperties>
</file>