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5F8FC" w:val="clear"/>
            <w:vAlign w:val="top"/>
          </w:tcPr>
          <w:p>
            <w:pPr>
              <w:spacing w:before="4596"/>
            </w:pPr>
          </w:p>
          <w:p>
            <w:pPr>
              <w:pBdr>
                <w:bottom w:val="single" w:color="2E86C1" w:sz="6" w:space="8"/>
              </w:pBdr>
              <w:spacing w:after="500"/>
              <w:ind w:left="1200" w:right="800"/>
            </w:pPr>
            <w:r>
              <w:rPr>
                <w:rFonts w:ascii="Calibri" w:eastAsia="SimHei"/>
                <w:color w:val="2E86C1"/>
                <w:spacing w:val="40"/>
                <w:sz w:val="18"/>
                <w:szCs w:val="18"/>
              </w:rPr>
              <w:t xml:space="preserve">P  R  O  V  A  R     P  R  O  G  R  A  M  M  E</w:t>
            </w:r>
          </w:p>
          <w:p>
            <w:pPr>
              <w:spacing w:after="300" w:line="920" w:lineRule="atLeast"/>
              <w:ind w:left="1200"/>
            </w:pPr>
            <w:r>
              <w:rPr>
                <w:rFonts w:ascii="Arial" w:eastAsia="SimHei"/>
                <w:b/>
                <w:bCs/>
                <w:color w:val="1A5276"/>
                <w:sz w:val="80"/>
                <w:szCs w:val="80"/>
              </w:rPr>
              <w:t xml:space="preserve">Board Assurance Paper</w:t>
            </w:r>
          </w:p>
          <w:p>
            <w:pPr>
              <w:spacing w:after="800"/>
              <w:ind w:left="1200"/>
            </w:pPr>
            <w:r>
              <w:rPr>
                <w:rFonts w:ascii="Arial" w:eastAsia="Microsoft YaHei"/>
                <w:color w:val="606060"/>
                <w:sz w:val="24"/>
                <w:szCs w:val="24"/>
              </w:rPr>
              <w:t xml:space="preserve">Hospital AI Programme — Governance, Board Metrics and Go/No-Go Assurance</w:t>
            </w:r>
          </w:p>
          <w:p>
            <w:pPr>
              <w:pBdr>
                <w:left w:val="single" w:color="2E86C1" w:sz="8" w:space="12"/>
              </w:pBdr>
              <w:spacing w:after="80"/>
              <w:ind w:left="1400"/>
            </w:pPr>
            <w:r>
              <w:rPr>
                <w:rFonts w:ascii="Arial" w:eastAsia="Microsoft YaHei"/>
                <w:color w:val="707070"/>
                <w:sz w:val="24"/>
                <w:szCs w:val="24"/>
              </w:rPr>
              <w:t xml:space="preserve">Prepared for: [Hospital Name] Board of Directors</w:t>
            </w:r>
          </w:p>
          <w:p>
            <w:pPr>
              <w:pBdr>
                <w:left w:val="single" w:color="2E86C1" w:sz="8" w:space="12"/>
              </w:pBdr>
              <w:spacing w:after="80"/>
              <w:ind w:left="1400"/>
            </w:pPr>
            <w:r>
              <w:rPr>
                <w:rFonts w:ascii="Arial" w:eastAsia="Microsoft YaHei"/>
                <w:color w:val="707070"/>
                <w:sz w:val="24"/>
                <w:szCs w:val="24"/>
              </w:rPr>
              <w:t xml:space="preserve">Audience: Board members, Audit and Risk Committee</w:t>
            </w:r>
          </w:p>
          <w:p>
            <w:pPr>
              <w:pBdr>
                <w:left w:val="single" w:color="2E86C1" w:sz="8" w:space="12"/>
              </w:pBdr>
              <w:spacing w:after="80"/>
              <w:ind w:left="1400"/>
            </w:pPr>
            <w:r>
              <w:rPr>
                <w:rFonts w:ascii="Arial" w:eastAsia="Microsoft YaHei"/>
                <w:color w:val="707070"/>
                <w:sz w:val="24"/>
                <w:szCs w:val="24"/>
              </w:rPr>
              <w:t xml:space="preserve">Status: Version 0.1 draft for review — [Date]</w:t>
            </w:r>
          </w:p>
          <w:p>
            <w:pPr>
              <w:pBdr>
                <w:left w:val="single" w:color="2E86C1" w:sz="8" w:space="12"/>
              </w:pBdr>
              <w:spacing w:after="80"/>
              <w:ind w:left="1400"/>
            </w:pPr>
            <w:r>
              <w:rPr>
                <w:rFonts w:ascii="Arial" w:eastAsia="Microsoft YaHei"/>
                <w:color w:val="707070"/>
                <w:sz w:val="24"/>
                <w:szCs w:val="24"/>
              </w:rPr>
              <w:t xml:space="preserve">Classification: Board confidential</w:t>
            </w:r>
          </w:p>
          <w:p>
            <w:pPr>
              <w:spacing w:before="4596"/>
            </w:pPr>
          </w:p>
          <w:p>
            <w:pPr>
              <w:pBdr>
                <w:top w:val="single" w:color="2E86C1" w:sz="2" w:space="8"/>
              </w:pBdr>
              <w:spacing w:before="200"/>
              <w:ind w:left="1200" w:right="800"/>
            </w:pPr>
            <w:r>
              <w:rPr>
                <w:rFonts w:ascii="Arial"/>
                <w:color w:val="A0A0A0"/>
                <w:sz w:val="16"/>
                <w:szCs w:val="16"/>
              </w:rPr>
              <w:t xml:space="preserve">Provar — assurance layer for hospital AI</w:t>
            </w:r>
            <w:r>
              <w:t xml:space="preserve">                                        </w:t>
            </w:r>
            <w:r>
              <w:rPr>
                <w:rFonts w:ascii="Arial"/>
                <w:color w:val="A0A0A0"/>
                <w:sz w:val="16"/>
                <w:szCs w:val="16"/>
              </w:rPr>
              <w:t xml:space="preserve">[Hospital Name]</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A5276"/>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 and Purpose of This Paper</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Strategic Context and the Regulatory Clock</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Why now</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The local regulatory picture, stated honestly</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What Is Being Assured: Programme Overview</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4. Governance Structure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4.1 Three lines of defence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4.2 Committee design and independence</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5. Board-Level Metrics and Thresholds</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6. What the Board Should Challenge</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7. Top Risks to the Programme</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8. Go/No-Go Assurance Framework</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8.1 Stage gates</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8.2 Automatic stop rules</w:t>
            </w:r>
            <w:r>
              <w:tab/>
            </w:r>
            <w:r>
              <w:fldChar w:fldCharType="begin"/>
            </w:r>
            <w:r>
              <w:instrText xml:space="preserve"> PAGEREF _Toc100013 \h </w:instrText>
            </w:r>
            <w:r>
              <w:fldChar w:fldCharType="separate"/>
            </w:r>
            <w:r>
              <w:t>6</w:t>
            </w:r>
            <w:r>
              <w:fldChar w:fldCharType="end"/>
            </w:r>
          </w:hyperlink>
        </w:p>
        <w:p>
          <w:pPr>
            <w:pStyle w:val="9"/>
            <w:tabs>
              <w:tab w:val="right" w:leader="dot" w:pos="9026"/>
            </w:tabs>
            <w:spacing w:before="120" w:after="60"/>
          </w:pPr>
          <w:hyperlink w:anchor="_Toc100014" w:history="1">
            <w:r>
              <w:rPr>
                <w:rStyle w:val="Hyperlink"/>
              </w:rPr>
              <w:t>9. Financial Stewardship and Value for Money</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10. Resolutions Requested</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11. Assumptions, Unknowns and Limitations</w:t>
            </w:r>
            <w:r>
              <w:tab/>
            </w:r>
            <w:r>
              <w:fldChar w:fldCharType="begin"/>
            </w:r>
            <w:r>
              <w:instrText xml:space="preserve"> PAGEREF _Toc100016 \h </w:instrText>
            </w:r>
            <w:r>
              <w:fldChar w:fldCharType="separate"/>
            </w:r>
            <w:r>
              <w:t>8</w:t>
            </w:r>
            <w:r>
              <w:fldChar w:fldCharType="end"/>
            </w:r>
          </w:hyperlink>
        </w:p>
        <w:p>
          <w:pPr>
            <w:pStyle w:val="9"/>
            <w:tabs>
              <w:tab w:val="right" w:leader="dot" w:pos="9026"/>
            </w:tabs>
            <w:spacing w:before="120" w:after="60"/>
          </w:pPr>
          <w:hyperlink w:anchor="_Toc100017" w:history="1">
            <w:r>
              <w:rPr>
                <w:rStyle w:val="Hyperlink"/>
              </w:rPr>
              <w:t>Document Control</w:t>
            </w:r>
            <w:r>
              <w:tab/>
            </w:r>
            <w:r>
              <w:fldChar w:fldCharType="begin"/>
            </w:r>
            <w:r>
              <w:instrText xml:space="preserve"> PAGEREF _Toc100017 \h </w:instrText>
            </w:r>
            <w:r>
              <w:fldChar w:fldCharType="separate"/>
            </w:r>
            <w:r>
              <w:t>9</w:t>
            </w:r>
            <w:r>
              <w:fldChar w:fldCharType="end"/>
            </w:r>
          </w:hyperlink>
        </w:p>
        <w:p>
          <w:r>
            <w:fldChar w:fldCharType="end"/>
          </w:r>
        </w:p>
      </w:sdtContent>
    </w:sdt>
    <w:p>
      <w:pPr>
        <w:spacing w:before="200"/>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12"/>
        <w:jc w:val="center"/>
      </w:pPr>
      <w:bookmarkStart w:id="100000" w:name="_Toc100000"/>
      <w:r>
        <w:rPr>
          <w:rFonts w:ascii="Times New Roman" w:eastAsia="SimHei"/>
          <w:b/>
          <w:bCs/>
          <w:color w:val="1A5276"/>
          <w:sz w:val="32"/>
          <w:szCs w:val="32"/>
        </w:rPr>
        <w:t xml:space="preserve">1. Executive Summary and Purpose of This Paper</w:t>
      </w:r>
      <w:bookmarkEnd w:id="100000"/>
    </w:p>
    <w:p>
      <w:pPr>
        <w:keepNext w:val="false"/>
        <w:spacing w:after="120" w:line="312"/>
        <w:jc w:val="left"/>
      </w:pPr>
      <w:r>
        <w:rPr>
          <w:rFonts w:ascii="Times New Roman" w:eastAsia="Times New Roman"/>
          <w:b w:val="false"/>
          <w:bCs w:val="false"/>
          <w:i w:val="false"/>
          <w:iCs w:val="false"/>
          <w:color w:val="000000"/>
          <w:sz w:val="24"/>
          <w:szCs w:val="24"/>
        </w:rPr>
        <w:t xml:space="preserve">This paper asks the Board to put in place the governance, metrics and gate framework under which the hospital may deploy artificial intelligence in clinical and operational workflows with defensible evidence of safety and value. It does not ask the Board to approve any specific product, vendor or budget line today. The programme it governs - provisionally named the AI assurance programme - will examine candidate AI systems before deployment, monitor them continuously afterwards, and produce standardised evidence packs that can be shown to regulators, accreditors, insurers, procurement partners and the Board itself.</w:t>
      </w:r>
    </w:p>
    <w:p>
      <w:pPr>
        <w:keepNext w:val="false"/>
        <w:spacing w:after="120" w:line="312"/>
        <w:jc w:val="left"/>
      </w:pPr>
      <w:r>
        <w:rPr>
          <w:rFonts w:ascii="Times New Roman" w:eastAsia="Times New Roman"/>
          <w:b w:val="false"/>
          <w:bCs w:val="false"/>
          <w:i w:val="false"/>
          <w:iCs w:val="false"/>
          <w:color w:val="000000"/>
          <w:sz w:val="24"/>
          <w:szCs w:val="24"/>
        </w:rPr>
        <w:t xml:space="preserve">The strategic logic is twofold. First, clinical safety and trust: published model performance does not transfer automatically to a specific hospital's patients, equipment and workflows, so the hospital needs its own controlled evidence. Second, regulatory and commercial timing: the European Union AI Act (Regulation (EU) 2024/1689) applies core high-risk obligations from 2 August 2026 [Standard], and Malaysian instruments - the Medical Device Act 2010 (Act 737) and the Personal Data Protection Act 2010 as amended in 2024 - constrain medical device software and personal data processing [Standard; verify scope with counsel]. Hospitals that can evidence disciplined AI governance will find procurement, insurance and accreditation conversations materially easier than hospitals that cannot.</w:t>
      </w:r>
    </w:p>
    <w:p>
      <w:pPr>
        <w:keepNext w:val="false"/>
        <w:spacing w:after="120" w:line="312"/>
        <w:jc w:val="left"/>
      </w:pPr>
      <w:r>
        <w:rPr>
          <w:rFonts w:ascii="Times New Roman" w:eastAsia="Times New Roman"/>
          <w:b w:val="false"/>
          <w:bCs w:val="false"/>
          <w:i w:val="false"/>
          <w:iCs w:val="false"/>
          <w:color w:val="000000"/>
          <w:sz w:val="24"/>
          <w:szCs w:val="24"/>
        </w:rPr>
        <w:t xml:space="preserve">The Board is asked to resolve four things in Section 10: adopt the governance structure in Section 4; adopt the board-level metrics and thresholds in Section 5; adopt the go/no-go gate framework and automatic stop rules in Section 8; and commission the first independent assurance review at gate G2. Everything else - budgets, vendors, use cases - returns to the Board only through the gates defined here, with evidence attached.</w:t>
      </w:r>
    </w:p>
    <w:p>
      <w:pPr>
        <w:pStyle w:val="Heading1"/>
        <w:keepNext/>
        <w:spacing w:after="160" w:before="360" w:line="312"/>
        <w:jc w:val="center"/>
      </w:pPr>
      <w:bookmarkStart w:id="100001" w:name="_Toc100001"/>
      <w:r>
        <w:rPr>
          <w:rFonts w:ascii="Times New Roman" w:eastAsia="SimHei"/>
          <w:b/>
          <w:bCs/>
          <w:color w:val="1A5276"/>
          <w:sz w:val="32"/>
          <w:szCs w:val="32"/>
        </w:rPr>
        <w:t xml:space="preserve">2. Strategic Context and the Regulatory Clock</w:t>
      </w:r>
      <w:bookmarkEnd w:id="100001"/>
    </w:p>
    <w:p>
      <w:pPr>
        <w:pStyle w:val="Heading2"/>
        <w:keepNext/>
        <w:spacing w:after="120" w:before="240" w:line="312"/>
      </w:pPr>
      <w:bookmarkStart w:id="100002" w:name="_Toc100002"/>
      <w:r>
        <w:rPr>
          <w:rFonts w:ascii="Times New Roman" w:eastAsia="SimHei"/>
          <w:b/>
          <w:bCs/>
          <w:color w:val="1A5276"/>
          <w:sz w:val="30"/>
          <w:szCs w:val="30"/>
        </w:rPr>
        <w:t xml:space="preserve">2.1 Why now</w:t>
      </w:r>
      <w:bookmarkEnd w:id="100002"/>
    </w:p>
    <w:p>
      <w:pPr>
        <w:keepNext w:val="false"/>
        <w:spacing w:after="120" w:line="312"/>
        <w:jc w:val="left"/>
      </w:pPr>
      <w:r>
        <w:rPr>
          <w:rFonts w:ascii="Times New Roman" w:eastAsia="Times New Roman"/>
          <w:b w:val="false"/>
          <w:bCs w:val="false"/>
          <w:i w:val="false"/>
          <w:iCs w:val="false"/>
          <w:color w:val="000000"/>
          <w:sz w:val="24"/>
          <w:szCs w:val="24"/>
        </w:rPr>
        <w:t xml:space="preserve">Three forces make this a Board matter now rather than an IT matter later. The first force is regulatory: high-risk AI obligations in major jurisdictions are switching on during the planning horizon of this hospital, and health is the most heavily affected sector. The EU AI Act entered into force on 1 August 2024; prohibitions and AI-literacy duties applied from 2 February 2025; general-purpose AI obligations apply from 2 August 2025; and the high-risk regime applies from 2 August 2026, with a longer runway to 2 August 2027 for AI that is a safety component of products subject to third-party conformity assessment [Standard]. Whether or not [Hospital Name] operates in the EU, vendors will reorganise around these dates, and procurement specifications written today should anticipate them.</w:t>
      </w:r>
    </w:p>
    <w:p>
      <w:pPr>
        <w:keepNext w:val="false"/>
        <w:spacing w:after="120" w:line="312"/>
        <w:jc w:val="left"/>
      </w:pPr>
      <w:r>
        <w:rPr>
          <w:rFonts w:ascii="Times New Roman" w:eastAsia="Times New Roman"/>
          <w:b w:val="false"/>
          <w:bCs w:val="false"/>
          <w:i w:val="false"/>
          <w:iCs w:val="false"/>
          <w:color w:val="000000"/>
          <w:sz w:val="24"/>
          <w:szCs w:val="24"/>
        </w:rPr>
        <w:t xml:space="preserve">The second force is liability and insurance. Insurers and malpractice carriers are beginning to ask hospitals how AI is governed; the honest answer today for most hospitals is ad hoc. A documented assurance programme with gate decisions, metric thresholds and incident learning is the difference between a defensible position and an uncomfortable conversation after an event [Local Assumption on insurer behaviour; confirm with the hospital's broker].</w:t>
      </w:r>
    </w:p>
    <w:p>
      <w:pPr>
        <w:keepNext w:val="false"/>
        <w:spacing w:after="120" w:line="312"/>
        <w:jc w:val="left"/>
      </w:pPr>
      <w:r>
        <w:rPr>
          <w:rFonts w:ascii="Times New Roman" w:eastAsia="Times New Roman"/>
          <w:b w:val="false"/>
          <w:bCs w:val="false"/>
          <w:i w:val="false"/>
          <w:iCs w:val="false"/>
          <w:color w:val="000000"/>
          <w:sz w:val="24"/>
          <w:szCs w:val="24"/>
        </w:rPr>
        <w:t xml:space="preserve">The third force is internal: staff are already using AI tools, with or without permission. Surveys across industries show substantial unsanctioned use of public AI tools at work; hospitals are not exceptions. The realistic choice is not whether AI touches patients, but whether it does so inside a governed perimeter. The programme exists to build that perimeter before an incident builds it for the hospital via the news cycle.</w:t>
      </w:r>
    </w:p>
    <w:p>
      <w:pPr>
        <w:pStyle w:val="Heading2"/>
        <w:keepNext/>
        <w:spacing w:after="120" w:before="240" w:line="312"/>
      </w:pPr>
      <w:bookmarkStart w:id="100003" w:name="_Toc100003"/>
      <w:r>
        <w:rPr>
          <w:rFonts w:ascii="Times New Roman" w:eastAsia="SimHei"/>
          <w:b/>
          <w:bCs/>
          <w:color w:val="1A5276"/>
          <w:sz w:val="30"/>
          <w:szCs w:val="30"/>
        </w:rPr>
        <w:t xml:space="preserve">2.2 The local regulatory picture, stated honestly</w:t>
      </w:r>
      <w:bookmarkEnd w:id="100003"/>
    </w:p>
    <w:p>
      <w:pPr>
        <w:keepNext w:val="false"/>
        <w:spacing w:after="120" w:line="312"/>
        <w:jc w:val="left"/>
      </w:pPr>
      <w:r>
        <w:rPr>
          <w:rFonts w:ascii="Times New Roman" w:eastAsia="Times New Roman"/>
          <w:b w:val="false"/>
          <w:bCs w:val="false"/>
          <w:i w:val="false"/>
          <w:iCs w:val="false"/>
          <w:color w:val="000000"/>
          <w:sz w:val="24"/>
          <w:szCs w:val="24"/>
        </w:rPr>
        <w:t xml:space="preserve">The legal baseline the programme must respect locally includes: the Medical Device Act 2010 (Act 737) and its regulations for software with medical purpose, where applicable to specific use cases [Standard; classification per use case to be confirmed]; the Personal Data Protection Act 2010 as amended in 2024, whose phased commencement through 2025 introduced duties including breach notification and data protection officers [Standard; confirm current commencement status and applicability with counsel]; professional guidance from the Malaysian Medical Council and Ministry of Health on technology in clinical practice, which continues to evolve [Local verification required]; and, where foreign patients or partners are involved, cross-border considerations under partner jurisdictions [Local Assumption].</w:t>
      </w:r>
    </w:p>
    <w:p>
      <w:pPr>
        <w:keepNext w:val="false"/>
        <w:spacing w:after="120" w:line="312"/>
        <w:jc w:val="left"/>
      </w:pPr>
      <w:r>
        <w:rPr>
          <w:rFonts w:ascii="Times New Roman" w:eastAsia="Times New Roman"/>
          <w:b w:val="false"/>
          <w:bCs w:val="false"/>
          <w:i w:val="false"/>
          <w:iCs w:val="false"/>
          <w:color w:val="000000"/>
          <w:sz w:val="24"/>
          <w:szCs w:val="24"/>
        </w:rPr>
        <w:t xml:space="preserve">Beyond national law, the programme aligns deliberately to international standards because they are auditable and portable: ISO/IEC 42001:2023 for AI management systems, ISO 14971 for risk management, ISO 27001:2022 for information security, IEC 62304 and IEC 82304-1 for health software lifecycle, IEC 80001-1 for medical IT networks, and the NIST AI Risk Management Framework 1.0 (2023) with its 2024 Generative AI profile [Standard]. The World Health Organization's guidance on ethics and governance of AI for health (2021) and on large multi-modal models (2024) supplies the ethical framing [Standard]. Alignment is a means of de-risking the Board's position, not a claim of certification: certifications are granted by accredited bodies, and none is claimed by this paper.</w:t>
      </w:r>
    </w:p>
    <w:p>
      <w:pPr>
        <w:pStyle w:val="Heading1"/>
        <w:keepNext/>
        <w:spacing w:after="160" w:before="360" w:line="312"/>
        <w:jc w:val="center"/>
      </w:pPr>
      <w:bookmarkStart w:id="100004" w:name="_Toc100004"/>
      <w:r>
        <w:rPr>
          <w:rFonts w:ascii="Times New Roman" w:eastAsia="SimHei"/>
          <w:b/>
          <w:bCs/>
          <w:color w:val="1A5276"/>
          <w:sz w:val="32"/>
          <w:szCs w:val="32"/>
        </w:rPr>
        <w:t xml:space="preserve">3. What Is Being Assured: Programme Overview</w:t>
      </w:r>
      <w:bookmarkEnd w:id="100004"/>
    </w:p>
    <w:p>
      <w:pPr>
        <w:keepNext w:val="false"/>
        <w:spacing w:after="120" w:line="312"/>
        <w:jc w:val="left"/>
      </w:pPr>
      <w:r>
        <w:rPr>
          <w:rFonts w:ascii="Times New Roman" w:eastAsia="Times New Roman"/>
          <w:b w:val="false"/>
          <w:bCs w:val="false"/>
          <w:i w:val="false"/>
          <w:iCs w:val="false"/>
          <w:color w:val="000000"/>
          <w:sz w:val="24"/>
          <w:szCs w:val="24"/>
        </w:rPr>
        <w:t xml:space="preserve">The assurance programme comprises four capabilities. One: a black-box probe capability that tests deployed AI systems through their interfaces - no source code, weights or patient records required - using three corpora families: adversarial prompt-injection and refusal-trap tests, robustness probes that vary phrasing and inputs, and fairness/consistency checks across demographic and linguistic variants. Two: a monitoring capability that watches live systems for drift, refusal anomalies, override patterns and privacy-probe findings. Three: an evidence pack factory that assembles test results, metrics, decisions and sign-offs into a standardised, versioned document per use case. Four: a governance interface that turns evidence into gate decisions with named accountable owners.</w:t>
      </w:r>
    </w:p>
    <w:p>
      <w:pPr>
        <w:keepNext w:val="false"/>
        <w:spacing w:after="120" w:line="312"/>
        <w:jc w:val="left"/>
      </w:pPr>
      <w:r>
        <w:rPr>
          <w:rFonts w:ascii="Times New Roman" w:eastAsia="Times New Roman"/>
          <w:b w:val="false"/>
          <w:bCs w:val="false"/>
          <w:i w:val="false"/>
          <w:iCs w:val="false"/>
          <w:color w:val="000000"/>
          <w:sz w:val="24"/>
          <w:szCs w:val="24"/>
        </w:rPr>
        <w:t xml:space="preserve">The initial use-case set proposed for [Hospital Name] is deliberately narrow: a citation-forced retrieval and drafting assistant that must refuse when evidence is missing, advisory decision-support cards in the EHR, a de-identification pipeline for secondary use of clinical text, and an imaging support model for cardiac function measurement. This scope is a [Local Assumption] to be confirmed in the programme charter; it was chosen because each use case has a clear clinical owner, a measurable baseline, and a meaningful manual fallback. The programme explicitly refuses to begin with autonomous diagnosis, autonomous ordering or patient-facing advice without human mediation - not because such things are always wrong, but because they are the wrong first exam for any assurance capability that is still proving itself.</w:t>
      </w:r>
    </w:p>
    <w:p>
      <w:pPr>
        <w:keepNext w:val="false"/>
        <w:spacing w:after="120" w:line="312"/>
        <w:jc w:val="left"/>
      </w:pPr>
      <w:r>
        <w:rPr>
          <w:rFonts w:ascii="Times New Roman" w:eastAsia="Times New Roman"/>
          <w:b w:val="false"/>
          <w:bCs w:val="false"/>
          <w:i w:val="false"/>
          <w:iCs w:val="false"/>
          <w:color w:val="000000"/>
          <w:sz w:val="24"/>
          <w:szCs w:val="24"/>
        </w:rPr>
        <w:t xml:space="preserve">The Board should note what this programme is not. It is not a guarantee that AI will never fail; it is the machinery that finds failures early and responds to them in a pre-agreed way. It is not a certificate of regulatory compliance; counsel and accredited assessors provide that where required. And it is not a strategy to replace clinicians; every use case in scope keeps a human in command of clinical decisions [Best practice].</w:t>
      </w:r>
    </w:p>
    <w:p>
      <w:pPr>
        <w:pStyle w:val="Heading1"/>
        <w:keepNext/>
        <w:spacing w:after="160" w:before="360" w:line="312"/>
        <w:jc w:val="center"/>
      </w:pPr>
      <w:bookmarkStart w:id="100005" w:name="_Toc100005"/>
      <w:r>
        <w:rPr>
          <w:rFonts w:ascii="Times New Roman" w:eastAsia="SimHei"/>
          <w:b/>
          <w:bCs/>
          <w:color w:val="1A5276"/>
          <w:sz w:val="32"/>
          <w:szCs w:val="32"/>
        </w:rPr>
        <w:t xml:space="preserve">4. Governance Structure</w:t>
      </w:r>
      <w:bookmarkEnd w:id="100005"/>
    </w:p>
    <w:p>
      <w:pPr>
        <w:pStyle w:val="Heading2"/>
        <w:keepNext/>
        <w:spacing w:after="120" w:before="240" w:line="312"/>
      </w:pPr>
      <w:bookmarkStart w:id="100006" w:name="_Toc100006"/>
      <w:r>
        <w:rPr>
          <w:rFonts w:ascii="Times New Roman" w:eastAsia="SimHei"/>
          <w:b/>
          <w:bCs/>
          <w:color w:val="1A5276"/>
          <w:sz w:val="30"/>
          <w:szCs w:val="30"/>
        </w:rPr>
        <w:t xml:space="preserve">4.1 Three lines of defence</w:t>
      </w:r>
      <w:bookmarkEnd w:id="100006"/>
    </w:p>
    <w:p>
      <w:pPr>
        <w:keepNext w:val="false"/>
        <w:spacing w:after="120" w:line="312"/>
        <w:jc w:val="left"/>
      </w:pPr>
      <w:r>
        <w:rPr>
          <w:rFonts w:ascii="Times New Roman" w:eastAsia="Times New Roman"/>
          <w:b w:val="false"/>
          <w:bCs w:val="false"/>
          <w:i w:val="false"/>
          <w:iCs w:val="false"/>
          <w:color w:val="000000"/>
          <w:sz w:val="24"/>
          <w:szCs w:val="24"/>
        </w:rPr>
        <w:t xml:space="preserve">The programme adopts the three-lines model the Board already uses for clinical and financial risk [Best practice, aligned with hospital governance conventions]. The first line is the teams who build, procure and operate AI-enabled services: clinical units, IT and vendors under contract; they own hazards, run controls and report incidents. The second line is the AI Governance Committee and its secretariat - including clinical safety, quality, data protection and information security functions - which sets standards, reviews evidence packs and holds gate authority. The third line is internal audit (and, at defined gates, an independent external assessor), which audits the assurance machinery itself: are the tests real, are the dashboards honest, were stop rules followed?</w:t>
      </w:r>
    </w:p>
    <w:p>
      <w:pPr>
        <w:keepNext/>
        <w:spacing w:after="80" w:before="200" w:line="312"/>
        <w:jc w:val="left"/>
      </w:pPr>
      <w:r>
        <w:rPr>
          <w:rFonts w:ascii="Times New Roman" w:eastAsia="Times New Roman"/>
          <w:b/>
          <w:bCs/>
          <w:color w:val="000000"/>
          <w:sz w:val="21"/>
          <w:szCs w:val="21"/>
        </w:rPr>
        <w:t xml:space="preserve">Table 4.1 - Decision rights (RACI summary)</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2285"/>
        <w:gridCol w:w="1582"/>
        <w:gridCol w:w="1582"/>
        <w:gridCol w:w="1670"/>
        <w:gridCol w:w="1670"/>
      </w:tblGrid>
      <w:tr>
        <w:trPr>
          <w:cantSplit/>
          <w:tblHeader/>
        </w:trPr>
        <w:tc>
          <w:tcPr>
            <w:tcW w:type="pct" w:w="13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Decision</w:t>
            </w:r>
          </w:p>
        </w:tc>
        <w:tc>
          <w:tcPr>
            <w:tcW w:type="pct" w:w="9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Responsible</w:t>
            </w:r>
          </w:p>
        </w:tc>
        <w:tc>
          <w:tcPr>
            <w:tcW w:type="pct" w:w="9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Accountable</w:t>
            </w:r>
          </w:p>
        </w:tc>
        <w:tc>
          <w:tcPr>
            <w:tcW w:type="pct" w:w="95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Consulted</w:t>
            </w:r>
          </w:p>
        </w:tc>
        <w:tc>
          <w:tcPr>
            <w:tcW w:type="pct" w:w="95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Informed</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Adopt AI policy and gate framework</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Programme office</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Board</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CMO, CNO, CCOO, CMIO, CISO, DPO</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All staff via comms</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Gate G0/G1: charter and pilot approval per use case</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Use-case owner</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AI Governance Committee</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Clinical owner, IT, DPO, safety</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Board (dashboard)</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Gate G2: pilot exit, limited deployment</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Use-case owner</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AI Governance Committee</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Frontline champions, finance</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Board</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Gate G3: scaled deployment</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Programme office</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AI Governance Committee + Executive</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Audit, insurance, procurement</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Board</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Automatic stop / rollback execution</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On-call operations</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Clinical safety officer</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IT, vendor, unit leadership</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Committee + Board within [5] days</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Evidence pack sign-off</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Assurance lead</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AI Governance Committee</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Internal audit (observer)</w:t>
            </w:r>
          </w:p>
        </w:tc>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Board on request</w:t>
            </w:r>
          </w:p>
        </w:tc>
      </w:tr>
    </w:tbl>
    <w:p>
      <w:pPr>
        <w:spacing w:after="200" w:before="80" w:line="312"/>
        <w:jc w:val="left"/>
      </w:pPr>
      <w:r>
        <w:rPr>
          <w:rFonts w:ascii="Times New Roman" w:eastAsia="Times New Roman"/>
          <w:i/>
          <w:iCs/>
          <w:color w:val="595959"/>
          <w:sz w:val="18"/>
          <w:szCs w:val="18"/>
        </w:rPr>
        <w:t xml:space="preserve">Names of role-holders are placeholders: [Owner]. The committee must include at least one frontline clinician not employed within the programme's reporting line [Best practice].</w:t>
      </w:r>
    </w:p>
    <w:p>
      <w:pPr>
        <w:pStyle w:val="Heading2"/>
        <w:keepNext/>
        <w:spacing w:after="120" w:before="240" w:line="312"/>
      </w:pPr>
      <w:bookmarkStart w:id="100007" w:name="_Toc100007"/>
      <w:r>
        <w:rPr>
          <w:rFonts w:ascii="Times New Roman" w:eastAsia="SimHei"/>
          <w:b/>
          <w:bCs/>
          <w:color w:val="1A5276"/>
          <w:sz w:val="30"/>
          <w:szCs w:val="30"/>
        </w:rPr>
        <w:t xml:space="preserve">4.2 Committee design and independence</w:t>
      </w:r>
      <w:bookmarkEnd w:id="100007"/>
    </w:p>
    <w:p>
      <w:pPr>
        <w:keepNext w:val="false"/>
        <w:spacing w:after="120" w:line="312"/>
        <w:jc w:val="left"/>
      </w:pPr>
      <w:r>
        <w:rPr>
          <w:rFonts w:ascii="Times New Roman" w:eastAsia="Times New Roman"/>
          <w:b w:val="false"/>
          <w:bCs w:val="false"/>
          <w:i w:val="false"/>
          <w:iCs w:val="false"/>
          <w:color w:val="000000"/>
          <w:sz w:val="24"/>
          <w:szCs w:val="24"/>
        </w:rPr>
        <w:t xml:space="preserve">The AI Governance Committee should be small enough to decide (roughly seven to nine voting members) and senior enough to bind: recommended membership includes the CMIO or deputy CMO as chair, the CCOO, CISO, DPO, head of quality and safety, a pharmacist or laboratory lead, and two frontline clinical representatives on rotation. The assurance function that produces evidence packs must be organisationally separate from the teams whose systems are being assessed; where the hospital builds its own AI, the builders present evidence but do not score it. Conflicts of interest are declared at each meeting and recorded in minutes [Best practice].</w:t>
      </w:r>
    </w:p>
    <w:p>
      <w:pPr>
        <w:keepNext w:val="false"/>
        <w:spacing w:after="120" w:line="312"/>
        <w:jc w:val="left"/>
      </w:pPr>
      <w:r>
        <w:rPr>
          <w:rFonts w:ascii="Times New Roman" w:eastAsia="Times New Roman"/>
          <w:b w:val="false"/>
          <w:bCs w:val="false"/>
          <w:i w:val="false"/>
          <w:iCs w:val="false"/>
          <w:color w:val="000000"/>
          <w:sz w:val="24"/>
          <w:szCs w:val="24"/>
        </w:rPr>
        <w:t xml:space="preserve">The committee's most important design feature is not its membership but its inability to waive safety evidence without a recorded reason. Any decision to proceed despite a failed or missing test must be minuted with the rationale, the compensating controls and the review date. This creates the paper trail that protects patients first and, in the unfortunate event of harm, also protects the institution and its directors by demonstrating that decisions were made with due care [Best practice].</w:t>
      </w:r>
    </w:p>
    <w:p>
      <w:pPr>
        <w:pStyle w:val="Heading1"/>
        <w:keepNext/>
        <w:spacing w:after="160" w:before="360" w:line="312"/>
        <w:jc w:val="center"/>
      </w:pPr>
      <w:bookmarkStart w:id="100008" w:name="_Toc100008"/>
      <w:r>
        <w:rPr>
          <w:rFonts w:ascii="Times New Roman" w:eastAsia="SimHei"/>
          <w:b/>
          <w:bCs/>
          <w:color w:val="1A5276"/>
          <w:sz w:val="32"/>
          <w:szCs w:val="32"/>
        </w:rPr>
        <w:t xml:space="preserve">5. Board-Level Metrics and Thresholds</w:t>
      </w:r>
      <w:bookmarkEnd w:id="100008"/>
    </w:p>
    <w:p>
      <w:pPr>
        <w:keepNext w:val="false"/>
        <w:spacing w:after="120" w:line="312"/>
        <w:jc w:val="left"/>
      </w:pPr>
      <w:r>
        <w:rPr>
          <w:rFonts w:ascii="Times New Roman" w:eastAsia="Times New Roman"/>
          <w:b w:val="false"/>
          <w:bCs w:val="false"/>
          <w:i w:val="false"/>
          <w:iCs w:val="false"/>
          <w:color w:val="000000"/>
          <w:sz w:val="24"/>
          <w:szCs w:val="24"/>
        </w:rPr>
        <w:t xml:space="preserve">The Board should not drown in operational telemetry. Twelve metrics, each with a red threshold that triggers escalation, are sufficient to hold the programme to account. Baselines and targets are placeholders to be set from local measurement; the discipline the Board adopts today is that no use case advances through a gate while any red-threshold metric is unexplained or unaccepted in writing.</w:t>
      </w:r>
    </w:p>
    <w:p>
      <w:pPr>
        <w:keepNext/>
        <w:spacing w:after="80" w:before="200" w:line="312"/>
        <w:jc w:val="left"/>
      </w:pPr>
      <w:r>
        <w:rPr>
          <w:rFonts w:ascii="Times New Roman" w:eastAsia="Times New Roman"/>
          <w:b/>
          <w:bCs/>
          <w:color w:val="000000"/>
          <w:sz w:val="21"/>
          <w:szCs w:val="21"/>
        </w:rPr>
        <w:t xml:space="preserve">Table 5.1 - Board dashboard: metrics, thresholds, owners and cadence</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670"/>
        <w:gridCol w:w="1230"/>
        <w:gridCol w:w="967"/>
        <w:gridCol w:w="1318"/>
        <w:gridCol w:w="1318"/>
        <w:gridCol w:w="1055"/>
        <w:gridCol w:w="1230"/>
      </w:tblGrid>
      <w:tr>
        <w:trPr>
          <w:cantSplit/>
          <w:tblHeader/>
        </w:trPr>
        <w:tc>
          <w:tcPr>
            <w:tcW w:type="pct" w:w="9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Metric</w:t>
            </w:r>
          </w:p>
        </w:tc>
        <w:tc>
          <w:tcPr>
            <w:tcW w:type="pct" w:w="7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Baseline</w:t>
            </w:r>
          </w:p>
        </w:tc>
        <w:tc>
          <w:tcPr>
            <w:tcW w:type="pct" w:w="5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Target</w:t>
            </w:r>
          </w:p>
        </w:tc>
        <w:tc>
          <w:tcPr>
            <w:tcW w:type="pct" w:w="7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Red threshold</w:t>
            </w:r>
          </w:p>
        </w:tc>
        <w:tc>
          <w:tcPr>
            <w:tcW w:type="pct" w:w="75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Measurement method</w:t>
            </w:r>
          </w:p>
        </w:tc>
        <w:tc>
          <w:tcPr>
            <w:tcW w:type="pct" w:w="6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Owner</w:t>
            </w:r>
          </w:p>
        </w:tc>
        <w:tc>
          <w:tcPr>
            <w:tcW w:type="pct" w:w="7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Cadence</w:t>
            </w:r>
          </w:p>
        </w:tc>
      </w:tr>
      <w:tr>
        <w:trPr>
          <w:cantSplit/>
        </w:trPr>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Serious AI-related safety events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 0]</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0</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Any occurrence</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Incident system, AI category, 28-day window</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Safety lead</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r>
      <w:tr>
        <w:trPr>
          <w:cantSplit/>
        </w:trPr>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Confirmed privacy incidents involving AI systems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 0]</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0</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Any occurrence</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DPO incident register</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DPO</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r>
      <w:tr>
        <w:trPr>
          <w:cantSplit/>
        </w:trPr>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Use cases live with valid evidence pack</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 n/a]</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100%</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&lt; 100% for &gt; [30] days</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Assurance layer registry</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Assurance lead</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r>
      <w:tr>
        <w:trPr>
          <w:cantSplit/>
        </w:trPr>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Uncaught hallucination rate (sampled audit)</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&gt; [Threshold]</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Structured sampling audit rubric</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Quality lead</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r>
      <w:tr>
        <w:trPr>
          <w:cantSplit/>
        </w:trPr>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CDS override rate vs pre-agreed band</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[Band]</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Outside band 2 cycles</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EHR logs per card</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CMIO</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r>
      <w:tr>
        <w:trPr>
          <w:cantSplit/>
        </w:trPr>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De-id leakage on probes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0 confirmed</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Any confirmed real-data leak</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Probe suite + sampled audit</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Data governance</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r>
      <w:tr>
        <w:trPr>
          <w:cantSplit/>
        </w:trPr>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Fallback drill pass rate</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100%</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&lt; 100% in cycle</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Timed failover exercises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CCOO</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Semi-annual</w:t>
            </w:r>
          </w:p>
        </w:tc>
      </w:tr>
      <w:tr>
        <w:trPr>
          <w:cantSplit/>
        </w:trPr>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Median AI service latency in clinical hours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&gt; [Threshold] for [7] days</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Monitoring stack</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CIO</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r>
      <w:tr>
        <w:trPr>
          <w:cantSplit/>
        </w:trPr>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Staff workload survey delta (AI-enabled units)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 no worsening]</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Two consecutive worsening cycles</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Validated short instrument</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CCOO</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r>
      <w:tr>
        <w:trPr>
          <w:cantSplit/>
        </w:trPr>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Programme spend vs approved envelope</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[Budget]</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[Budget]</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&gt; [110]% without re-approval</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Finance ledger, gated by phase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CFO</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r>
      <w:tr>
        <w:trPr>
          <w:cantSplit/>
        </w:trPr>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Realised benefit vs business case (per use case)</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[Target]</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&lt; [70]% of plan at G3 review</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Benefits realisation tracker</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CFO/CCOO</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Semi-annual</w:t>
            </w:r>
          </w:p>
        </w:tc>
      </w:tr>
      <w:tr>
        <w:trPr>
          <w:cantSplit/>
        </w:trPr>
        <w:tc>
          <w:tcPr>
            <w:tcW w:type="pct" w:w="9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Open critical risks past due date</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[Baseline]</w:t>
            </w:r>
          </w:p>
        </w:tc>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0</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Any &gt; [30] days overdue</w:t>
            </w:r>
          </w:p>
        </w:tc>
        <w:tc>
          <w:tcPr>
            <w:tcW w:type="pct" w:w="75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Risk register review</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Programme office</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Quarterly</w:t>
            </w:r>
          </w:p>
        </w:tc>
      </w:tr>
    </w:tbl>
    <w:p>
      <w:pPr>
        <w:spacing w:after="200" w:before="80" w:line="312"/>
        <w:jc w:val="left"/>
      </w:pPr>
      <w:r>
        <w:rPr>
          <w:rFonts w:ascii="Times New Roman" w:eastAsia="Times New Roman"/>
          <w:i/>
          <w:iCs/>
          <w:color w:val="595959"/>
          <w:sz w:val="18"/>
          <w:szCs w:val="18"/>
        </w:rPr>
        <w:t xml:space="preserve">Thresholds shown as [Threshold] are set during pilot design and frozen at gate G2. The Board may raise thresholds; lowering any safety threshold requires Board resolution, not committee discretion [Best practice].</w:t>
      </w:r>
    </w:p>
    <w:p>
      <w:pPr>
        <w:pStyle w:val="Heading1"/>
        <w:keepNext/>
        <w:spacing w:after="160" w:before="360" w:line="312"/>
        <w:jc w:val="center"/>
      </w:pPr>
      <w:bookmarkStart w:id="100009" w:name="_Toc100009"/>
      <w:r>
        <w:rPr>
          <w:rFonts w:ascii="Times New Roman" w:eastAsia="SimHei"/>
          <w:b/>
          <w:bCs/>
          <w:color w:val="1A5276"/>
          <w:sz w:val="32"/>
          <w:szCs w:val="32"/>
        </w:rPr>
        <w:t xml:space="preserve">6. What the Board Should Challenge</w:t>
      </w:r>
      <w:bookmarkEnd w:id="100009"/>
    </w:p>
    <w:p>
      <w:pPr>
        <w:keepNext w:val="false"/>
        <w:spacing w:after="120" w:line="312"/>
        <w:jc w:val="left"/>
      </w:pPr>
      <w:r>
        <w:rPr>
          <w:rFonts w:ascii="Times New Roman" w:eastAsia="Times New Roman"/>
          <w:b w:val="false"/>
          <w:bCs w:val="false"/>
          <w:i w:val="false"/>
          <w:iCs w:val="false"/>
          <w:color w:val="000000"/>
          <w:sz w:val="24"/>
          <w:szCs w:val="24"/>
        </w:rPr>
        <w:t xml:space="preserve">Boards add value in AI governance by asking questions that are uncomfortable, simple and evidence-seeking. The ten questions below are designed for exactly that. They are grouped so that non-technical directors can use them directly in programme reviews; the expected evidence for each is named, so weak answers are visible immediately.</w:t>
      </w:r>
    </w:p>
    <w:p>
      <w:pPr>
        <w:keepNext/>
        <w:spacing w:after="80" w:before="200" w:line="312"/>
        <w:jc w:val="left"/>
      </w:pPr>
      <w:r>
        <w:rPr>
          <w:rFonts w:ascii="Times New Roman" w:eastAsia="Times New Roman"/>
          <w:b/>
          <w:bCs/>
          <w:color w:val="000000"/>
          <w:sz w:val="21"/>
          <w:szCs w:val="21"/>
        </w:rPr>
        <w:t xml:space="preserve">Table 6.1 - Board challenge questions and the evidence that answers them</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3515"/>
        <w:gridCol w:w="3164"/>
        <w:gridCol w:w="2109"/>
      </w:tblGrid>
      <w:tr>
        <w:trPr>
          <w:cantSplit/>
          <w:tblHeader/>
        </w:trPr>
        <w:tc>
          <w:tcPr>
            <w:tcW w:type="pct" w:w="20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Question</w:t>
            </w:r>
          </w:p>
        </w:tc>
        <w:tc>
          <w:tcPr>
            <w:tcW w:type="pct" w:w="18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Evidence that answers it</w:t>
            </w:r>
          </w:p>
        </w:tc>
        <w:tc>
          <w:tcPr>
            <w:tcW w:type="pct" w:w="12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If the answer is weak</w:t>
            </w:r>
          </w:p>
        </w:tc>
      </w:tr>
      <w:tr>
        <w:trPr>
          <w:cantSplit/>
        </w:trPr>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Whose evidence are we relying on - the vendor's or our own?</w:t>
            </w:r>
          </w:p>
        </w:tc>
        <w:tc>
          <w:tcPr>
            <w:tcW w:type="pct" w:w="1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Hospital-run probe results and local baselines in the evidence pack, with dates and versions.</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Do not pass gate G1.</w:t>
            </w:r>
          </w:p>
        </w:tc>
      </w:tr>
      <w:tr>
        <w:trPr>
          <w:cantSplit/>
        </w:trPr>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What exactly happens when the system fails silently?</w:t>
            </w:r>
          </w:p>
        </w:tc>
        <w:tc>
          <w:tcPr>
            <w:tcW w:type="pct" w:w="1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Failure-mode analysis and the fallback drill protocol with last drill date and result.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Require a drill before next gate.</w:t>
            </w:r>
          </w:p>
        </w:tc>
      </w:tr>
      <w:tr>
        <w:trPr>
          <w:cantSplit/>
        </w:trPr>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Who specifically is accountable for this use case today?</w:t>
            </w:r>
          </w:p>
        </w:tc>
        <w:tc>
          <w:tcPr>
            <w:tcW w:type="pct" w:w="1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Named clinical owner and committee minute assigning accountability.</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 one or freeze deployment.</w:t>
            </w:r>
          </w:p>
        </w:tc>
      </w:tr>
      <w:tr>
        <w:trPr>
          <w:cantSplit/>
        </w:trPr>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What would make us switch this off, and who can pull the trigger?</w:t>
            </w:r>
          </w:p>
        </w:tc>
        <w:tc>
          <w:tcPr>
            <w:tcW w:type="pct" w:w="1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Written stop rules; on-call authority; tested rollback within [Target] minutes.</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Stop rules absent = no go-live.</w:t>
            </w:r>
          </w:p>
        </w:tc>
      </w:tr>
      <w:tr>
        <w:trPr>
          <w:cantSplit/>
        </w:trPr>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Are the dashboards honest, or curated to please?</w:t>
            </w:r>
          </w:p>
        </w:tc>
        <w:tc>
          <w:tcPr>
            <w:tcW w:type="pct" w:w="1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Internal audit walkthrough of data lineage; raw log access for audit.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Commission third-line review.</w:t>
            </w:r>
          </w:p>
        </w:tc>
      </w:tr>
      <w:tr>
        <w:trPr>
          <w:cantSplit/>
        </w:trPr>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What did we stop or reject, and why?</w:t>
            </w:r>
          </w:p>
        </w:tc>
        <w:tc>
          <w:tcPr>
            <w:tcW w:type="pct" w:w="1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Register of rejected use cases and killed pilots with reasons.</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 programme with zero rejections is not testing hard enough.</w:t>
            </w:r>
          </w:p>
        </w:tc>
      </w:tr>
      <w:tr>
        <w:trPr>
          <w:cantSplit/>
        </w:trPr>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Where is patient consent and transparency handled?</w:t>
            </w:r>
          </w:p>
        </w:tc>
        <w:tc>
          <w:tcPr>
            <w:tcW w:type="pct" w:w="1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Consent and communication design per use case, reviewed by DPO and patient group.</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Pause patient-facing elements.</w:t>
            </w:r>
          </w:p>
        </w:tc>
      </w:tr>
      <w:tr>
        <w:trPr>
          <w:cantSplit/>
        </w:trPr>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What is the exit plan if the vendor fails or prices escalate?</w:t>
            </w:r>
          </w:p>
        </w:tc>
        <w:tc>
          <w:tcPr>
            <w:tcW w:type="pct" w:w="1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Exit strategy section of the contract file; data and integration portability proof.</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Contract should not be signed.</w:t>
            </w:r>
          </w:p>
        </w:tc>
      </w:tr>
      <w:tr>
        <w:trPr>
          <w:cantSplit/>
        </w:trPr>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Is the benefit claim measured or marketed?</w:t>
            </w:r>
          </w:p>
        </w:tc>
        <w:tc>
          <w:tcPr>
            <w:tcW w:type="pct" w:w="1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Benefits realisation tracker against the pre-agreed baseline and target.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Re-baseline; do not scale.</w:t>
            </w:r>
          </w:p>
        </w:tc>
      </w:tr>
      <w:tr>
        <w:trPr>
          <w:cantSplit/>
        </w:trPr>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If this appears in the news tomorrow, what will our first sentence be?</w:t>
            </w:r>
          </w:p>
        </w:tc>
        <w:tc>
          <w:tcPr>
            <w:tcW w:type="pct" w:w="1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Communication and disclosure protocol agreed with legal and communications.</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Draft one before G2.</w:t>
            </w:r>
          </w:p>
        </w:tc>
      </w:tr>
    </w:tbl>
    <w:p>
      <w:pPr>
        <w:spacing w:after="200" w:before="80" w:line="312"/>
        <w:jc w:val="left"/>
      </w:pPr>
      <w:r>
        <w:rPr>
          <w:rFonts w:ascii="Times New Roman" w:eastAsia="Times New Roman"/>
          <w:i/>
          <w:iCs/>
          <w:color w:val="595959"/>
          <w:sz w:val="18"/>
          <w:szCs w:val="18"/>
        </w:rPr>
        <w:t xml:space="preserve">These questions deliberately overlap with clinical and IT documents; consistent answers across audiences are themselves a governance test.</w:t>
      </w:r>
    </w:p>
    <w:p>
      <w:pPr>
        <w:pStyle w:val="Heading1"/>
        <w:keepNext/>
        <w:spacing w:after="160" w:before="360" w:line="312"/>
        <w:jc w:val="center"/>
      </w:pPr>
      <w:bookmarkStart w:id="100010" w:name="_Toc100010"/>
      <w:r>
        <w:rPr>
          <w:rFonts w:ascii="Times New Roman" w:eastAsia="SimHei"/>
          <w:b/>
          <w:bCs/>
          <w:color w:val="1A5276"/>
          <w:sz w:val="32"/>
          <w:szCs w:val="32"/>
        </w:rPr>
        <w:t xml:space="preserve">7. Top Risks to the Programme</w:t>
      </w:r>
      <w:bookmarkEnd w:id="100010"/>
    </w:p>
    <w:p>
      <w:pPr>
        <w:keepNext w:val="false"/>
        <w:spacing w:after="120" w:line="312"/>
        <w:jc w:val="left"/>
      </w:pPr>
      <w:r>
        <w:rPr>
          <w:rFonts w:ascii="Times New Roman" w:eastAsia="Times New Roman"/>
          <w:b w:val="false"/>
          <w:bCs w:val="false"/>
          <w:i w:val="false"/>
          <w:iCs w:val="false"/>
          <w:color w:val="000000"/>
          <w:sz w:val="24"/>
          <w:szCs w:val="24"/>
        </w:rPr>
        <w:t xml:space="preserve">The full risk register with scoring and owners lives in the Cross-Cutting Dossier, Section 10; the table below extracts the ten risks with the highest current exposure for Board attention. Likelihood and impact use the hospital's standard five-point scales [Local Assumption: confirm scale definitions with the enterprise risk framework]; scores multiply the two. Mitigations marked as gate conditions are enforced automatically by the gate framework.</w:t>
      </w:r>
    </w:p>
    <w:p>
      <w:pPr>
        <w:keepNext/>
        <w:spacing w:after="80" w:before="200" w:line="312"/>
        <w:jc w:val="left"/>
      </w:pPr>
      <w:r>
        <w:rPr>
          <w:rFonts w:ascii="Times New Roman" w:eastAsia="Times New Roman"/>
          <w:b/>
          <w:bCs/>
          <w:color w:val="000000"/>
          <w:sz w:val="21"/>
          <w:szCs w:val="21"/>
        </w:rPr>
        <w:t xml:space="preserve">Table 7.1 - Top programme risks (summary view; full register in Dossier Section 10)</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2636"/>
        <w:gridCol w:w="703"/>
        <w:gridCol w:w="703"/>
        <w:gridCol w:w="703"/>
        <w:gridCol w:w="2988"/>
        <w:gridCol w:w="1055"/>
      </w:tblGrid>
      <w:tr>
        <w:trPr>
          <w:cantSplit/>
          <w:tblHeader/>
        </w:trPr>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Risk</w:t>
            </w:r>
          </w:p>
        </w:tc>
        <w:tc>
          <w:tcPr>
            <w:tcW w:type="pct" w:w="4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L</w:t>
            </w:r>
          </w:p>
        </w:tc>
        <w:tc>
          <w:tcPr>
            <w:tcW w:type="pct" w:w="4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I</w:t>
            </w:r>
          </w:p>
        </w:tc>
        <w:tc>
          <w:tcPr>
            <w:tcW w:type="pct" w:w="4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Score</w:t>
            </w:r>
          </w:p>
        </w:tc>
        <w:tc>
          <w:tcPr>
            <w:tcW w:type="pct" w:w="17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Principal mitigation</w:t>
            </w:r>
          </w:p>
        </w:tc>
        <w:tc>
          <w:tcPr>
            <w:tcW w:type="pct" w:w="600"/>
            <w:shd w:fill="2E86C1" w:val="clear"/>
            <w:tcMar>
              <w:top w:type="dxa" w:w="60"/>
              <w:left w:type="dxa" w:w="120"/>
              <w:bottom w:type="dxa" w:w="60"/>
              <w:right w:type="dxa" w:w="120"/>
            </w:tcMar>
          </w:tcPr>
          <w:p>
            <w:pPr>
              <w:spacing w:line="312"/>
              <w:jc w:val="left"/>
            </w:pPr>
            <w:r>
              <w:rPr>
                <w:rFonts w:ascii="Times New Roman" w:eastAsia="Times New Roman"/>
                <w:b/>
                <w:bCs/>
                <w:color w:val="FFFFFF"/>
                <w:sz w:val="18"/>
                <w:szCs w:val="18"/>
              </w:rPr>
              <w:t xml:space="preserve">Owner</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Uncaught model error reaches patient care at scale</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5</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15</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Advisory-only policy; sampled audits; stop rules; phased rollout via gates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CMIO</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Privacy breach via de-identification failure</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5</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15</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Layered de-id; probe suites; sampling audits; breach runbook per PDPA duties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DPO</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Automation bias erodes verification practice</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16</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Verification-by-design; override monitoring; training; dashboard visibility</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CCOO</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Shadow AI spreads outside governed perimeter</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16</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Fast sanctioned tools; clear policy; amnesty reporting; network monitoring</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CISO</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Vendor lock-in or vendor failure traps workflows</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12</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Exit strategy; open standards (FHIR R4); data portability clauses; escrow where material</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CIO</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Benefit claims not realised (ROI shortfall)</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12</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Benefits realisation tracker; re-baseline at G2; funding tied to gates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CFO</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Clinician burnout and change fatigue</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12</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Alert budget; protected champion time; survey-based early warning; sequencing limits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CCOO</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Regulatory misclassification of a use case</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2</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8</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Counsel review per use case; horizon scanning; standards alignment (ISO/IEC 42001)</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Programme office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Data migration or integration defects corrupt records</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2</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5</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10</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Migration quality gates; reconciliation sampling; dual-run periods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CIO</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Assurance function captured by delivery pressure</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3</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4</w:t>
            </w:r>
          </w:p>
        </w:tc>
        <w:tc>
          <w:tcPr>
            <w:tcW w:type="pct" w:w="4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12</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Organisational separation; independent G2 review; audit access to raw evidence</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18"/>
                <w:szCs w:val="18"/>
              </w:rPr>
              <w:t xml:space="preserve">Audit committee</w:t>
            </w:r>
          </w:p>
        </w:tc>
      </w:tr>
    </w:tbl>
    <w:p>
      <w:pPr>
        <w:spacing w:after="200" w:before="80" w:line="312"/>
        <w:jc w:val="left"/>
      </w:pPr>
      <w:r>
        <w:rPr>
          <w:rFonts w:ascii="Times New Roman" w:eastAsia="Times New Roman"/>
          <w:i/>
          <w:iCs/>
          <w:color w:val="595959"/>
          <w:sz w:val="18"/>
          <w:szCs w:val="18"/>
        </w:rPr>
        <w:t xml:space="preserve">Scores are illustrative using [Local Assumption] scale anchors; the Board should require these to be re-scored against the enterprise risk framework at programme charter approval.</w:t>
      </w:r>
    </w:p>
    <w:p>
      <w:pPr>
        <w:pStyle w:val="Heading1"/>
        <w:keepNext/>
        <w:spacing w:after="160" w:before="360" w:line="312"/>
        <w:jc w:val="center"/>
      </w:pPr>
      <w:bookmarkStart w:id="100011" w:name="_Toc100011"/>
      <w:r>
        <w:rPr>
          <w:rFonts w:ascii="Times New Roman" w:eastAsia="SimHei"/>
          <w:b/>
          <w:bCs/>
          <w:color w:val="1A5276"/>
          <w:sz w:val="32"/>
          <w:szCs w:val="32"/>
        </w:rPr>
        <w:t xml:space="preserve">8. Go/No-Go Assurance Framework</w:t>
      </w:r>
      <w:bookmarkEnd w:id="100011"/>
    </w:p>
    <w:p>
      <w:pPr>
        <w:pStyle w:val="Heading2"/>
        <w:keepNext/>
        <w:spacing w:after="120" w:before="240" w:line="312"/>
      </w:pPr>
      <w:bookmarkStart w:id="100012" w:name="_Toc100012"/>
      <w:r>
        <w:rPr>
          <w:rFonts w:ascii="Times New Roman" w:eastAsia="SimHei"/>
          <w:b/>
          <w:bCs/>
          <w:color w:val="1A5276"/>
          <w:sz w:val="30"/>
          <w:szCs w:val="30"/>
        </w:rPr>
        <w:t xml:space="preserve">8.1 Stage gates</w:t>
      </w:r>
      <w:bookmarkEnd w:id="100012"/>
    </w:p>
    <w:p>
      <w:pPr>
        <w:keepNext w:val="false"/>
        <w:spacing w:after="120" w:line="312"/>
        <w:jc w:val="left"/>
      </w:pPr>
      <w:r>
        <w:rPr>
          <w:rFonts w:ascii="Times New Roman" w:eastAsia="Times New Roman"/>
          <w:b w:val="false"/>
          <w:bCs w:val="false"/>
          <w:i w:val="false"/>
          <w:iCs w:val="false"/>
          <w:color w:val="000000"/>
          <w:sz w:val="24"/>
          <w:szCs w:val="24"/>
        </w:rPr>
        <w:t xml:space="preserve">The programme uses five gates. Gates are decisions, not ceremonies: each has entry evidence, a decision body, and defined outcomes (pass, pass with conditions, or no-go). Evidence packs expire; a use case whose pack ages beyond [90] days without re-assessment automatically drops back one gate. This expiry rule is what turns the framework from paperwork into a living control [Best practice].</w:t>
      </w:r>
    </w:p>
    <w:p>
      <w:pPr>
        <w:keepNext/>
        <w:spacing w:after="80" w:before="200" w:line="312"/>
        <w:jc w:val="left"/>
      </w:pPr>
      <w:r>
        <w:rPr>
          <w:rFonts w:ascii="Times New Roman" w:eastAsia="Times New Roman"/>
          <w:b/>
          <w:bCs/>
          <w:color w:val="000000"/>
          <w:sz w:val="21"/>
          <w:szCs w:val="21"/>
        </w:rPr>
        <w:t xml:space="preserve">Table 8.1 - Gate definitions and required evidence</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230"/>
        <w:gridCol w:w="2109"/>
        <w:gridCol w:w="3339"/>
        <w:gridCol w:w="2109"/>
      </w:tblGrid>
      <w:tr>
        <w:trPr>
          <w:cantSplit/>
          <w:tblHeader/>
        </w:trPr>
        <w:tc>
          <w:tcPr>
            <w:tcW w:type="pct" w:w="7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Gate</w:t>
            </w:r>
          </w:p>
        </w:tc>
        <w:tc>
          <w:tcPr>
            <w:tcW w:type="pct" w:w="12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Decision</w:t>
            </w:r>
          </w:p>
        </w:tc>
        <w:tc>
          <w:tcPr>
            <w:tcW w:type="pct" w:w="19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Required evidence (summary)</w:t>
            </w:r>
          </w:p>
        </w:tc>
        <w:tc>
          <w:tcPr>
            <w:tcW w:type="pct" w:w="12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Decision body</w:t>
            </w:r>
          </w:p>
        </w:tc>
      </w:tr>
      <w:tr>
        <w:trPr>
          <w:cantSplit/>
        </w:trPr>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G0</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Problem and use case accepted</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Problem statement; owner named; success measures proposed; high-level hazard list.</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AI Governance Committee</w:t>
            </w:r>
          </w:p>
        </w:tc>
      </w:tr>
      <w:tr>
        <w:trPr>
          <w:cantSplit/>
        </w:trPr>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G1</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Pilot in a controlled environment</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Baselines measured; targets set; safety case drafted; privacy (DPIA-style) assessment; security review; fallback plan; charter signed.</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Committee</w:t>
            </w:r>
          </w:p>
        </w:tc>
      </w:tr>
      <w:tr>
        <w:trPr>
          <w:cantSplit/>
        </w:trPr>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G2</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Pilot exit, limited deployment</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Pilot results vs targets; audit findings; incident record; updated safety case; benefits re-forecast; independent review commissioned.</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Committee + Executive sponsor</w:t>
            </w:r>
          </w:p>
        </w:tc>
      </w:tr>
      <w:tr>
        <w:trPr>
          <w:cantSplit/>
        </w:trPr>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G3</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Scaled deployment</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Scale plan; training completed; support model; monitoring green for [2] cycles; exit strategy confirmed; finance re-approval.</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Committee + Executive</w:t>
            </w:r>
          </w:p>
        </w:tc>
      </w:tr>
      <w:tr>
        <w:trPr>
          <w:cantSplit/>
        </w:trPr>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G4</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Steady-state assurance</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Evidence pack renewal; benefit realisation confirmed or variance explained; decision to continue, modify or retire.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Committee (Board informed)</w:t>
            </w:r>
          </w:p>
        </w:tc>
      </w:tr>
    </w:tbl>
    <w:p>
      <w:pPr>
        <w:spacing w:after="200" w:before="80" w:line="312"/>
        <w:jc w:val="left"/>
      </w:pPr>
      <w:r>
        <w:rPr>
          <w:rFonts w:ascii="Times New Roman" w:eastAsia="Times New Roman"/>
          <w:i/>
          <w:iCs/>
          <w:color w:val="595959"/>
          <w:sz w:val="18"/>
          <w:szCs w:val="18"/>
        </w:rPr>
        <w:t xml:space="preserve">The first independent external review is deliberately placed at G2, before scale: scaling on self-graded homework is the classic failure pattern this framework exists to prevent [Best practice].</w:t>
      </w:r>
    </w:p>
    <w:p>
      <w:pPr>
        <w:pStyle w:val="Heading2"/>
        <w:keepNext/>
        <w:spacing w:after="120" w:before="240" w:line="312"/>
      </w:pPr>
      <w:bookmarkStart w:id="100013" w:name="_Toc100013"/>
      <w:r>
        <w:rPr>
          <w:rFonts w:ascii="Times New Roman" w:eastAsia="SimHei"/>
          <w:b/>
          <w:bCs/>
          <w:color w:val="1A5276"/>
          <w:sz w:val="30"/>
          <w:szCs w:val="30"/>
        </w:rPr>
        <w:t xml:space="preserve">8.2 Automatic stop rules</w:t>
      </w:r>
      <w:bookmarkEnd w:id="100013"/>
    </w:p>
    <w:p>
      <w:pPr>
        <w:keepNext w:val="false"/>
        <w:spacing w:after="120" w:line="312"/>
        <w:jc w:val="left"/>
      </w:pPr>
      <w:r>
        <w:rPr>
          <w:rFonts w:ascii="Times New Roman" w:eastAsia="Times New Roman"/>
          <w:b w:val="false"/>
          <w:bCs w:val="false"/>
          <w:i w:val="false"/>
          <w:iCs w:val="false"/>
          <w:color w:val="000000"/>
          <w:sz w:val="24"/>
          <w:szCs w:val="24"/>
        </w:rPr>
        <w:t xml:space="preserve">Certain findings stop a use case immediately, without committee discretion, and trigger the postmortem procedure: any serious safety event where AI involvement is suspected; any confirmed privacy breach involving the AI system; any de-identification leak confirmed on real patient data; monitoring red for [2] consecutive cycles; evidence pack expiry during routine use; or fallback drill failure. The on-call operations lead executes the stop, the clinical safety officer owns communication, and the committee ratifies or modifies the action within [5] working days in writing. Stops are not punishments; they are the system working. A programme that never stops anything has either stopped testing or stopped telling the truth.</w:t>
      </w:r>
    </w:p>
    <w:p>
      <w:pPr>
        <w:keepNext w:val="false"/>
        <w:spacing w:after="120" w:line="312"/>
        <w:jc w:val="left"/>
      </w:pPr>
      <w:r>
        <w:rPr>
          <w:rFonts w:ascii="Times New Roman" w:eastAsia="Times New Roman"/>
          <w:b w:val="false"/>
          <w:bCs w:val="false"/>
          <w:i w:val="false"/>
          <w:iCs w:val="false"/>
          <w:color w:val="000000"/>
          <w:sz w:val="24"/>
          <w:szCs w:val="24"/>
        </w:rPr>
        <w:t xml:space="preserve">Every stop event receives a structured postmortem: timeline, contributing factors, evidence quality assessment, corrective actions with owners and dates, and a lessons-learned entry in the programme register. Postmortems are blameless toward individuals but explicit about systems and decisions; their outputs feed the next version of the corpora, thresholds and training. This is the capability the Board is effectively buying: the hospital's ability to learn from its own AI failures faster than they accumulate.</w:t>
      </w:r>
    </w:p>
    <w:p>
      <w:pPr>
        <w:pStyle w:val="Heading1"/>
        <w:keepNext/>
        <w:spacing w:after="160" w:before="360" w:line="312"/>
        <w:jc w:val="center"/>
      </w:pPr>
      <w:bookmarkStart w:id="100014" w:name="_Toc100014"/>
      <w:r>
        <w:rPr>
          <w:rFonts w:ascii="Times New Roman" w:eastAsia="SimHei"/>
          <w:b/>
          <w:bCs/>
          <w:color w:val="1A5276"/>
          <w:sz w:val="32"/>
          <w:szCs w:val="32"/>
        </w:rPr>
        <w:t xml:space="preserve">9. Financial Stewardship and Value for Money</w:t>
      </w:r>
      <w:bookmarkEnd w:id="100014"/>
    </w:p>
    <w:p>
      <w:pPr>
        <w:keepNext w:val="false"/>
        <w:spacing w:after="120" w:line="312"/>
        <w:jc w:val="left"/>
      </w:pPr>
      <w:r>
        <w:rPr>
          <w:rFonts w:ascii="Times New Roman" w:eastAsia="Times New Roman"/>
          <w:b w:val="false"/>
          <w:bCs w:val="false"/>
          <w:i w:val="false"/>
          <w:iCs w:val="false"/>
          <w:color w:val="000000"/>
          <w:sz w:val="24"/>
          <w:szCs w:val="24"/>
        </w:rPr>
        <w:t xml:space="preserve">The Board should treat programme money as gated, tranche-released funding tied to the same gates that govern clinical risk. Recommended structure: [Budget] for establishment (governance setup, baselines, probe capability, dashboard) released at G1; [Budget] for the pilot phase released at G2 review; and scale funding only at G3 with a benefits re-forecast on the table. All figures are placeholders pending the business case [To be confirmed]; what the Board adopts today is the funding discipline, not the amounts.</w:t>
      </w:r>
    </w:p>
    <w:p>
      <w:pPr>
        <w:keepNext w:val="false"/>
        <w:spacing w:after="120" w:line="312"/>
        <w:jc w:val="left"/>
      </w:pPr>
      <w:r>
        <w:rPr>
          <w:rFonts w:ascii="Times New Roman" w:eastAsia="Times New Roman"/>
          <w:b w:val="false"/>
          <w:bCs w:val="false"/>
          <w:i w:val="false"/>
          <w:iCs w:val="false"/>
          <w:color w:val="000000"/>
          <w:sz w:val="24"/>
          <w:szCs w:val="24"/>
        </w:rPr>
        <w:t xml:space="preserve">Value for money rests on three honest practices. First, benefits are declared per use case in the same units as the baseline (time, throughput, quality, cost avoidance) and tracked by finance, not by the programme marketing itself. Second, total cost of ownership includes the unglamorous lines: integration, monitoring, re-testing after updates, training refreshers, and the assurance overhead itself, which is estimated at [10-20]% of per-use-case delivery cost in comparable governance-heavy programmes [Local Assumption; validate during business case]. Third, avoided costs are counted only where a counterfactual exists (e.g., an incident that the probe suite demonstrably caught before release), never as broad claims.</w:t>
      </w:r>
    </w:p>
    <w:p>
      <w:pPr>
        <w:keepNext w:val="false"/>
        <w:spacing w:after="120" w:line="312"/>
        <w:jc w:val="left"/>
      </w:pPr>
      <w:r>
        <w:rPr>
          <w:rFonts w:ascii="Times New Roman" w:eastAsia="Times New Roman"/>
          <w:b w:val="false"/>
          <w:bCs w:val="false"/>
          <w:i w:val="false"/>
          <w:iCs w:val="false"/>
          <w:color w:val="000000"/>
          <w:sz w:val="24"/>
          <w:szCs w:val="24"/>
        </w:rPr>
        <w:t xml:space="preserve">The Board should also fix the anti-pattern it most needs to avoid: pilot purgatory, where endless small pilots consume goodwill without ever reaching a scale decision. The gate framework counters this by attaching expiry dates to pilots and by requiring G2 to end in one of three written outcomes: scale, stop, or re-scope with a date. Funding follows the same rule; there is no standing budget for pilots that do not conclude.</w:t>
      </w:r>
    </w:p>
    <w:p>
      <w:pPr>
        <w:pStyle w:val="Heading1"/>
        <w:keepNext/>
        <w:spacing w:after="160" w:before="360" w:line="312"/>
        <w:jc w:val="center"/>
      </w:pPr>
      <w:bookmarkStart w:id="100015" w:name="_Toc100015"/>
      <w:r>
        <w:rPr>
          <w:rFonts w:ascii="Times New Roman" w:eastAsia="SimHei"/>
          <w:b/>
          <w:bCs/>
          <w:color w:val="1A5276"/>
          <w:sz w:val="32"/>
          <w:szCs w:val="32"/>
        </w:rPr>
        <w:t xml:space="preserve">10. Resolutions Requested</w:t>
      </w:r>
      <w:bookmarkEnd w:id="100015"/>
    </w:p>
    <w:p>
      <w:pPr>
        <w:keepNext w:val="false"/>
        <w:spacing w:after="120" w:line="312"/>
        <w:jc w:val="left"/>
      </w:pPr>
      <w:r>
        <w:rPr>
          <w:rFonts w:ascii="Times New Roman" w:eastAsia="Times New Roman"/>
          <w:b w:val="false"/>
          <w:bCs w:val="false"/>
          <w:i w:val="false"/>
          <w:iCs w:val="false"/>
          <w:color w:val="000000"/>
          <w:sz w:val="24"/>
          <w:szCs w:val="24"/>
        </w:rPr>
        <w:t xml:space="preserve">The Board is asked to resolve as follows, each resolution to be recorded in the minutes with the date and the accountable executive.</w:t>
      </w:r>
    </w:p>
    <w:p>
      <w:pPr>
        <w:pStyle w:val="ListParagraph"/>
        <w:numPr>
          <w:ilvl w:val="0"/>
          <w:numId w:val="1"/>
        </w:numPr>
        <w:spacing w:after="80" w:line="312"/>
        <w:jc w:val="left"/>
      </w:pPr>
      <w:r>
        <w:rPr>
          <w:rFonts w:ascii="Times New Roman" w:eastAsia="Times New Roman"/>
          <w:color w:val="000000"/>
          <w:sz w:val="24"/>
          <w:szCs w:val="24"/>
        </w:rPr>
        <w:t xml:space="preserve">R1. Adopt the AI governance structure in Section 4, including the AI Governance Committee, its decision rights and its independence requirements, with immediate effect.</w:t>
      </w:r>
    </w:p>
    <w:p>
      <w:pPr>
        <w:pStyle w:val="ListParagraph"/>
        <w:numPr>
          <w:ilvl w:val="0"/>
          <w:numId w:val="1"/>
        </w:numPr>
        <w:spacing w:after="80" w:line="312"/>
        <w:jc w:val="left"/>
      </w:pPr>
      <w:r>
        <w:rPr>
          <w:rFonts w:ascii="Times New Roman" w:eastAsia="Times New Roman"/>
          <w:color w:val="000000"/>
          <w:sz w:val="24"/>
          <w:szCs w:val="24"/>
        </w:rPr>
        <w:t xml:space="preserve">R2. Adopt the board-level metrics and red-threshold escalation rule in Section 5, and require quarterly reporting against them in the Board risk report.</w:t>
      </w:r>
    </w:p>
    <w:p>
      <w:pPr>
        <w:pStyle w:val="ListParagraph"/>
        <w:numPr>
          <w:ilvl w:val="0"/>
          <w:numId w:val="1"/>
        </w:numPr>
        <w:spacing w:after="80" w:line="312"/>
        <w:jc w:val="left"/>
      </w:pPr>
      <w:r>
        <w:rPr>
          <w:rFonts w:ascii="Times New Roman" w:eastAsia="Times New Roman"/>
          <w:color w:val="000000"/>
          <w:sz w:val="24"/>
          <w:szCs w:val="24"/>
        </w:rPr>
        <w:t xml:space="preserve">R3. Adopt the go/no-go gate framework and automatic stop rules in Section 8, including evidence pack expiry and the stop-and-postmortem procedure.</w:t>
      </w:r>
    </w:p>
    <w:p>
      <w:pPr>
        <w:pStyle w:val="ListParagraph"/>
        <w:numPr>
          <w:ilvl w:val="0"/>
          <w:numId w:val="1"/>
        </w:numPr>
        <w:spacing w:after="80" w:line="312"/>
        <w:jc w:val="left"/>
      </w:pPr>
      <w:r>
        <w:rPr>
          <w:rFonts w:ascii="Times New Roman" w:eastAsia="Times New Roman"/>
          <w:color w:val="000000"/>
          <w:sz w:val="24"/>
          <w:szCs w:val="24"/>
        </w:rPr>
        <w:t xml:space="preserve">R4. Approve gated, tranche-released funding as described in Section 9, with amounts to be presented in the business case [Budget placeholder retained].</w:t>
      </w:r>
    </w:p>
    <w:p>
      <w:pPr>
        <w:pStyle w:val="ListParagraph"/>
        <w:numPr>
          <w:ilvl w:val="0"/>
          <w:numId w:val="1"/>
        </w:numPr>
        <w:spacing w:after="80" w:line="312"/>
        <w:jc w:val="left"/>
      </w:pPr>
      <w:r>
        <w:rPr>
          <w:rFonts w:ascii="Times New Roman" w:eastAsia="Times New Roman"/>
          <w:color w:val="000000"/>
          <w:sz w:val="24"/>
          <w:szCs w:val="24"/>
        </w:rPr>
        <w:t xml:space="preserve">R5. Commission an independent assurance review at gate G2 for the first use case, reporting to the Audit and Risk Committee.</w:t>
      </w:r>
    </w:p>
    <w:p>
      <w:pPr>
        <w:pStyle w:val="ListParagraph"/>
        <w:numPr>
          <w:ilvl w:val="0"/>
          <w:numId w:val="1"/>
        </w:numPr>
        <w:spacing w:after="80" w:line="312"/>
        <w:jc w:val="left"/>
      </w:pPr>
      <w:r>
        <w:rPr>
          <w:rFonts w:ascii="Times New Roman" w:eastAsia="Times New Roman"/>
          <w:color w:val="000000"/>
          <w:sz w:val="24"/>
          <w:szCs w:val="24"/>
        </w:rPr>
        <w:t xml:space="preserve">R6. Direct management to return at G3 with a benefits re-forecast, an updated risk register and counsel's confirmation of regulatory classification per use case.</w:t>
      </w:r>
    </w:p>
    <w:p>
      <w:pPr>
        <w:keepNext w:val="false"/>
        <w:spacing w:after="120" w:line="312"/>
        <w:jc w:val="left"/>
      </w:pPr>
      <w:r>
        <w:rPr>
          <w:rFonts w:ascii="Times New Roman" w:eastAsia="Times New Roman"/>
          <w:b w:val="false"/>
          <w:bCs w:val="false"/>
          <w:i w:val="false"/>
          <w:iCs w:val="false"/>
          <w:color w:val="000000"/>
          <w:sz w:val="24"/>
          <w:szCs w:val="24"/>
        </w:rPr>
        <w:t xml:space="preserve">Resolutions R1-R3 are governance commitments that cost little and bind everything else; R4-R6 are the financial and verification teeth. If the Board adopts only three things today, they should be R1, R3 and R5: structure, stop rules and independent eyes at the moment of scale.</w:t>
      </w:r>
    </w:p>
    <w:p>
      <w:pPr>
        <w:pStyle w:val="Heading1"/>
        <w:keepNext/>
        <w:spacing w:after="160" w:before="360" w:line="312"/>
        <w:jc w:val="center"/>
      </w:pPr>
      <w:bookmarkStart w:id="100016" w:name="_Toc100016"/>
      <w:r>
        <w:rPr>
          <w:rFonts w:ascii="Times New Roman" w:eastAsia="SimHei"/>
          <w:b/>
          <w:bCs/>
          <w:color w:val="1A5276"/>
          <w:sz w:val="32"/>
          <w:szCs w:val="32"/>
        </w:rPr>
        <w:t xml:space="preserve">11. Assumptions, Unknowns and Limitations</w:t>
      </w:r>
      <w:bookmarkEnd w:id="100016"/>
    </w:p>
    <w:p>
      <w:pPr>
        <w:keepNext w:val="false"/>
        <w:spacing w:after="120" w:line="312"/>
        <w:jc w:val="left"/>
      </w:pPr>
      <w:r>
        <w:rPr>
          <w:rFonts w:ascii="Times New Roman" w:eastAsia="Times New Roman"/>
          <w:b w:val="false"/>
          <w:bCs w:val="false"/>
          <w:i w:val="false"/>
          <w:iCs w:val="false"/>
          <w:color w:val="000000"/>
          <w:sz w:val="24"/>
          <w:szCs w:val="24"/>
        </w:rPr>
        <w:t xml:space="preserve">This paper assumes the hospital's existing governance instruments (clinical governance committee, risk framework, audit plan) can host the AI Governance Committee without creating parallel bureaucracy; where integration is not possible, the committee should stand alone but report into the existing quality governance line [Local Assumption]. It assumes counsel will be engaged to confirm the regulatory classification of each use case and the applicability of Act 737 and PDPA duties; nothing here is legal advice. It assumes metrics can be produced from existing systems at reasonable cost; where they cannot, the honest report to the Board is that the metric does not yet exist, not a number invented to fill the cell.</w:t>
      </w:r>
    </w:p>
    <w:p>
      <w:pPr>
        <w:keepNext w:val="false"/>
        <w:spacing w:after="120" w:line="312"/>
        <w:jc w:val="left"/>
      </w:pPr>
      <w:r>
        <w:rPr>
          <w:rFonts w:ascii="Times New Roman" w:eastAsia="Times New Roman"/>
          <w:b w:val="false"/>
          <w:bCs w:val="false"/>
          <w:i w:val="false"/>
          <w:iCs w:val="false"/>
          <w:color w:val="000000"/>
          <w:sz w:val="24"/>
          <w:szCs w:val="24"/>
        </w:rPr>
        <w:t xml:space="preserve">Principal unknowns: the final use-case portfolio and its funding envelope; the availability of independent assessors locally; the pace at which national AI guidance for healthcare crystallises; and vendor willingness to accept hospital-run testing as a contractual condition [To be confirmed per procurement]. The paper's own limitation is that it is a template: it gains force only when the placeholders are filled with measured baselines, named owners and real dates. The Board should regard an unfilled placeholder in a future report as a finding in itself.</w:t>
      </w:r>
    </w:p>
    <w:p>
      <w:pPr>
        <w:pStyle w:val="Heading1"/>
        <w:keepNext/>
        <w:spacing w:after="160" w:before="360" w:line="312"/>
        <w:jc w:val="center"/>
      </w:pPr>
      <w:bookmarkStart w:id="100017" w:name="_Toc100017"/>
      <w:r>
        <w:rPr>
          <w:rFonts w:ascii="Times New Roman" w:eastAsia="SimHei"/>
          <w:b/>
          <w:bCs/>
          <w:color w:val="1A5276"/>
          <w:sz w:val="32"/>
          <w:szCs w:val="32"/>
        </w:rPr>
        <w:t xml:space="preserve">Document Control</w:t>
      </w:r>
      <w:bookmarkEnd w:id="100017"/>
    </w:p>
    <w:p>
      <w:pPr>
        <w:keepNext w:val="false"/>
        <w:spacing w:after="120" w:line="312"/>
        <w:jc w:val="left"/>
      </w:pPr>
      <w:r>
        <w:rPr>
          <w:rFonts w:ascii="Times New Roman" w:eastAsia="Times New Roman"/>
          <w:b w:val="false"/>
          <w:bCs w:val="false"/>
          <w:i w:val="false"/>
          <w:iCs w:val="false"/>
          <w:color w:val="000000"/>
          <w:sz w:val="24"/>
          <w:szCs w:val="24"/>
        </w:rPr>
        <w:t xml:space="preserve">This section records the status, ownership and review discipline of this document. It exists so that the document itself can be governed with the same rigour the programme expects from the AI systems it assessor-assures: every reader can see who owns it, when it was last changed, and when it must next be reviewed. All names, signatures and dates are placeholders until the named roles complete their review at [Hospital Name].</w:t>
      </w:r>
    </w:p>
    <w:p>
      <w:pPr>
        <w:keepNext/>
        <w:spacing w:after="80" w:before="200" w:line="312"/>
        <w:jc w:val="left"/>
      </w:pPr>
      <w:r>
        <w:rPr>
          <w:rFonts w:ascii="Times New Roman" w:eastAsia="Times New Roman"/>
          <w:b/>
          <w:bCs/>
          <w:color w:val="000000"/>
          <w:sz w:val="21"/>
          <w:szCs w:val="21"/>
        </w:rPr>
        <w:t xml:space="preserve">Table D-1. Version history</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1055"/>
        <w:gridCol w:w="1582"/>
        <w:gridCol w:w="2812"/>
        <w:gridCol w:w="3339"/>
      </w:tblGrid>
      <w:tr>
        <w:trPr>
          <w:cantSplit/>
          <w:tblHeader/>
        </w:trPr>
        <w:tc>
          <w:tcPr>
            <w:tcW w:type="pct" w:w="6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Version</w:t>
            </w:r>
          </w:p>
        </w:tc>
        <w:tc>
          <w:tcPr>
            <w:tcW w:type="pct" w:w="9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Date</w:t>
            </w:r>
          </w:p>
        </w:tc>
        <w:tc>
          <w:tcPr>
            <w:tcW w:type="pct" w:w="16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Author</w:t>
            </w:r>
          </w:p>
        </w:tc>
        <w:tc>
          <w:tcPr>
            <w:tcW w:type="pct" w:w="19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Summary of changes</w:t>
            </w:r>
          </w:p>
        </w:tc>
      </w:tr>
      <w:tr>
        <w:trPr>
          <w:cantSplit/>
        </w:trPr>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0.1</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c>
          <w:tcPr>
            <w:tcW w:type="pct" w:w="1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Provar Programme Office</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Initial draft issued for stakeholder review and local completion.</w:t>
            </w:r>
          </w:p>
        </w:tc>
      </w:tr>
      <w:tr>
        <w:trPr>
          <w:cantSplit/>
        </w:trPr>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[Next version]</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c>
          <w:tcPr>
            <w:tcW w:type="pct" w:w="1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[Author]</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[Planned: insert hospital baselines, confirm owners, close placeholder fields.]</w:t>
            </w:r>
          </w:p>
        </w:tc>
      </w:tr>
    </w:tbl>
    <w:p>
      <w:pPr>
        <w:spacing w:after="200" w:before="80" w:line="312"/>
        <w:jc w:val="left"/>
      </w:pPr>
      <w:r>
        <w:rPr>
          <w:rFonts w:ascii="Times New Roman" w:eastAsia="Times New Roman"/>
          <w:i/>
          <w:iCs/>
          <w:color w:val="595959"/>
          <w:sz w:val="18"/>
          <w:szCs w:val="18"/>
        </w:rPr>
        <w:t xml:space="preserve">Version 0.1 content deliberately uses placeholders rather than invented hospital-specific values; see the section “How to read this document” and the basis tags used throughout.</w:t>
      </w:r>
    </w:p>
    <w:p>
      <w:pPr>
        <w:keepNext/>
        <w:spacing w:after="80" w:before="200" w:line="312"/>
        <w:jc w:val="left"/>
      </w:pPr>
      <w:r>
        <w:rPr>
          <w:rFonts w:ascii="Times New Roman" w:eastAsia="Times New Roman"/>
          <w:b/>
          <w:bCs/>
          <w:color w:val="000000"/>
          <w:sz w:val="21"/>
          <w:szCs w:val="21"/>
        </w:rPr>
        <w:t xml:space="preserve">Table D-2. Review and approval</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2636"/>
        <w:gridCol w:w="2285"/>
        <w:gridCol w:w="2109"/>
        <w:gridCol w:w="1758"/>
      </w:tblGrid>
      <w:tr>
        <w:trPr>
          <w:cantSplit/>
          <w:tblHeader/>
        </w:trPr>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Role</w:t>
            </w:r>
          </w:p>
        </w:tc>
        <w:tc>
          <w:tcPr>
            <w:tcW w:type="pct" w:w="13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Name</w:t>
            </w:r>
          </w:p>
        </w:tc>
        <w:tc>
          <w:tcPr>
            <w:tcW w:type="pct" w:w="12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Signature</w:t>
            </w:r>
          </w:p>
        </w:tc>
        <w:tc>
          <w:tcPr>
            <w:tcW w:type="pct" w:w="10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Board Chair or Committee Chair</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Audit and Risk Committee chair</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Chief Executive</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Programme director</w:t>
            </w:r>
          </w:p>
        </w:tc>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[Name]</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w:t>
            </w:r>
          </w:p>
        </w:tc>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bl>
    <w:p>
      <w:pPr>
        <w:spacing w:after="200" w:before="80" w:line="312"/>
        <w:jc w:val="left"/>
      </w:pPr>
      <w:r>
        <w:rPr>
          <w:rFonts w:ascii="Times New Roman" w:eastAsia="Times New Roman"/>
          <w:i/>
          <w:iCs/>
          <w:color w:val="595959"/>
          <w:sz w:val="18"/>
          <w:szCs w:val="18"/>
        </w:rPr>
        <w:t xml:space="preserve">Sign-off confirms only that the signatory has reviewed the document for their domain; it does not by itself discharge any gate in the go/no-go framework.</w:t>
      </w:r>
    </w:p>
    <w:p>
      <w:pPr>
        <w:keepNext/>
        <w:spacing w:after="80" w:before="200" w:line="312"/>
        <w:jc w:val="left"/>
      </w:pPr>
      <w:r>
        <w:rPr>
          <w:rFonts w:ascii="Times New Roman" w:eastAsia="Times New Roman"/>
          <w:b/>
          <w:bCs/>
          <w:color w:val="000000"/>
          <w:sz w:val="21"/>
          <w:szCs w:val="21"/>
        </w:rPr>
        <w:t xml:space="preserve">Table D-3. Custody and review discipline</w:t>
      </w:r>
    </w:p>
    <w:tbl>
      <w:tblPr>
        <w:tblW w:type="pct" w:w="5000"/>
        <w:tblBorders>
          <w:top w:val="single" w:color="1A5276" w:sz="2"/>
          <w:left w:val="none" w:color="FFFFFF" w:sz="0"/>
          <w:bottom w:val="single" w:color="1A5276" w:sz="2"/>
          <w:right w:val="none" w:color="FFFFFF" w:sz="0"/>
          <w:insideH w:val="single" w:color="D0DDE8" w:sz="1"/>
          <w:insideV w:val="none" w:color="FFFFFF" w:sz="0"/>
        </w:tblBorders>
      </w:tblPr>
      <w:tblGrid>
        <w:gridCol w:w="2636"/>
        <w:gridCol w:w="6152"/>
      </w:tblGrid>
      <w:tr>
        <w:trPr>
          <w:cantSplit/>
          <w:tblHeader/>
        </w:trPr>
        <w:tc>
          <w:tcPr>
            <w:tcW w:type="pct" w:w="1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Attribute</w:t>
            </w:r>
          </w:p>
        </w:tc>
        <w:tc>
          <w:tcPr>
            <w:tcW w:type="pct" w:w="3500"/>
            <w:shd w:fill="2E86C1"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Value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Classification</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Board confidential</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Distribution</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Board members; Audit and Risk Committee; executive sponsors on a need-to-know basis</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Storage location</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[Document management system reference]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Review cadence</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Quarterly, and on any material change to scope, vendor or regulation</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Next scheduled review</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[Date]</w:t>
            </w:r>
          </w:p>
        </w:tc>
      </w:tr>
      <w:tr>
        <w:trPr>
          <w:cantSplit/>
        </w:trPr>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Related documents</w:t>
            </w:r>
          </w:p>
        </w:tc>
        <w:tc>
          <w:tcPr>
            <w:tcW w:type="pct" w:w="3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CCOO Brief; IT Readiness and Infrastructure Design; Cross-Cutting Assurance Dossier (gates, Master Catalogue, Appendix A)</w:t>
            </w:r>
          </w:p>
        </w:tc>
      </w:tr>
    </w:tbl>
    <w:p>
      <w:pPr>
        <w:spacing w:after="200" w:before="80" w:line="312"/>
        <w:jc w:val="left"/>
      </w:pPr>
      <w:r>
        <w:rPr>
          <w:rFonts w:ascii="Times New Roman" w:eastAsia="Times New Roman"/>
          <w:i/>
          <w:iCs/>
          <w:color w:val="595959"/>
          <w:sz w:val="18"/>
          <w:szCs w:val="18"/>
        </w:rPr>
        <w:t xml:space="preserve">Classification and distribution are set by [Hospital Name] information governance; the defaults above are structural suggestions, not decisions.</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2" w:sz="2" w:space="4"/>
      </w:pBdr>
      <w:jc w:val="center"/>
    </w:pPr>
    <w:r>
      <w:rPr>
        <w:rFonts w:ascii="Times New Roman" w:eastAsia="Times New Roman"/>
        <w:color w:val="888888"/>
        <w:sz w:val="18"/>
        <w:szCs w:val="18"/>
      </w:rPr>
      <w:t xml:space="preserve">Hospital AI Programme — Board Assurance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5276"/>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5276"/>
      <w:sz w:val="30"/>
      <w:szCs w:val="30"/>
    </w:rPr>
  </w:style>
  <w:style w:type="paragraph" w:styleId="Heading3">
    <w:name w:val="Heading 3"/>
    <w:basedOn w:val="Normal"/>
    <w:next w:val="Normal"/>
    <w:qFormat/>
    <w:pPr>
      <w:spacing w:after="100" w:before="200" w:line="312"/>
      <w:outlineLvl w:val="2"/>
    </w:pPr>
    <w:rPr>
      <w:rFonts w:ascii="Times New Roman" w:eastAsia="SimHei"/>
      <w:b/>
      <w:bCs/>
      <w:color w:val="1A5276"/>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Assurance Paper</dc:title>
  <dc:creator>Provar Programme Office</dc:creator>
  <dc:description>Hospital AI Programme — Governance, Board Metrics and Go/No-Go Assurance</dc:description>
  <cp:lastModifiedBy>Un-named</cp:lastModifiedBy>
  <cp:revision>1</cp:revision>
  <dcterms:created xsi:type="dcterms:W3CDTF">2026-10-05T04:30:48.936Z</dcterms:created>
  <dcterms:modified xsi:type="dcterms:W3CDTF">2026-10-05T04:30:48.936Z</dcterms:modified>
</cp:coreProperties>
</file>

<file path=docProps/custom.xml><?xml version="1.0" encoding="utf-8"?>
<Properties xmlns="http://schemas.openxmlformats.org/officeDocument/2006/custom-properties" xmlns:vt="http://schemas.openxmlformats.org/officeDocument/2006/docPropsVTypes"/>
</file>