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5F8FC" w:val="clear"/>
            <w:vAlign w:val="top"/>
          </w:tcPr>
          <w:p>
            <w:pPr>
              <w:spacing w:before="4092"/>
            </w:pPr>
          </w:p>
          <w:p>
            <w:pPr>
              <w:pBdr>
                <w:bottom w:val="single" w:color="2E86C1" w:sz="6" w:space="8"/>
              </w:pBdr>
              <w:spacing w:after="500"/>
              <w:ind w:left="1200" w:right="800"/>
            </w:pPr>
            <w:r>
              <w:rPr>
                <w:rFonts w:ascii="Calibri" w:eastAsia="SimHei"/>
                <w:color w:val="2E86C1"/>
                <w:spacing w:val="40"/>
                <w:sz w:val="18"/>
                <w:szCs w:val="18"/>
              </w:rPr>
              <w:t xml:space="preserve">P  R  O  V  A  R     P  R  O  G  R  A  M  M  E</w:t>
            </w:r>
          </w:p>
          <w:p>
            <w:pPr>
              <w:spacing w:after="100" w:line="920" w:lineRule="atLeast"/>
              <w:ind w:left="1200"/>
            </w:pPr>
            <w:r>
              <w:rPr>
                <w:rFonts w:ascii="Arial" w:eastAsia="SimHei"/>
                <w:b/>
                <w:bCs/>
                <w:color w:val="1A5276"/>
                <w:sz w:val="80"/>
                <w:szCs w:val="80"/>
              </w:rPr>
              <w:t xml:space="preserve">Hospital AI</w:t>
            </w:r>
          </w:p>
          <w:p>
            <w:pPr>
              <w:spacing w:after="300" w:line="920" w:lineRule="atLeast"/>
              <w:ind w:left="1200"/>
            </w:pPr>
            <w:r>
              <w:rPr>
                <w:rFonts w:ascii="Arial" w:eastAsia="SimHei"/>
                <w:b/>
                <w:bCs/>
                <w:color w:val="1A5276"/>
                <w:sz w:val="80"/>
                <w:szCs w:val="80"/>
              </w:rPr>
              <w:t xml:space="preserve">Assurance Programme</w:t>
            </w:r>
          </w:p>
          <w:p>
            <w:pPr>
              <w:spacing w:after="800"/>
              <w:ind w:left="1200"/>
            </w:pPr>
            <w:r>
              <w:rPr>
                <w:rFonts w:ascii="Arial" w:eastAsia="Microsoft YaHei"/>
                <w:color w:val="606060"/>
                <w:sz w:val="24"/>
                <w:szCs w:val="24"/>
              </w:rPr>
              <w:t xml:space="preserve">Brief for the Chief Clinical Operations Officer</w:t>
            </w:r>
          </w:p>
          <w:p>
            <w:pPr>
              <w:pBdr>
                <w:left w:val="single" w:color="2E86C1" w:sz="8" w:space="12"/>
              </w:pBdr>
              <w:spacing w:after="80"/>
              <w:ind w:left="1400"/>
            </w:pPr>
            <w:r>
              <w:rPr>
                <w:rFonts w:ascii="Arial" w:eastAsia="Microsoft YaHei"/>
                <w:color w:val="707070"/>
                <w:sz w:val="24"/>
                <w:szCs w:val="24"/>
              </w:rPr>
              <w:t xml:space="preserve">Prepared for: [Hospital Name]</w:t>
            </w:r>
          </w:p>
          <w:p>
            <w:pPr>
              <w:pBdr>
                <w:left w:val="single" w:color="2E86C1" w:sz="8" w:space="12"/>
              </w:pBdr>
              <w:spacing w:after="80"/>
              <w:ind w:left="1400"/>
            </w:pPr>
            <w:r>
              <w:rPr>
                <w:rFonts w:ascii="Arial" w:eastAsia="Microsoft YaHei"/>
                <w:color w:val="707070"/>
                <w:sz w:val="24"/>
                <w:szCs w:val="24"/>
              </w:rPr>
              <w:t xml:space="preserve">Audience: Chief Clinical Operations Officer and clinical operations leadership</w:t>
            </w:r>
          </w:p>
          <w:p>
            <w:pPr>
              <w:pBdr>
                <w:left w:val="single" w:color="2E86C1" w:sz="8" w:space="12"/>
              </w:pBdr>
              <w:spacing w:after="80"/>
              <w:ind w:left="1400"/>
            </w:pPr>
            <w:r>
              <w:rPr>
                <w:rFonts w:ascii="Arial" w:eastAsia="Microsoft YaHei"/>
                <w:color w:val="707070"/>
                <w:sz w:val="24"/>
                <w:szCs w:val="24"/>
              </w:rPr>
              <w:t xml:space="preserve">Status: Version 0.1 draft for review — [Date]</w:t>
            </w:r>
          </w:p>
          <w:p>
            <w:pPr>
              <w:pBdr>
                <w:left w:val="single" w:color="2E86C1" w:sz="8" w:space="12"/>
              </w:pBdr>
              <w:spacing w:after="80"/>
              <w:ind w:left="1400"/>
            </w:pPr>
            <w:r>
              <w:rPr>
                <w:rFonts w:ascii="Arial" w:eastAsia="Microsoft YaHei"/>
                <w:color w:val="707070"/>
                <w:sz w:val="24"/>
                <w:szCs w:val="24"/>
              </w:rPr>
              <w:t xml:space="preserve">Classification: Internal — Governance</w:t>
            </w:r>
          </w:p>
          <w:p>
            <w:pPr>
              <w:spacing w:before="4092"/>
            </w:pPr>
          </w:p>
          <w:p>
            <w:pPr>
              <w:pBdr>
                <w:top w:val="single" w:color="2E86C1" w:sz="2" w:space="8"/>
              </w:pBdr>
              <w:spacing w:before="200"/>
              <w:ind w:left="1200" w:right="800"/>
            </w:pPr>
            <w:r>
              <w:rPr>
                <w:rFonts w:ascii="Arial"/>
                <w:color w:val="A0A0A0"/>
                <w:sz w:val="16"/>
                <w:szCs w:val="16"/>
              </w:rPr>
              <w:t xml:space="preserve">Provar — assurance layer for hospital AI</w:t>
            </w:r>
            <w:r>
              <w:t xml:space="preserve">                                        </w:t>
            </w:r>
            <w:r>
              <w:rPr>
                <w:rFonts w:ascii="Arial"/>
                <w:color w:val="A0A0A0"/>
                <w:sz w:val="16"/>
                <w:szCs w:val="16"/>
              </w:rPr>
              <w:t xml:space="preserve">[Hospital Name]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527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Why AI Assurance Matters to Clinical Operations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problem this programme solves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Euro NCAP analogy, in operational terms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What clinical operations gains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How to Read This Document: Basis and Placeholders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Impact on Clinical Workflows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Clinical Safety Concerns and Mitigations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6. Quantifiable Tests the CCOO Should Require</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7. The CCOO Dashboard</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8. What to Watch For: Early Warning Signs</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9. Decision Package: What the CCOO Is Asked to Approve</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10. Assumptions, Unknowns and Limitations</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Document Control</w:t>
            </w:r>
            <w:r>
              <w:tab/>
            </w:r>
            <w:r>
              <w:fldChar w:fldCharType="begin"/>
            </w:r>
            <w:r>
              <w:instrText xml:space="preserve"> PAGEREF _Toc100013 \h </w:instrText>
            </w:r>
            <w:r>
              <w:fldChar w:fldCharType="separate"/>
            </w:r>
            <w:r>
              <w:t>9</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jc w:val="center"/>
      </w:pPr>
      <w:bookmarkStart w:id="100000" w:name="_Toc100000"/>
      <w:r>
        <w:rPr>
          <w:rFonts w:ascii="Times New Roman" w:eastAsia="SimHei"/>
          <w:b/>
          <w:bCs/>
          <w:color w:val="1A5276"/>
          <w:sz w:val="32"/>
          <w:szCs w:val="32"/>
        </w:rPr>
        <w:t xml:space="preserve">1. Executive Summary</w:t>
      </w:r>
      <w:bookmarkEnd w:id="100000"/>
    </w:p>
    <w:p>
      <w:pPr>
        <w:keepNext w:val="false"/>
        <w:spacing w:after="120" w:line="312"/>
        <w:jc w:val="left"/>
      </w:pPr>
      <w:r>
        <w:rPr>
          <w:rFonts w:ascii="Times New Roman" w:eastAsia="Times New Roman"/>
          <w:b w:val="false"/>
          <w:bCs w:val="false"/>
          <w:i w:val="false"/>
          <w:iCs w:val="false"/>
          <w:color w:val="000000"/>
          <w:sz w:val="24"/>
          <w:szCs w:val="24"/>
        </w:rPr>
        <w:t xml:space="preserve">The hospital is preparing to deploy and continuously assure artificial intelligence (AI) systems that touch clinical work: decision support embedded in the electronic health record (EHR), a citation-forced retrieval assistant that must decline when evidence is missing, de-identification services that protect patient data, and imaging models such as left-ventricular ejection fraction (EF) estimation. This brief explains what the assurance programme means for clinical operations, what changes on the floor, what could go wrong, and which numbers the Chief Clinical Operations Officer (CCOO) should demand before and after go-live. It is written for operational leadership, not for engineers, and it deliberately avoids technical depth that belongs to the IT readiness document.</w:t>
      </w:r>
    </w:p>
    <w:p>
      <w:pPr>
        <w:keepNext w:val="false"/>
        <w:spacing w:after="120" w:line="312"/>
        <w:jc w:val="left"/>
      </w:pPr>
      <w:r>
        <w:rPr>
          <w:rFonts w:ascii="Times New Roman" w:eastAsia="Times New Roman"/>
          <w:b w:val="false"/>
          <w:bCs w:val="false"/>
          <w:i w:val="false"/>
          <w:iCs w:val="false"/>
          <w:color w:val="000000"/>
          <w:sz w:val="24"/>
          <w:szCs w:val="24"/>
        </w:rPr>
        <w:t xml:space="preserve">The core message is simple: no AI system should meet a patient's care pathway without passing a defined examination, and no AI system should stay in service without continuous monitoring. Think of the programme as the hospital's internal crash-test and roadworthiness regime, similar in spirit to how independent crash-testing changed car safety: manufacturers still build the cars, but an independent, repeatable test decides what can be trusted on the road. The hospital keeps full ownership of clinical judgement; the programme only verifies, measures and reports.</w:t>
      </w:r>
    </w:p>
    <w:p>
      <w:pPr>
        <w:keepNext w:val="false"/>
        <w:spacing w:after="120" w:line="312"/>
        <w:jc w:val="left"/>
      </w:pPr>
      <w:r>
        <w:rPr>
          <w:rFonts w:ascii="Times New Roman" w:eastAsia="Times New Roman"/>
          <w:b w:val="false"/>
          <w:bCs w:val="false"/>
          <w:i w:val="false"/>
          <w:iCs w:val="false"/>
          <w:color w:val="000000"/>
          <w:sz w:val="24"/>
          <w:szCs w:val="24"/>
        </w:rPr>
        <w:t xml:space="preserve">Three things are asked of the CCOO in this document: first, endorse the clinical workflow changes described in Section 4, including the rule that AI outputs are advisory and never auto-finalised; second, require the quantifiable tests listed in Section 6 to be completed with pre-agreed targets before any clinical go-live; third, review the operations dashboard defined in Section 7 on the agreed cadence and act on the early warning signs listed in Section 8. Nothing in this brief commits the hospital to a specific vendor; every hospital-specific number is a placeholder to be filled from local baselines.</w:t>
      </w:r>
    </w:p>
    <w:p>
      <w:pPr>
        <w:pBdr>
          <w:left w:val="single" w:color="1A5276" w:sz="12" w:space="12"/>
        </w:pBdr>
        <w:shd w:fill="EDF3F8" w:val="clear"/>
        <w:spacing w:after="160" w:before="120" w:line="312"/>
        <w:ind w:left="240" w:right="240"/>
        <w:jc w:val="left"/>
      </w:pPr>
      <w:r>
        <w:rPr>
          <w:rFonts w:ascii="Times New Roman" w:eastAsia="Times New Roman"/>
          <w:b/>
          <w:bCs/>
          <w:color w:val="1A5276"/>
          <w:sz w:val="22"/>
          <w:szCs w:val="22"/>
        </w:rPr>
        <w:t xml:space="preserve">Bottom line. </w:t>
      </w:r>
      <w:r>
        <w:rPr>
          <w:rFonts w:ascii="Times New Roman" w:eastAsia="Times New Roman"/>
          <w:color w:val="333333"/>
          <w:sz w:val="22"/>
          <w:szCs w:val="22"/>
        </w:rPr>
        <w:t xml:space="preserve">The programme should be allowed to say no. A deployment that cannot pass its own tests, or whose operators cannot explain its failures, must not go live - and after go-live it must be possible to switch it off without disrupting care. That is the standard the CCOO should hold the programme to.</w:t>
      </w:r>
    </w:p>
    <w:p>
      <w:pPr>
        <w:pStyle w:val="Heading1"/>
        <w:keepNext/>
        <w:spacing w:after="160" w:before="360" w:line="312"/>
        <w:jc w:val="center"/>
      </w:pPr>
      <w:bookmarkStart w:id="100001" w:name="_Toc100001"/>
      <w:r>
        <w:rPr>
          <w:rFonts w:ascii="Times New Roman" w:eastAsia="SimHei"/>
          <w:b/>
          <w:bCs/>
          <w:color w:val="1A5276"/>
          <w:sz w:val="32"/>
          <w:szCs w:val="32"/>
        </w:rPr>
        <w:t xml:space="preserve">2. Why AI Assurance Matters to Clinical Operations</w:t>
      </w:r>
      <w:bookmarkEnd w:id="100001"/>
    </w:p>
    <w:p>
      <w:pPr>
        <w:pStyle w:val="Heading2"/>
        <w:keepNext/>
        <w:spacing w:after="120" w:before="240" w:line="312"/>
      </w:pPr>
      <w:bookmarkStart w:id="100002" w:name="_Toc100002"/>
      <w:r>
        <w:rPr>
          <w:rFonts w:ascii="Times New Roman" w:eastAsia="SimHei"/>
          <w:b/>
          <w:bCs/>
          <w:color w:val="1A5276"/>
          <w:sz w:val="30"/>
          <w:szCs w:val="30"/>
        </w:rPr>
        <w:t xml:space="preserve">2.1 The problem this programme solves</w:t>
      </w:r>
      <w:bookmarkEnd w:id="100002"/>
    </w:p>
    <w:p>
      <w:pPr>
        <w:keepNext w:val="false"/>
        <w:spacing w:after="120" w:line="312"/>
        <w:jc w:val="left"/>
      </w:pPr>
      <w:r>
        <w:rPr>
          <w:rFonts w:ascii="Times New Roman" w:eastAsia="Times New Roman"/>
          <w:b w:val="false"/>
          <w:bCs w:val="false"/>
          <w:i w:val="false"/>
          <w:iCs w:val="false"/>
          <w:color w:val="000000"/>
          <w:sz w:val="24"/>
          <w:szCs w:val="24"/>
        </w:rPr>
        <w:t xml:space="preserve">Hospitals are being offered AI faster than they can verify it. Vendor claims are usually based on benchmark datasets that do not resemble the hospital's own patients, scanners, documentation habits or workflow. Published model performance is measured in laboratories; the operational question is different: does this system, in this hospital, with these staff, make care safer or faster without creating new failure modes? Answering that question honestly requires controlled testing, measured baselines and continuous monitoring - which is exactly what the assurance programme provides.</w:t>
      </w:r>
    </w:p>
    <w:p>
      <w:pPr>
        <w:keepNext w:val="false"/>
        <w:spacing w:after="120" w:line="312"/>
        <w:jc w:val="left"/>
      </w:pPr>
      <w:r>
        <w:rPr>
          <w:rFonts w:ascii="Times New Roman" w:eastAsia="Times New Roman"/>
          <w:b w:val="false"/>
          <w:bCs w:val="false"/>
          <w:i w:val="false"/>
          <w:iCs w:val="false"/>
          <w:color w:val="000000"/>
          <w:sz w:val="24"/>
          <w:szCs w:val="24"/>
        </w:rPr>
        <w:t xml:space="preserve">There is also a regulatory dimension that lands on operations, not only on IT. The European Union AI Act (Regulation (EU) 2024/1689) imposes obligations on high-risk AI systems, including those in healthcare, with core duties applying from 2 August 2026 [Standard]. Locally, the Medical Device Act 2010 (Act 737) and the Personal Data Protection Act 2010 as amended in 2024 shape what may be deployed and how data may be processed [Standard; verify current local instruments with counsel]. Even where rules are still maturing, the direction of travel is unambiguous: hospitals will have to evidence why an AI system is safe, effective and supervised. Building that evidence now is cheaper than retrofitting it later.</w:t>
      </w:r>
    </w:p>
    <w:p>
      <w:pPr>
        <w:pStyle w:val="Heading2"/>
        <w:keepNext/>
        <w:spacing w:after="120" w:before="240" w:line="312"/>
      </w:pPr>
      <w:bookmarkStart w:id="100003" w:name="_Toc100003"/>
      <w:r>
        <w:rPr>
          <w:rFonts w:ascii="Times New Roman" w:eastAsia="SimHei"/>
          <w:b/>
          <w:bCs/>
          <w:color w:val="1A5276"/>
          <w:sz w:val="30"/>
          <w:szCs w:val="30"/>
        </w:rPr>
        <w:t xml:space="preserve">2.2 The Euro NCAP analogy, in operational terms</w:t>
      </w:r>
      <w:bookmarkEnd w:id="100003"/>
    </w:p>
    <w:p>
      <w:pPr>
        <w:keepNext w:val="false"/>
        <w:spacing w:after="120" w:line="312"/>
        <w:jc w:val="left"/>
      </w:pPr>
      <w:r>
        <w:rPr>
          <w:rFonts w:ascii="Times New Roman" w:eastAsia="Times New Roman"/>
          <w:b w:val="false"/>
          <w:bCs w:val="false"/>
          <w:i w:val="false"/>
          <w:iCs w:val="false"/>
          <w:color w:val="000000"/>
          <w:sz w:val="24"/>
          <w:szCs w:val="24"/>
        </w:rPr>
        <w:t xml:space="preserve">Euro NCAP does not design cars; it buys them, crashes them under repeatable conditions and publishes star ratings. Car makers still sell the cars, but the independent rating changed procurement, design incentives and public trust. The assurance programme plays the Euro NCAP role inside the hospital: it does not build AI, it tests the deployed system under controlled and realistic conditions, publishes an evidence pack with a clear verdict, and re-tests after changes. Clinicians remain the drivers; the hospital remains the road authority; the programme makes sure the vehicle is roadworthy before it carries patients.</w:t>
      </w:r>
    </w:p>
    <w:p>
      <w:pPr>
        <w:keepNext w:val="false"/>
        <w:spacing w:after="120" w:line="312"/>
        <w:jc w:val="left"/>
      </w:pPr>
      <w:r>
        <w:rPr>
          <w:rFonts w:ascii="Times New Roman" w:eastAsia="Times New Roman"/>
          <w:b w:val="false"/>
          <w:bCs w:val="false"/>
          <w:i w:val="false"/>
          <w:iCs w:val="false"/>
          <w:color w:val="000000"/>
          <w:sz w:val="24"/>
          <w:szCs w:val="24"/>
        </w:rPr>
        <w:t xml:space="preserve">For clinical operations the analogy carries three practical lessons. First, testing must use realistic scenarios, including hostile ones - because roads are not empty. Second, a rating is a snapshot: a car tested once in 2020 is not automatically safe in 2026, and the same is true for AI models after software updates, population shifts or workflow changes. Third, transparency changes behaviour: when scores are visible, vendors and builders fix problems before being asked.</w:t>
      </w:r>
    </w:p>
    <w:p>
      <w:pPr>
        <w:pStyle w:val="Heading2"/>
        <w:keepNext/>
        <w:spacing w:after="120" w:before="240" w:line="312"/>
      </w:pPr>
      <w:bookmarkStart w:id="100004" w:name="_Toc100004"/>
      <w:r>
        <w:rPr>
          <w:rFonts w:ascii="Times New Roman" w:eastAsia="SimHei"/>
          <w:b/>
          <w:bCs/>
          <w:color w:val="1A5276"/>
          <w:sz w:val="30"/>
          <w:szCs w:val="30"/>
        </w:rPr>
        <w:t xml:space="preserve">2.3 What clinical operations gains</w:t>
      </w:r>
      <w:bookmarkEnd w:id="100004"/>
    </w:p>
    <w:p>
      <w:pPr>
        <w:keepNext w:val="false"/>
        <w:spacing w:after="120" w:line="312"/>
        <w:jc w:val="left"/>
      </w:pPr>
      <w:r>
        <w:rPr>
          <w:rFonts w:ascii="Times New Roman" w:eastAsia="Times New Roman"/>
          <w:b w:val="false"/>
          <w:bCs w:val="false"/>
          <w:i w:val="false"/>
          <w:iCs w:val="false"/>
          <w:color w:val="000000"/>
          <w:sz w:val="24"/>
          <w:szCs w:val="24"/>
        </w:rPr>
        <w:t xml:space="preserve">The programme gives the CCOO four concrete assets: a defensible go/no-go decision per use case, grounded in tests rather than vendor decks; a small set of operational metrics with pre-agreed thresholds, so debate happens about thresholds before deployment rather than anecdotes after it; a documented rollback path, so any AI-enabled workflow can return to its manual process within an agreed time; and an audit trail that satisfies regulators, insurers and internal audit without heroics. None of these assets exists reliably today in hospitals that adopt AI tool by tool without an assurance layer.</w:t>
      </w:r>
    </w:p>
    <w:p>
      <w:pPr>
        <w:pStyle w:val="Heading1"/>
        <w:keepNext/>
        <w:spacing w:after="160" w:before="360" w:line="312"/>
        <w:jc w:val="center"/>
      </w:pPr>
      <w:bookmarkStart w:id="100005" w:name="_Toc100005"/>
      <w:r>
        <w:rPr>
          <w:rFonts w:ascii="Times New Roman" w:eastAsia="SimHei"/>
          <w:b/>
          <w:bCs/>
          <w:color w:val="1A5276"/>
          <w:sz w:val="32"/>
          <w:szCs w:val="32"/>
        </w:rPr>
        <w:t xml:space="preserve">3. How to Read This Document: Basis and Placeholders</w:t>
      </w:r>
      <w:bookmarkEnd w:id="100005"/>
    </w:p>
    <w:p>
      <w:pPr>
        <w:keepNext w:val="false"/>
        <w:spacing w:after="120" w:line="312"/>
        <w:jc w:val="left"/>
      </w:pPr>
      <w:r>
        <w:rPr>
          <w:rFonts w:ascii="Times New Roman" w:eastAsia="Times New Roman"/>
          <w:b w:val="false"/>
          <w:bCs w:val="false"/>
          <w:i w:val="false"/>
          <w:iCs w:val="false"/>
          <w:color w:val="000000"/>
          <w:sz w:val="24"/>
          <w:szCs w:val="24"/>
        </w:rPr>
        <w:t xml:space="preserve">This document is a governance template, not a report of measured facts about [Hospital Name]. To keep it legitimate, every claim is tagged by basis, and every hospital-specific number is a placeholder in square brackets. Nothing should be quoted externally until placeholders are filled and assumptions are confirmed locally.</w:t>
      </w:r>
    </w:p>
    <w:p>
      <w:pPr>
        <w:keepNext/>
        <w:spacing w:after="80" w:before="200" w:line="312"/>
        <w:jc w:val="left"/>
      </w:pPr>
      <w:r>
        <w:rPr>
          <w:rFonts w:ascii="Times New Roman" w:eastAsia="Times New Roman"/>
          <w:b/>
          <w:bCs/>
          <w:color w:val="000000"/>
          <w:sz w:val="21"/>
          <w:szCs w:val="21"/>
        </w:rPr>
        <w:t xml:space="preserve">Table 3.1 - Basis tags used throughout the document set</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582"/>
        <w:gridCol w:w="3867"/>
        <w:gridCol w:w="3339"/>
      </w:tblGrid>
      <w:tr>
        <w:trPr>
          <w:cantSplit/>
          <w:tblHeader/>
        </w:trPr>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Tag</w:t>
            </w:r>
          </w:p>
        </w:tc>
        <w:tc>
          <w:tcPr>
            <w:tcW w:type="pct" w:w="2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Meaning</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Examples in this document set</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[Standard]</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Published, verifiable external standard, regulation or guidance with a real citation.</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EU AI Act (Regulation (EU) 2024/1689); ISO/IEC 42001:2023; HL7 FHIR R4; WHO ethics guidance on AI for health (2021).</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[Best practice]</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Widely adopted professional practice that is not a codified standard.</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Pilot-then-scale rollout; clinical champion model; pre-agreed rollback rehearsal before go-live.</w:t>
            </w:r>
          </w:p>
        </w:tc>
      </w:tr>
      <w:tr>
        <w:trPr>
          <w:cantSplit/>
        </w:trPr>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Assumption]</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 statement the programme assumes true locally but that must be verified by [Hospital Name].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Network segmentation capacity; GPU headroom; staff digital skills; baseline alert override rates.</w:t>
            </w:r>
          </w:p>
        </w:tc>
      </w:tr>
    </w:tbl>
    <w:p>
      <w:pPr>
        <w:spacing w:after="200" w:before="80" w:line="312"/>
        <w:jc w:val="left"/>
      </w:pPr>
      <w:r>
        <w:rPr>
          <w:rFonts w:ascii="Times New Roman" w:eastAsia="Times New Roman"/>
          <w:i/>
          <w:iCs/>
          <w:color w:val="595959"/>
          <w:sz w:val="18"/>
          <w:szCs w:val="18"/>
        </w:rPr>
        <w:t xml:space="preserve">Any statement without a tag in a table cell inherits the basis of its section. Regulatory statements are summaries for governance discussion, not legal advice; counsel must verify current law and guidance.</w:t>
      </w:r>
    </w:p>
    <w:p>
      <w:pPr>
        <w:keepNext w:val="false"/>
        <w:spacing w:after="120" w:line="312"/>
        <w:jc w:val="left"/>
      </w:pPr>
      <w:r>
        <w:rPr>
          <w:rFonts w:ascii="Times New Roman" w:eastAsia="Times New Roman"/>
          <w:b w:val="false"/>
          <w:bCs w:val="false"/>
          <w:i w:val="false"/>
          <w:iCs w:val="false"/>
          <w:color w:val="000000"/>
          <w:sz w:val="24"/>
          <w:szCs w:val="24"/>
        </w:rPr>
        <w:t xml:space="preserve">Placeholders follow a fixed vocabulary so that they can be filled by find-and-replace: [Hospital Name], [Baseline], [Target], [Vendor], [Owner], [Date], [Budget], [To be confirmed]. Where a metric cannot yet be measured, the honest entry is the placeholder plus the measurement method, not an invented number. A metric with no owner and no cadence should be treated as decorative and removed.</w:t>
      </w:r>
    </w:p>
    <w:p>
      <w:pPr>
        <w:pStyle w:val="Heading1"/>
        <w:keepNext/>
        <w:spacing w:after="160" w:before="360" w:line="312"/>
        <w:jc w:val="center"/>
      </w:pPr>
      <w:bookmarkStart w:id="100006" w:name="_Toc100006"/>
      <w:r>
        <w:rPr>
          <w:rFonts w:ascii="Times New Roman" w:eastAsia="SimHei"/>
          <w:b/>
          <w:bCs/>
          <w:color w:val="1A5276"/>
          <w:sz w:val="32"/>
          <w:szCs w:val="32"/>
        </w:rPr>
        <w:t xml:space="preserve">4. Impact on Clinical Workflows</w:t>
      </w:r>
      <w:bookmarkEnd w:id="100006"/>
    </w:p>
    <w:p>
      <w:pPr>
        <w:keepNext w:val="false"/>
        <w:spacing w:after="120" w:line="312"/>
        <w:jc w:val="left"/>
      </w:pPr>
      <w:r>
        <w:rPr>
          <w:rFonts w:ascii="Times New Roman" w:eastAsia="Times New Roman"/>
          <w:b w:val="false"/>
          <w:bCs w:val="false"/>
          <w:i w:val="false"/>
          <w:iCs w:val="false"/>
          <w:color w:val="000000"/>
          <w:sz w:val="24"/>
          <w:szCs w:val="24"/>
        </w:rPr>
        <w:t xml:space="preserve">AI changes work in two directions at once: some steps disappear, others are added. The honest position is that the added steps come first (consent handling, verification, reporting of issues) and the removed steps (searching for evidence, drafting text, measuring structures) only pay back once trust and integration mature. The CCOO should insist that every workflow be described in this before-and-after form before deployment, so the true cost of the added steps is visible and temporary friction is not mistaken for permanent failure.</w:t>
      </w:r>
    </w:p>
    <w:p>
      <w:pPr>
        <w:keepNext w:val="false"/>
        <w:spacing w:after="120" w:line="312"/>
        <w:jc w:val="left"/>
      </w:pPr>
      <w:r>
        <w:rPr>
          <w:rFonts w:ascii="Times New Roman" w:eastAsia="Times New Roman"/>
          <w:b w:val="false"/>
          <w:bCs w:val="false"/>
          <w:i w:val="false"/>
          <w:iCs w:val="false"/>
          <w:color w:val="000000"/>
          <w:sz w:val="24"/>
          <w:szCs w:val="24"/>
        </w:rPr>
        <w:t xml:space="preserve">The programme introduces one structural change that affects all AI-enabled workflows: a deployment gate. A use case may enter pilot only with an approved evidence pack, named clinical owner, defined fallback, and monitoring dashboard; it may enter routine use only after the pilot exit review. This is the same discipline pharmacies, transfusion services and radiotherapy already apply to high-risk processes, extended to AI [Best practice].</w:t>
      </w:r>
    </w:p>
    <w:p>
      <w:pPr>
        <w:keepNext/>
        <w:spacing w:after="80" w:before="200" w:line="312"/>
        <w:jc w:val="left"/>
      </w:pPr>
      <w:r>
        <w:rPr>
          <w:rFonts w:ascii="Times New Roman" w:eastAsia="Times New Roman"/>
          <w:b/>
          <w:bCs/>
          <w:color w:val="000000"/>
          <w:sz w:val="21"/>
          <w:szCs w:val="21"/>
        </w:rPr>
        <w:t xml:space="preserve">Table 4.1 - Workflow impact summary for the initial use-case set</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406"/>
        <w:gridCol w:w="2285"/>
        <w:gridCol w:w="2285"/>
        <w:gridCol w:w="1758"/>
        <w:gridCol w:w="1055"/>
      </w:tblGrid>
      <w:tr>
        <w:trPr>
          <w:cantSplit/>
          <w:tblHeader/>
        </w:trPr>
        <w:tc>
          <w:tcPr>
            <w:tcW w:type="pct" w:w="8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Workflow</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What changes for staff</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What does not change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Main operational risk</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Evidence retrieval and drafting assistant (citation-forced RAG with explicit NOT_COVERED refusals)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Clinician reads AI-drafted text with citations, verifies sources, edits before any use in documentation; learns to interpret refusal outputs as normal behaviour.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responsibility, final wording of documentation, documentation review and sign-off rules.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Over-trust and copy-paste of unverified text; extra reading time during early adoption.</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clinical champion per unit]</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Clinical decision support (CDS Hooks cards in the EHR)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 card appears at defined moments (e.g., patient-view) with advisory content and links; no auto-orders, no auto-notes.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Ordering authority, clinical judgement, existing alert systems.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Alert fatigue stacking on top of existing alerts; inconsistent responses across units.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CMIO delegate]</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De-identification pipeline for secondary use of text</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stewards follow an approval and sampling workflow for datasets leaving the clinical zone.</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Primary care documentation; who may access identified records.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Residual leakage risk in free text; approval delays if governance is unclear.</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data governance lead]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Cardiac imaging support (EF estimation from echo)</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Sonographer or cardiologist confirms machine-measured values; discrepancies are flagged and logged.</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Study acquisition protocol, reporting templates, final diagnosis authority.</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Automation bias in numeric readings; drift when scanner mix changes.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cardiology imaging lead]</w:t>
            </w:r>
          </w:p>
        </w:tc>
      </w:tr>
      <w:tr>
        <w:trPr>
          <w:cantSplit/>
        </w:trPr>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and evidence pack generation (assurance layer)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Near-zero daily change: automated evidence collection runs in background; staff may be interviewed during assessments.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Existing clinical audit programme.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Perceived surveillance if not explained; evidence quality depends on integration maturity.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quality and safety lead]</w:t>
            </w:r>
          </w:p>
        </w:tc>
      </w:tr>
    </w:tbl>
    <w:p>
      <w:pPr>
        <w:spacing w:after="200" w:before="80" w:line="312"/>
        <w:jc w:val="left"/>
      </w:pPr>
      <w:r>
        <w:rPr>
          <w:rFonts w:ascii="Times New Roman" w:eastAsia="Times New Roman"/>
          <w:i/>
          <w:iCs/>
          <w:color w:val="595959"/>
          <w:sz w:val="18"/>
          <w:szCs w:val="18"/>
        </w:rPr>
        <w:t xml:space="preserve">Rows describe the reference use-case set for [Hospital Name]; confirm the actual initial scope in the programme charter [To be confirmed]. None of the rows implies autonomous clinical action.</w:t>
      </w:r>
    </w:p>
    <w:p>
      <w:pPr>
        <w:keepNext w:val="false"/>
        <w:spacing w:after="120" w:line="312"/>
        <w:jc w:val="left"/>
      </w:pPr>
      <w:r>
        <w:rPr>
          <w:rFonts w:ascii="Times New Roman" w:eastAsia="Times New Roman"/>
          <w:b w:val="false"/>
          <w:bCs w:val="false"/>
          <w:i w:val="false"/>
          <w:iCs w:val="false"/>
          <w:color w:val="000000"/>
          <w:sz w:val="24"/>
          <w:szCs w:val="24"/>
        </w:rPr>
        <w:t xml:space="preserve">Two rules should be adopted hospital-wide and written into the deployment gate. First, human-in-command: every AI output is advisory, attributable and reviewable, and no AI output may auto-finalise a clinical record, order or communication. Second, graceful degradation: every AI-enabled workflow must have a tested manual fallback, and staff must know how to invoke it. Both rules are [Best practice] aligned with the intent of international guidance on human oversight of AI, including the WHO guidance on ethics and governance of AI for health (2021) [Standard].</w:t>
      </w:r>
    </w:p>
    <w:p>
      <w:pPr>
        <w:pStyle w:val="Heading1"/>
        <w:keepNext/>
        <w:spacing w:after="160" w:before="360" w:line="312"/>
        <w:jc w:val="center"/>
      </w:pPr>
      <w:bookmarkStart w:id="100007" w:name="_Toc100007"/>
      <w:r>
        <w:rPr>
          <w:rFonts w:ascii="Times New Roman" w:eastAsia="SimHei"/>
          <w:b/>
          <w:bCs/>
          <w:color w:val="1A5276"/>
          <w:sz w:val="32"/>
          <w:szCs w:val="32"/>
        </w:rPr>
        <w:t xml:space="preserve">5. Clinical Safety Concerns and Mitigations</w:t>
      </w:r>
      <w:bookmarkEnd w:id="100007"/>
    </w:p>
    <w:p>
      <w:pPr>
        <w:keepNext w:val="false"/>
        <w:spacing w:after="120" w:line="312"/>
        <w:jc w:val="left"/>
      </w:pPr>
      <w:r>
        <w:rPr>
          <w:rFonts w:ascii="Times New Roman" w:eastAsia="Times New Roman"/>
          <w:b w:val="false"/>
          <w:bCs w:val="false"/>
          <w:i w:val="false"/>
          <w:iCs w:val="false"/>
          <w:color w:val="000000"/>
          <w:sz w:val="24"/>
          <w:szCs w:val="24"/>
        </w:rPr>
        <w:t xml:space="preserve">The realistic safety concerns are not science-fiction scenarios; they are the mundane failure modes that human-factors and safety science have documented in every other introduced technology. The programme treats each concern as a hazard with a mitigation, an owner and a measurable signal, following the same logic as ISO 14971 risk management for medical devices [Standard] and the ten Good Machine Learning Practice guiding principles published by regulators including the US FDA, UK MHRA and Health Canada (2021) [Standard].</w:t>
      </w:r>
    </w:p>
    <w:p>
      <w:pPr>
        <w:keepNext/>
        <w:spacing w:after="80" w:before="200" w:line="312"/>
        <w:jc w:val="left"/>
      </w:pPr>
      <w:r>
        <w:rPr>
          <w:rFonts w:ascii="Times New Roman" w:eastAsia="Times New Roman"/>
          <w:b/>
          <w:bCs/>
          <w:color w:val="000000"/>
          <w:sz w:val="21"/>
          <w:szCs w:val="21"/>
        </w:rPr>
        <w:t xml:space="preserve">Table 5.1 - Principal safety concerns, mitigations and observable signals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758"/>
        <w:gridCol w:w="2636"/>
        <w:gridCol w:w="2636"/>
        <w:gridCol w:w="1758"/>
      </w:tblGrid>
      <w:tr>
        <w:trPr>
          <w:cantSplit/>
          <w:tblHeader/>
        </w:trPr>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Concern</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Why it is realistic here</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Mitigation and control</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Observable signal to watch</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Automation bias (over-trust)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Busy clinicians with time pressure tend to accept plausible suggestions; effects are documented across decision support literature.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Advisory-only outputs; verification steps in workflow; periodic blinded concordance tests; explicit refusal messages from the RAG assistant.</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Concordance rate drift; falling edit distance between AI draft and final note; falling override rate without explanation.</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Alert fatigue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EHR already generates many alerts; adding cards without pruning creates noise.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CDS card budget per workflow; retirement of low-value legacy alerts alongside each new card; quarterly alert review.</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Override and dismissal rates per card; time-to-action; clinician survey scores.</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Silent model failure and drift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performance degrades quietly when inputs shift (new scanners, coding changes, case mix).</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Continuous input/output monitoring; scheduled re-runs of the probe suite; automatic traffic-light demotion on threshold breach.</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Monitoring dashboards going amber/red; probe suite score changes after updates.</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Privacy leakage via free text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De-identification of clinical text is probabilistic; rare identifiers slip through.</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Layered de-identification (Presidio/medspaCy or equivalent); leakage probes with red-team style corpora; sampling audits by humans.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Leakage rate on probe suites and sampled audits; incident reports.</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Skill degradation</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Over-reliance can erode manual skills (e.g., manual EF measurement).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Retain manual competency training; periodic dual-reading exercises; track discrepancy handling quality.</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Dual-reading discrepancy trends; competency assessment results.</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Workaround culture and shadow AI</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If sanctioned tools are slow or awkward, staff quietly use unapproved public tools, which is the worst privacy outcome.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Fast, well-integrated sanctioned tools; explicit shadow-AI policy; amnesty-style reporting channel; monitor for unapproved tool signatures.</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IT detections of unsanctioned services; staff survey honesty indicators; incident patterns.</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Accountability gaps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If unclear who owns an AI-influenced decision, incidents are neither reported nor learned from.</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Named clinical owner per use case; AI involvement recorded in documentation; incident pathway includes AI-specific category.</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Incident reports with AI involvement; closure rates of corrective actions.</w:t>
            </w:r>
          </w:p>
        </w:tc>
      </w:tr>
    </w:tbl>
    <w:p>
      <w:pPr>
        <w:spacing w:after="200" w:before="80" w:line="312"/>
        <w:jc w:val="left"/>
      </w:pPr>
      <w:r>
        <w:rPr>
          <w:rFonts w:ascii="Times New Roman" w:eastAsia="Times New Roman"/>
          <w:i/>
          <w:iCs/>
          <w:color w:val="595959"/>
          <w:sz w:val="18"/>
          <w:szCs w:val="18"/>
        </w:rPr>
        <w:t xml:space="preserve">Hazard list is a starting point for the clinical safety case, which must be completed before gate G1 (see the Cross-Cutting Dossier, Section 4). It is not exhaustive.</w:t>
      </w:r>
    </w:p>
    <w:p>
      <w:pPr>
        <w:keepNext w:val="false"/>
        <w:spacing w:after="120" w:line="312"/>
        <w:jc w:val="left"/>
      </w:pPr>
      <w:r>
        <w:rPr>
          <w:rFonts w:ascii="Times New Roman" w:eastAsia="Times New Roman"/>
          <w:b w:val="false"/>
          <w:bCs w:val="false"/>
          <w:i w:val="false"/>
          <w:iCs w:val="false"/>
          <w:color w:val="000000"/>
          <w:sz w:val="24"/>
          <w:szCs w:val="24"/>
        </w:rPr>
        <w:t xml:space="preserve">The CCOO should specifically resist two temptations. The first is speed without a safety case: a pilot that skips hazard analysis is not faster, it simply moves discovery of problems to live care. The second is metric vanity: reporting only the metrics that flatter the programme (e.g., usage volume) while ignoring override rates, refusals and discrepancy trends hides exactly the signals operations needs. The dashboard in Section 7 is designed to make the uncomfortable metrics as visible as the comfortable ones.</w:t>
      </w:r>
    </w:p>
    <w:p>
      <w:pPr>
        <w:pStyle w:val="Heading1"/>
        <w:keepNext/>
        <w:spacing w:after="160" w:before="360" w:line="312"/>
        <w:jc w:val="center"/>
      </w:pPr>
      <w:bookmarkStart w:id="100008" w:name="_Toc100008"/>
      <w:r>
        <w:rPr>
          <w:rFonts w:ascii="Times New Roman" w:eastAsia="SimHei"/>
          <w:b/>
          <w:bCs/>
          <w:color w:val="1A5276"/>
          <w:sz w:val="32"/>
          <w:szCs w:val="32"/>
        </w:rPr>
        <w:t xml:space="preserve">6. Quantifiable Tests the CCOO Should Require</w:t>
      </w:r>
      <w:bookmarkEnd w:id="100008"/>
    </w:p>
    <w:p>
      <w:pPr>
        <w:keepNext w:val="false"/>
        <w:spacing w:after="120" w:line="312"/>
        <w:jc w:val="left"/>
      </w:pPr>
      <w:r>
        <w:rPr>
          <w:rFonts w:ascii="Times New Roman" w:eastAsia="Times New Roman"/>
          <w:b w:val="false"/>
          <w:bCs w:val="false"/>
          <w:i w:val="false"/>
          <w:iCs w:val="false"/>
          <w:color w:val="000000"/>
          <w:sz w:val="24"/>
          <w:szCs w:val="24"/>
        </w:rPr>
        <w:t xml:space="preserve">The following table is the operational heart of this brief. Each row is a test or metric with a baseline placeholder, a target placeholder, a measurement method, an owner and a cadence. The CCOO's rule should be: no baseline, no pilot; no target, no go-live; no cadence, no continued operation. Targets must be set locally against [Baseline] values during pilot design, because targets imported from other hospitals or vendor decks are not evidence.</w:t>
      </w:r>
    </w:p>
    <w:p>
      <w:pPr>
        <w:keepNext/>
        <w:spacing w:after="80" w:before="200" w:line="312"/>
        <w:jc w:val="left"/>
      </w:pPr>
      <w:r>
        <w:rPr>
          <w:rFonts w:ascii="Times New Roman" w:eastAsia="Times New Roman"/>
          <w:b/>
          <w:bCs/>
          <w:color w:val="000000"/>
          <w:sz w:val="21"/>
          <w:szCs w:val="21"/>
        </w:rPr>
        <w:t xml:space="preserve">Table 6.1 - Required quantifiable tests and success metrics (clinical operations view)</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933"/>
        <w:gridCol w:w="1055"/>
        <w:gridCol w:w="1055"/>
        <w:gridCol w:w="2109"/>
        <w:gridCol w:w="1318"/>
        <w:gridCol w:w="1318"/>
      </w:tblGrid>
      <w:tr>
        <w:trPr>
          <w:cantSplit/>
          <w:tblHeader/>
        </w:trPr>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Metric</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Baseline</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Target</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Measurement method</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Cadence</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Time to first draft of evidence summary (RAG assistant)</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System logs from pilot cohort vs matched pre-pilot cohort; same question mix.</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clinical champion]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 in pilot; monthly after</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Citation verification rate (share of AI-drafted statements checked before use)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Sampled documentation audit; verification field in assistant UI.</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quality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NOT_COVERED refusal precision (refusals that were truly out of coverage)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Clinician adjudication of a random refusal sample using a standard rubric.</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CMIO delegate]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 in pilot; quarterly after</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Uncaught hallucination rate in sampled outputs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Structured audit of sampled assistant outputs against cited sources.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quality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CDS card acceptance rate (accepted / shown)</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event logs per card type.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CMIO delegate]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 in pilot; monthly after</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CDS card override rate with reason codes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event logs; reason captured on dismissal.</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CMIO delegate]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 in pilot; monthly after</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Alert burden delta (total interruptions per clinician-day)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interruption audit before/after each card addition.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clinical informatics]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change; quarterly review</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EF measurement agreement (AI vs manual Simpson biplane)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Blinded dual-reading on a stratified echo sample; Bland-Altman analysis.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cardiology imaging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Time to reportable EF study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Echo lab timestamps (order-to-report).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echo lab manager]</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De-identification leakage rate on probe corpus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Standard probe suite with planted identifiers run on each release.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data governance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Each release; quarterly full run</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De-identification leakage on sampled real data</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Manual review of random samples by two reviewers with adjudication.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data governance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Workflow cycle time (documented end-to-end per workflow)</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Timestamp mining from EHR; define segment boundaries per workflow map.</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operations analytics]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Clinician-reported workload (validated short instrument, e.g., NASA-TLX or SUS)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Survey on fixed schedule with same instrument and sampling plan.</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operations + champions]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AI-related incident reports per 1,000 AI-influenced episodes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Incident system with AI-specific category; denominator from logs.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quality and safety lead]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Fallback drill success (manual path restores workflow within agreed time)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Scheduled failover exercise per workflow, timed and observed.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[Owner: operations + IT]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r>
    </w:tbl>
    <w:p>
      <w:pPr>
        <w:spacing w:after="200" w:before="80" w:line="312"/>
        <w:jc w:val="left"/>
      </w:pPr>
      <w:r>
        <w:rPr>
          <w:rFonts w:ascii="Times New Roman" w:eastAsia="Times New Roman"/>
          <w:i/>
          <w:iCs/>
          <w:color w:val="595959"/>
          <w:sz w:val="18"/>
          <w:szCs w:val="18"/>
        </w:rPr>
        <w:t xml:space="preserve">Baseline and Target are deliberately placeholders: set them from local measurement during pilot design. A metric that cannot name its owner or cadence should be dropped, not faked.</w:t>
      </w:r>
    </w:p>
    <w:p>
      <w:pPr>
        <w:keepNext w:val="false"/>
        <w:spacing w:after="120" w:line="312"/>
        <w:jc w:val="left"/>
      </w:pPr>
      <w:r>
        <w:rPr>
          <w:rFonts w:ascii="Times New Roman" w:eastAsia="Times New Roman"/>
          <w:b w:val="false"/>
          <w:bCs w:val="false"/>
          <w:i w:val="false"/>
          <w:iCs w:val="false"/>
          <w:color w:val="000000"/>
          <w:sz w:val="24"/>
          <w:szCs w:val="24"/>
        </w:rPr>
        <w:t xml:space="preserve">Beyond individual metrics, the CCOO should require one composite discipline: a pre-agreed stop rule. Define now, in writing, the combination of findings that automatically pauses a use case (for example: any serious safety event where AI involvement is suspected, any confirmed privacy leak, override collapse below [Threshold], or uncaught hallucination above [Threshold]). Pre-agreeing the stop rule removes the temptation to renegotiate safety in the moment, and it is the single cheapest governance instrument available [Best practice].</w:t>
      </w:r>
    </w:p>
    <w:p>
      <w:pPr>
        <w:pStyle w:val="Heading1"/>
        <w:keepNext/>
        <w:spacing w:after="160" w:before="360" w:line="312"/>
        <w:jc w:val="center"/>
      </w:pPr>
      <w:bookmarkStart w:id="100009" w:name="_Toc100009"/>
      <w:r>
        <w:rPr>
          <w:rFonts w:ascii="Times New Roman" w:eastAsia="SimHei"/>
          <w:b/>
          <w:bCs/>
          <w:color w:val="1A5276"/>
          <w:sz w:val="32"/>
          <w:szCs w:val="32"/>
        </w:rPr>
        <w:t xml:space="preserve">7. The CCOO Dashboard</w:t>
      </w:r>
      <w:bookmarkEnd w:id="100009"/>
    </w:p>
    <w:p>
      <w:pPr>
        <w:keepNext w:val="false"/>
        <w:spacing w:after="120" w:line="312"/>
        <w:jc w:val="left"/>
      </w:pPr>
      <w:r>
        <w:rPr>
          <w:rFonts w:ascii="Times New Roman" w:eastAsia="Times New Roman"/>
          <w:b w:val="false"/>
          <w:bCs w:val="false"/>
          <w:i w:val="false"/>
          <w:iCs w:val="false"/>
          <w:color w:val="000000"/>
          <w:sz w:val="24"/>
          <w:szCs w:val="24"/>
        </w:rPr>
        <w:t xml:space="preserve">The dashboard exists to answer three questions in under five minutes: is it safe, is it helping, and is anyone hurting because of it. It should contain no more than a dozen tiles, each with an explicit green/amber/red rule agreed before go-live. Amber means watch and explain at the next review; red triggers the stop rule discussion within one working day. The table below defines the recommended tiles; data sources are placeholders until integration is confirmed.</w:t>
      </w:r>
    </w:p>
    <w:p>
      <w:pPr>
        <w:keepNext/>
        <w:spacing w:after="80" w:before="200" w:line="312"/>
        <w:jc w:val="left"/>
      </w:pPr>
      <w:r>
        <w:rPr>
          <w:rFonts w:ascii="Times New Roman" w:eastAsia="Times New Roman"/>
          <w:b/>
          <w:bCs/>
          <w:color w:val="000000"/>
          <w:sz w:val="21"/>
          <w:szCs w:val="21"/>
        </w:rPr>
        <w:t xml:space="preserve">Table 7.1 - Recommended CCOO dashboard tiles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758"/>
        <w:gridCol w:w="2636"/>
        <w:gridCol w:w="2285"/>
        <w:gridCol w:w="1230"/>
        <w:gridCol w:w="879"/>
      </w:tblGrid>
      <w:tr>
        <w:trPr>
          <w:cantSplit/>
          <w:tblHeader/>
        </w:trPr>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Tile</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Content</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Green / Amber / Red rule (example structure)</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Source</w:t>
            </w:r>
          </w:p>
        </w:tc>
        <w:tc>
          <w:tcPr>
            <w:tcW w:type="pct" w:w="5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Refresh</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Safety events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AI-related incident count and severity, 28-day rolling.</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0 serious; Amber: any moderate or repeated low; Red: any serious. Thresholds confirmed with safety committee.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Incident system</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Daily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Override watch</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CDS override rate and RAG edit-distance trend per unit.</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within band around [Baseline]; Amber: 2x band width; Red: 3x or sustained fall to near-zero (sign of blind trust).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logs</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Daily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Refusal health</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NOT_COVERED rate and refusal adjudication precision.</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[band]; Amber: [band breach]; Red: precision below [Threshold].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Assistant logs</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Hallucination audit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Uncaught hallucination rate on samples.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below [Threshold]; Amber: at threshold; Red: above.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workflow</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 probes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Leakage rate on probe corpus and sampled audits.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zero confirmed leaks; Amber: probe-only findings; Red: any confirmed real-data leak (also an automatic stop).</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 pipeline</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Per release + monthly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Model performance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Probe suite scores per use case; drift indicators.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score within [x] points of gate score; Amber: small drift; Red: breach of gate floor.</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Probe runner</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Throughput impact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Cycle times per redesigned workflow.</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meets or beats [Baseline]; Amber: no change; Red: worse by [Threshold].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timestamps</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Monthly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Staff experience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Workload and satisfaction survey trend; free-text themes.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stable or improving; Amber: declining one cycle; Red: declining two cycles.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Survey tool</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Adoption reality</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Active usage by unit and role; refused-feature patterns.</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Informational; Red only if shadow-AI indicators rise.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Logs + IT</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status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Current gate status and evidence pack age per use case.</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Green: pack under [90] days old; Amber: older; Red: expired pack in routine use.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layer</w:t>
            </w:r>
          </w:p>
        </w:tc>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Weekly</w:t>
            </w:r>
          </w:p>
        </w:tc>
      </w:tr>
    </w:tbl>
    <w:p>
      <w:pPr>
        <w:spacing w:after="200" w:before="80" w:line="312"/>
        <w:jc w:val="left"/>
      </w:pPr>
      <w:r>
        <w:rPr>
          <w:rFonts w:ascii="Times New Roman" w:eastAsia="Times New Roman"/>
          <w:i/>
          <w:iCs/>
          <w:color w:val="595959"/>
          <w:sz w:val="18"/>
          <w:szCs w:val="18"/>
        </w:rPr>
        <w:t xml:space="preserve">The dashboard is a governance instrument, not a surveillance instrument: tile granularity should stay at unit level, not individual clinician level, to preserve trust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Cadence matters more than decoration. The recommended rhythm is: a five-minute CCOO scan weekly during pilots and monthly in steady state; a forty-five minute operations review monthly with unit champions; and a quarterly deep review that closes the loop with the AI Governance Committee (see the Board Assurance Paper for the committee structure). Every red tile must produce one of three artefacts: a fix with an owner and date, an accepted risk with justification, or a stop decision.</w:t>
      </w:r>
    </w:p>
    <w:p>
      <w:pPr>
        <w:pStyle w:val="Heading1"/>
        <w:keepNext/>
        <w:spacing w:after="160" w:before="360" w:line="312"/>
        <w:jc w:val="center"/>
      </w:pPr>
      <w:bookmarkStart w:id="100010" w:name="_Toc100010"/>
      <w:r>
        <w:rPr>
          <w:rFonts w:ascii="Times New Roman" w:eastAsia="SimHei"/>
          <w:b/>
          <w:bCs/>
          <w:color w:val="1A5276"/>
          <w:sz w:val="32"/>
          <w:szCs w:val="32"/>
        </w:rPr>
        <w:t xml:space="preserve">8. What to Watch For: Early Warning Signs</w:t>
      </w:r>
      <w:bookmarkEnd w:id="100010"/>
    </w:p>
    <w:p>
      <w:pPr>
        <w:keepNext w:val="false"/>
        <w:spacing w:after="120" w:line="312"/>
        <w:jc w:val="left"/>
      </w:pPr>
      <w:r>
        <w:rPr>
          <w:rFonts w:ascii="Times New Roman" w:eastAsia="Times New Roman"/>
          <w:b w:val="false"/>
          <w:bCs w:val="false"/>
          <w:i w:val="false"/>
          <w:iCs w:val="false"/>
          <w:color w:val="000000"/>
          <w:sz w:val="24"/>
          <w:szCs w:val="24"/>
        </w:rPr>
        <w:t xml:space="preserve">Dashboards lag culture. The following patterns tend to appear on the floor before they appear in the data, and the CCOO is unusually well positioned to catch them through rounds, huddles and conversations with champions. Each sign below pairs with the corrective conversation to have.</w:t>
      </w:r>
    </w:p>
    <w:p>
      <w:pPr>
        <w:pStyle w:val="ListParagraph"/>
        <w:numPr>
          <w:ilvl w:val="0"/>
          <w:numId w:val="1"/>
        </w:numPr>
        <w:spacing w:after="80" w:line="312"/>
        <w:jc w:val="left"/>
      </w:pPr>
      <w:r>
        <w:rPr>
          <w:rFonts w:ascii="Times New Roman" w:eastAsia="Times New Roman"/>
          <w:color w:val="000000"/>
          <w:sz w:val="24"/>
          <w:szCs w:val="24"/>
        </w:rPr>
        <w:t xml:space="preserve">Override rate collapses toward zero on a decision support card - either the card is genuinely perfect (rare) or staff have stopped reading it. Corrective: sampled audit of recent cases, then card redesign or retirement.</w:t>
      </w:r>
    </w:p>
    <w:p>
      <w:pPr>
        <w:pStyle w:val="ListParagraph"/>
        <w:numPr>
          <w:ilvl w:val="0"/>
          <w:numId w:val="1"/>
        </w:numPr>
        <w:spacing w:after="80" w:line="312"/>
        <w:jc w:val="left"/>
      </w:pPr>
      <w:r>
        <w:rPr>
          <w:rFonts w:ascii="Times New Roman" w:eastAsia="Times New Roman"/>
          <w:color w:val="000000"/>
          <w:sz w:val="24"/>
          <w:szCs w:val="24"/>
        </w:rPr>
        <w:t xml:space="preserve">Refusal messages breed a workaround: staff rephrase questions until the assistant answers. Corrective: audit rephrasing patterns; clarify the refusal's clinical meaning; adjust coverage boundaries with the clinical owner.</w:t>
      </w:r>
    </w:p>
    <w:p>
      <w:pPr>
        <w:pStyle w:val="ListParagraph"/>
        <w:numPr>
          <w:ilvl w:val="0"/>
          <w:numId w:val="1"/>
        </w:numPr>
        <w:spacing w:after="80" w:line="312"/>
        <w:jc w:val="left"/>
      </w:pPr>
      <w:r>
        <w:rPr>
          <w:rFonts w:ascii="Times New Roman" w:eastAsia="Times New Roman"/>
          <w:color w:val="000000"/>
          <w:sz w:val="24"/>
          <w:szCs w:val="24"/>
        </w:rPr>
        <w:t xml:space="preserve">Copy-paste of AI drafts without edits rises in documentation audits - the verification step is dying. Corrective: re-training, workflow friction at the verify step, and targeted feedback to units.</w:t>
      </w:r>
    </w:p>
    <w:p>
      <w:pPr>
        <w:pStyle w:val="ListParagraph"/>
        <w:numPr>
          <w:ilvl w:val="0"/>
          <w:numId w:val="1"/>
        </w:numPr>
        <w:spacing w:after="80" w:line="312"/>
        <w:jc w:val="left"/>
      </w:pPr>
      <w:r>
        <w:rPr>
          <w:rFonts w:ascii="Times New Roman" w:eastAsia="Times New Roman"/>
          <w:color w:val="000000"/>
          <w:sz w:val="24"/>
          <w:szCs w:val="24"/>
        </w:rPr>
        <w:t xml:space="preserve">Champions go quiet or rotate out - enthusiasm is not the same as capacity. Corrective: protected time review; recruit successors before momentum dies.</w:t>
      </w:r>
    </w:p>
    <w:p>
      <w:pPr>
        <w:pStyle w:val="ListParagraph"/>
        <w:numPr>
          <w:ilvl w:val="0"/>
          <w:numId w:val="1"/>
        </w:numPr>
        <w:spacing w:after="80" w:line="312"/>
        <w:jc w:val="left"/>
      </w:pPr>
      <w:r>
        <w:rPr>
          <w:rFonts w:ascii="Times New Roman" w:eastAsia="Times New Roman"/>
          <w:color w:val="000000"/>
          <w:sz w:val="24"/>
          <w:szCs w:val="24"/>
        </w:rPr>
        <w:t xml:space="preserve">Staff mention 'the other tool' - a public chatbot used on personal phones. Treat as a privacy near-miss, not a discipline issue; fix the sanctioned path's speed and coverage.</w:t>
      </w:r>
    </w:p>
    <w:p>
      <w:pPr>
        <w:pStyle w:val="ListParagraph"/>
        <w:numPr>
          <w:ilvl w:val="0"/>
          <w:numId w:val="1"/>
        </w:numPr>
        <w:spacing w:after="80" w:line="312"/>
        <w:jc w:val="left"/>
      </w:pPr>
      <w:r>
        <w:rPr>
          <w:rFonts w:ascii="Times New Roman" w:eastAsia="Times New Roman"/>
          <w:color w:val="000000"/>
          <w:sz w:val="24"/>
          <w:szCs w:val="24"/>
        </w:rPr>
        <w:t xml:space="preserve">Documentation debt grows: AI-enabled drafts pile up faster than review capacity. Corrective: measure review backlog; slow the pilot intake; never let backlog become the de facto quality check.</w:t>
      </w:r>
    </w:p>
    <w:p>
      <w:pPr>
        <w:pStyle w:val="ListParagraph"/>
        <w:numPr>
          <w:ilvl w:val="0"/>
          <w:numId w:val="1"/>
        </w:numPr>
        <w:spacing w:after="80" w:line="312"/>
        <w:jc w:val="left"/>
      </w:pPr>
      <w:r>
        <w:rPr>
          <w:rFonts w:ascii="Times New Roman" w:eastAsia="Times New Roman"/>
          <w:color w:val="000000"/>
          <w:sz w:val="24"/>
          <w:szCs w:val="24"/>
        </w:rPr>
        <w:t xml:space="preserve">Meetings start citing 'the model says' as an argument-ender. Corrective: re-state human-in-command in governance forums; require evidence, not authority by output.</w:t>
      </w:r>
    </w:p>
    <w:p>
      <w:pPr>
        <w:pStyle w:val="ListParagraph"/>
        <w:numPr>
          <w:ilvl w:val="0"/>
          <w:numId w:val="1"/>
        </w:numPr>
        <w:spacing w:after="80" w:line="312"/>
        <w:jc w:val="left"/>
      </w:pPr>
      <w:r>
        <w:rPr>
          <w:rFonts w:ascii="Times New Roman" w:eastAsia="Times New Roman"/>
          <w:color w:val="000000"/>
          <w:sz w:val="24"/>
          <w:szCs w:val="24"/>
        </w:rPr>
        <w:t xml:space="preserve">Evidence packs age past their validity window while deployments continue. Corrective: automatic demotion to pilot status until re-assessment; this is the assurance layer working as designed.</w:t>
      </w:r>
    </w:p>
    <w:p>
      <w:pPr>
        <w:keepNext w:val="false"/>
        <w:spacing w:after="120" w:line="312"/>
        <w:jc w:val="left"/>
      </w:pPr>
      <w:r>
        <w:rPr>
          <w:rFonts w:ascii="Times New Roman" w:eastAsia="Times New Roman"/>
          <w:b w:val="false"/>
          <w:bCs w:val="false"/>
          <w:i w:val="false"/>
          <w:iCs w:val="false"/>
          <w:color w:val="000000"/>
          <w:sz w:val="24"/>
          <w:szCs w:val="24"/>
        </w:rPr>
        <w:t xml:space="preserve">None of these signs is a reason to abandon the programme; they are the normal immune response of a clinical system absorbing a new technology. The failure mode to fear is silence - no questions, no complaints, no overrides - which usually means nobody is using the system or nobody feels safe raising issues. Both are recoverable if caught early, and both are fatal to trust if ignored for a quarter.</w:t>
      </w:r>
    </w:p>
    <w:p>
      <w:pPr>
        <w:pStyle w:val="Heading1"/>
        <w:keepNext/>
        <w:spacing w:after="160" w:before="360" w:line="312"/>
        <w:jc w:val="center"/>
      </w:pPr>
      <w:bookmarkStart w:id="100011" w:name="_Toc100011"/>
      <w:r>
        <w:rPr>
          <w:rFonts w:ascii="Times New Roman" w:eastAsia="SimHei"/>
          <w:b/>
          <w:bCs/>
          <w:color w:val="1A5276"/>
          <w:sz w:val="32"/>
          <w:szCs w:val="32"/>
        </w:rPr>
        <w:t xml:space="preserve">9. Decision Package: What the CCOO Is Asked to Approve</w:t>
      </w:r>
      <w:bookmarkEnd w:id="100011"/>
    </w:p>
    <w:p>
      <w:pPr>
        <w:keepNext w:val="false"/>
        <w:spacing w:after="120" w:line="312"/>
        <w:jc w:val="left"/>
      </w:pPr>
      <w:r>
        <w:rPr>
          <w:rFonts w:ascii="Times New Roman" w:eastAsia="Times New Roman"/>
          <w:b w:val="false"/>
          <w:bCs w:val="false"/>
          <w:i w:val="false"/>
          <w:iCs w:val="false"/>
          <w:color w:val="000000"/>
          <w:sz w:val="24"/>
          <w:szCs w:val="24"/>
        </w:rPr>
        <w:t xml:space="preserve">The programme asks the CCOO for four decisions, each small, reversible and dated. Approving them does not commit the hospital to any technology; it only sets the rules of evidence under which any technology may be tried.</w:t>
      </w:r>
    </w:p>
    <w:p>
      <w:pPr>
        <w:keepNext/>
        <w:spacing w:after="80" w:before="200" w:line="312"/>
        <w:jc w:val="left"/>
      </w:pPr>
      <w:r>
        <w:rPr>
          <w:rFonts w:ascii="Times New Roman" w:eastAsia="Times New Roman"/>
          <w:b/>
          <w:bCs/>
          <w:color w:val="000000"/>
          <w:sz w:val="21"/>
          <w:szCs w:val="21"/>
        </w:rPr>
        <w:t xml:space="preserve">Table 9.1 - CCOO decisions with 30/60/90-day actions</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933"/>
        <w:gridCol w:w="2636"/>
        <w:gridCol w:w="2109"/>
        <w:gridCol w:w="2109"/>
      </w:tblGrid>
      <w:tr>
        <w:trPr>
          <w:cantSplit/>
          <w:tblHeader/>
        </w:trPr>
        <w:tc>
          <w:tcPr>
            <w:tcW w:type="pct" w:w="11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Decision</w:t>
            </w:r>
          </w:p>
        </w:tc>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What it means</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30/60/90-day action</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Status placeholder</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D1 - Adopt human-in-command policy</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AI output auto-finalises clinical content; verification steps are mandatory.</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30d: policy drafted and socialised with champions; 60d: approved at governance committee; 90d: in pilot charters.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[Approve / Defer / Reject]</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D2 - Require baselines before pilots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Every Table 6.1 metric has a measured [Baseline] and agreed [Target] before any clinical pilot starts.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30d: baseline measurement plan agreed; 60d: baselines measured for first use-case; 90d: targets set and recorded.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[Approve / Defer / Reject]</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D3 - Approve dashboard and stop rules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Tiles, thresholds and automatic stop rules as in Sections 6-7, reviewed quarterly.</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30d: tile data sources confirmed with IT; 60d: dashboard live in draft; 90d: first monthly review held.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[Approve / Defer / Reject]</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D4 - Name clinical owners and champions</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Each use case has a named clinical owner; each pilot unit has protected champion time.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30d: owners named for first use-cases; 60d: champion job plans adjusted; 90d: champion network first meeting.</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[Approve / Defer / Reject]</w:t>
            </w:r>
          </w:p>
        </w:tc>
      </w:tr>
    </w:tbl>
    <w:p>
      <w:pPr>
        <w:spacing w:after="200" w:before="80" w:line="312"/>
        <w:jc w:val="left"/>
      </w:pPr>
      <w:r>
        <w:rPr>
          <w:rFonts w:ascii="Times New Roman" w:eastAsia="Times New Roman"/>
          <w:i/>
          <w:iCs/>
          <w:color w:val="595959"/>
          <w:sz w:val="18"/>
          <w:szCs w:val="18"/>
        </w:rPr>
        <w:t xml:space="preserve">Decisions D1-D4 correspond to gate G1 evidence requirements in the Cross-Cutting Dossier, Section 4; approving them here keeps the two documents consistent.</w:t>
      </w:r>
    </w:p>
    <w:p>
      <w:pPr>
        <w:keepNext w:val="false"/>
        <w:spacing w:after="120" w:line="312"/>
        <w:jc w:val="left"/>
      </w:pPr>
      <w:r>
        <w:rPr>
          <w:rFonts w:ascii="Times New Roman" w:eastAsia="Times New Roman"/>
          <w:b w:val="false"/>
          <w:bCs w:val="false"/>
          <w:i w:val="false"/>
          <w:iCs w:val="false"/>
          <w:color w:val="000000"/>
          <w:sz w:val="24"/>
          <w:szCs w:val="24"/>
        </w:rPr>
        <w:t xml:space="preserve">Finally, the CCOO should set the tone for honesty in both directions. Staff must be able to report AI problems without blame, and the programme must report bad results to operations with the same energy as good ones. The fastest way to destroy an assurance programme is to let it become a marketing function; the fastest way to sustain it is to let it kill its own darling - a use case that looked promising and failed its tests - in public, with a clean post-mortem.</w:t>
      </w:r>
    </w:p>
    <w:p>
      <w:pPr>
        <w:pStyle w:val="Heading1"/>
        <w:keepNext/>
        <w:spacing w:after="160" w:before="360" w:line="312"/>
        <w:jc w:val="center"/>
      </w:pPr>
      <w:bookmarkStart w:id="100012" w:name="_Toc100012"/>
      <w:r>
        <w:rPr>
          <w:rFonts w:ascii="Times New Roman" w:eastAsia="SimHei"/>
          <w:b/>
          <w:bCs/>
          <w:color w:val="1A5276"/>
          <w:sz w:val="32"/>
          <w:szCs w:val="32"/>
        </w:rPr>
        <w:t xml:space="preserve">10. Assumptions, Unknowns and Limitations</w:t>
      </w:r>
      <w:bookmarkEnd w:id="100012"/>
    </w:p>
    <w:p>
      <w:pPr>
        <w:keepNext w:val="false"/>
        <w:spacing w:after="120" w:line="312"/>
        <w:jc w:val="left"/>
      </w:pPr>
      <w:r>
        <w:rPr>
          <w:rFonts w:ascii="Times New Roman" w:eastAsia="Times New Roman"/>
          <w:b w:val="false"/>
          <w:bCs w:val="false"/>
          <w:i w:val="false"/>
          <w:iCs w:val="false"/>
          <w:color w:val="000000"/>
          <w:sz w:val="24"/>
          <w:szCs w:val="24"/>
        </w:rPr>
        <w:t xml:space="preserve">This brief assumes the hospital has, or will stand up, basic measurement plumbing: usable EHR event logs, an incident system that can tag AI involvement, and a small analytics capacity. Where that assumption fails, Section 6 metrics degrade to manual sampling, which is slower but still workable for the first two use cases [Local Assumption]. It further assumes at least one clinical champion per pilot unit with protected time of roughly [4-8] hours per week during pilots; without this, adoption metrics will reflect enthusiasm rather than practice [Local Assumption].</w:t>
      </w:r>
    </w:p>
    <w:p>
      <w:pPr>
        <w:keepNext w:val="false"/>
        <w:spacing w:after="120" w:line="312"/>
        <w:jc w:val="left"/>
      </w:pPr>
      <w:r>
        <w:rPr>
          <w:rFonts w:ascii="Times New Roman" w:eastAsia="Times New Roman"/>
          <w:b w:val="false"/>
          <w:bCs w:val="false"/>
          <w:i w:val="false"/>
          <w:iCs w:val="false"/>
          <w:color w:val="000000"/>
          <w:sz w:val="24"/>
          <w:szCs w:val="24"/>
        </w:rPr>
        <w:t xml:space="preserve">Known unknowns that this document deliberately does not resolve: the final use-case scope for [Hospital Name]; the actual baseline values for every metric; the legal classification of each use case under current local regulation, which counsel must confirm; and the cost envelope, which is held in the Board paper and Cross-Cutting Dossier as placeholders. The brief also inherits the general limitation of any template: it can specify what to measure and how to decide, but it cannot substitute for local leadership, clinical engagement and honest data collection.</w:t>
      </w:r>
    </w:p>
    <w:p>
      <w:pPr>
        <w:keepNext w:val="false"/>
        <w:spacing w:after="120" w:line="312"/>
        <w:jc w:val="left"/>
      </w:pPr>
      <w:r>
        <w:rPr>
          <w:rFonts w:ascii="Times New Roman" w:eastAsia="Times New Roman"/>
          <w:b w:val="false"/>
          <w:bCs w:val="false"/>
          <w:i w:val="false"/>
          <w:iCs w:val="false"/>
          <w:color w:val="000000"/>
          <w:sz w:val="24"/>
          <w:szCs w:val="24"/>
        </w:rPr>
        <w:t xml:space="preserve">A final limitation deserves stating plainly. Evidence generated by this programme is strong about what was tested, under the conditions it was tested, at the time it was tested. It is weaker about tomorrow's patients, tomorrow's software version and tomorrow's staffing. That is precisely why the programme emphasises continuous monitoring, scheduled re-testing and expiring evidence packs, rather than one-off certification. The CCOO should treat any claim of permanent safety - from any vendor, including internal teams - as a reason to ask more questions, not fewer.</w:t>
      </w:r>
    </w:p>
    <w:p>
      <w:pPr>
        <w:pStyle w:val="Heading1"/>
        <w:keepNext/>
        <w:spacing w:after="160" w:before="360" w:line="312"/>
        <w:jc w:val="center"/>
      </w:pPr>
      <w:bookmarkStart w:id="100013" w:name="_Toc100013"/>
      <w:r>
        <w:rPr>
          <w:rFonts w:ascii="Times New Roman" w:eastAsia="SimHei"/>
          <w:b/>
          <w:bCs/>
          <w:color w:val="1A5276"/>
          <w:sz w:val="32"/>
          <w:szCs w:val="32"/>
        </w:rPr>
        <w:t xml:space="preserve">Document Control</w:t>
      </w:r>
      <w:bookmarkEnd w:id="100013"/>
    </w:p>
    <w:p>
      <w:pPr>
        <w:keepNext w:val="false"/>
        <w:spacing w:after="120" w:line="312"/>
        <w:jc w:val="left"/>
      </w:pPr>
      <w:r>
        <w:rPr>
          <w:rFonts w:ascii="Times New Roman" w:eastAsia="Times New Roman"/>
          <w:b w:val="false"/>
          <w:bCs w:val="false"/>
          <w:i w:val="false"/>
          <w:iCs w:val="false"/>
          <w:color w:val="000000"/>
          <w:sz w:val="24"/>
          <w:szCs w:val="24"/>
        </w:rPr>
        <w:t xml:space="preserve">This section records the status, ownership and review discipline of this document. It exists so that the document itself can be governed with the same rigour the programme expects from the AI systems it assessor-assures: every reader can see who owns it, when it was last changed, and when it must next be reviewed. All names, signatures and dates are placeholders until the named roles complete their review at [Hospital Name].</w:t>
      </w:r>
    </w:p>
    <w:p>
      <w:pPr>
        <w:keepNext/>
        <w:spacing w:after="80" w:before="200" w:line="312"/>
        <w:jc w:val="left"/>
      </w:pPr>
      <w:r>
        <w:rPr>
          <w:rFonts w:ascii="Times New Roman" w:eastAsia="Times New Roman"/>
          <w:b/>
          <w:bCs/>
          <w:color w:val="000000"/>
          <w:sz w:val="21"/>
          <w:szCs w:val="21"/>
        </w:rPr>
        <w:t xml:space="preserve">Table D-1. Version history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055"/>
        <w:gridCol w:w="1582"/>
        <w:gridCol w:w="2812"/>
        <w:gridCol w:w="3339"/>
      </w:tblGrid>
      <w:tr>
        <w:trPr>
          <w:cantSplit/>
          <w:tblHeader/>
        </w:trPr>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Version</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c>
          <w:tcPr>
            <w:tcW w:type="pct" w:w="1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Author</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Summary of changes</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0.1</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Provar Programme Office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Initial draft issued for stakeholder review and local completion.</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version]</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[Author]</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[Planned: insert hospital baselines, confirm owners, close placeholder fields.]</w:t>
            </w:r>
          </w:p>
        </w:tc>
      </w:tr>
    </w:tbl>
    <w:p>
      <w:pPr>
        <w:spacing w:after="200" w:before="80" w:line="312"/>
        <w:jc w:val="left"/>
      </w:pPr>
      <w:r>
        <w:rPr>
          <w:rFonts w:ascii="Times New Roman" w:eastAsia="Times New Roman"/>
          <w:i/>
          <w:iCs/>
          <w:color w:val="595959"/>
          <w:sz w:val="18"/>
          <w:szCs w:val="18"/>
        </w:rPr>
        <w:t xml:space="preserve">Version 0.1 content deliberately uses placeholders rather than invented hospital-specific values; see the section “How to read this document” and the basis tags used throughout.</w:t>
      </w:r>
    </w:p>
    <w:p>
      <w:pPr>
        <w:keepNext/>
        <w:spacing w:after="80" w:before="200" w:line="312"/>
        <w:jc w:val="left"/>
      </w:pPr>
      <w:r>
        <w:rPr>
          <w:rFonts w:ascii="Times New Roman" w:eastAsia="Times New Roman"/>
          <w:b/>
          <w:bCs/>
          <w:color w:val="000000"/>
          <w:sz w:val="21"/>
          <w:szCs w:val="21"/>
        </w:rPr>
        <w:t xml:space="preserve">Table D-2. Review and approval</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2285"/>
        <w:gridCol w:w="2109"/>
        <w:gridCol w:w="1758"/>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Name</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Signature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 owner (CCOO office)</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safety officer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Chief Medical Officer or equivalent</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Nursing informatics lead</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director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bl>
    <w:p>
      <w:pPr>
        <w:spacing w:after="200" w:before="80" w:line="312"/>
        <w:jc w:val="left"/>
      </w:pPr>
      <w:r>
        <w:rPr>
          <w:rFonts w:ascii="Times New Roman" w:eastAsia="Times New Roman"/>
          <w:i/>
          <w:iCs/>
          <w:color w:val="595959"/>
          <w:sz w:val="18"/>
          <w:szCs w:val="18"/>
        </w:rPr>
        <w:t xml:space="preserve">Sign-off confirms only that the signatory has reviewed the document for their domain; it does not by itself discharge any gate in the go/no-go framework.</w:t>
      </w:r>
    </w:p>
    <w:p>
      <w:pPr>
        <w:keepNext/>
        <w:spacing w:after="80" w:before="200" w:line="312"/>
        <w:jc w:val="left"/>
      </w:pPr>
      <w:r>
        <w:rPr>
          <w:rFonts w:ascii="Times New Roman" w:eastAsia="Times New Roman"/>
          <w:b/>
          <w:bCs/>
          <w:color w:val="000000"/>
          <w:sz w:val="21"/>
          <w:szCs w:val="21"/>
        </w:rPr>
        <w:t xml:space="preserve">Table D-3. Custody and review discipline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6152"/>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Attribute</w:t>
            </w:r>
          </w:p>
        </w:tc>
        <w:tc>
          <w:tcPr>
            <w:tcW w:type="pct" w:w="3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Value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Classification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Internal — Governance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Distribution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operations leadership; programme board members; clinical governance committee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Storage location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 management system reference]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cadence</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Quarterly, and on any material change to scope, vendor or regulation</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scheduled review</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Related documents</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 Assurance Paper; IT Readiness and Infrastructure Design; Cross-Cutting Assurance Dossier (Master Catalogue, Appendix A)</w:t>
            </w:r>
          </w:p>
        </w:tc>
      </w:tr>
    </w:tbl>
    <w:p>
      <w:pPr>
        <w:spacing w:after="200" w:before="80" w:line="312"/>
        <w:jc w:val="left"/>
      </w:pPr>
      <w:r>
        <w:rPr>
          <w:rFonts w:ascii="Times New Roman" w:eastAsia="Times New Roman"/>
          <w:i/>
          <w:iCs/>
          <w:color w:val="595959"/>
          <w:sz w:val="18"/>
          <w:szCs w:val="18"/>
        </w:rPr>
        <w:t xml:space="preserve">Classification and distribution are set by [Hospital Name] information governance; the defaults above are structural suggestions, not decisions.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2" w:space="4"/>
      </w:pBdr>
      <w:jc w:val="center"/>
    </w:pPr>
    <w:r>
      <w:rPr>
        <w:rFonts w:ascii="Times New Roman" w:eastAsia="Times New Roman"/>
        <w:color w:val="888888"/>
        <w:sz w:val="18"/>
        <w:szCs w:val="18"/>
      </w:rPr>
      <w:t xml:space="preserve">Hospital AI Assurance Programme — CCOO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5276"/>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5276"/>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5276"/>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AI Assurance Programme</dc:title>
  <dc:creator>Provar Programme Office</dc:creator>
  <dc:description>Brief for the Chief Clinical Operations Officer</dc:description>
  <cp:lastModifiedBy>Un-named</cp:lastModifiedBy>
  <cp:revision>1</cp:revision>
  <dcterms:created xsi:type="dcterms:W3CDTF">2026-10-05T04:30:48.354Z</dcterms:created>
  <dcterms:modified xsi:type="dcterms:W3CDTF">2026-10-05T04:30:48.354Z</dcterms:modified>
</cp:coreProperties>
</file>

<file path=docProps/custom.xml><?xml version="1.0" encoding="utf-8"?>
<Properties xmlns="http://schemas.openxmlformats.org/officeDocument/2006/custom-properties" xmlns:vt="http://schemas.openxmlformats.org/officeDocument/2006/docPropsVTypes"/>
</file>