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5F8FC" w:val="clear"/>
            <w:vAlign w:val="top"/>
          </w:tcPr>
          <w:p>
            <w:pPr>
              <w:spacing w:before="4092"/>
            </w:pPr>
          </w:p>
          <w:p>
            <w:pPr>
              <w:pBdr>
                <w:bottom w:val="single" w:color="2E86C1" w:sz="6" w:space="8"/>
              </w:pBdr>
              <w:spacing w:after="500"/>
              <w:ind w:left="1200" w:right="800"/>
            </w:pPr>
            <w:r>
              <w:rPr>
                <w:rFonts w:ascii="Calibri" w:eastAsia="SimHei"/>
                <w:color w:val="2E86C1"/>
                <w:spacing w:val="40"/>
                <w:sz w:val="18"/>
                <w:szCs w:val="18"/>
              </w:rPr>
              <w:t xml:space="preserve">P  R  O  V  A  R     P  R  O  G  R  A  M  M  E</w:t>
            </w:r>
          </w:p>
          <w:p>
            <w:pPr>
              <w:spacing w:after="100" w:line="920" w:lineRule="atLeast"/>
              <w:ind w:left="1200"/>
            </w:pPr>
            <w:r>
              <w:rPr>
                <w:rFonts w:ascii="Arial" w:eastAsia="SimHei"/>
                <w:b/>
                <w:bCs/>
                <w:color w:val="1A5276"/>
                <w:sz w:val="80"/>
                <w:szCs w:val="80"/>
              </w:rPr>
              <w:t xml:space="preserve">Cross-Cutting</w:t>
            </w:r>
          </w:p>
          <w:p>
            <w:pPr>
              <w:spacing w:after="300" w:line="920" w:lineRule="atLeast"/>
              <w:ind w:left="1200"/>
            </w:pPr>
            <w:r>
              <w:rPr>
                <w:rFonts w:ascii="Arial" w:eastAsia="SimHei"/>
                <w:b/>
                <w:bCs/>
                <w:color w:val="1A5276"/>
                <w:sz w:val="80"/>
                <w:szCs w:val="80"/>
              </w:rPr>
              <w:t xml:space="preserve">Assurance Dossier</w:t>
            </w:r>
          </w:p>
          <w:p>
            <w:pPr>
              <w:spacing w:after="800"/>
              <w:ind w:left="1200"/>
            </w:pPr>
            <w:r>
              <w:rPr>
                <w:rFonts w:ascii="Arial" w:eastAsia="Microsoft YaHei"/>
                <w:color w:val="606060"/>
                <w:sz w:val="24"/>
                <w:szCs w:val="24"/>
              </w:rPr>
              <w:t xml:space="preserve">Infrastructure, Metrics, Go/No-Go, Impact, Debate FAQ, SWOT and Risk Register</w:t>
            </w:r>
          </w:p>
          <w:p>
            <w:pPr>
              <w:pBdr>
                <w:left w:val="single" w:color="2E86C1" w:sz="8" w:space="12"/>
              </w:pBdr>
              <w:spacing w:after="80"/>
              <w:ind w:left="1400"/>
            </w:pPr>
            <w:r>
              <w:rPr>
                <w:rFonts w:ascii="Arial" w:eastAsia="Microsoft YaHei"/>
                <w:color w:val="707070"/>
                <w:sz w:val="24"/>
                <w:szCs w:val="24"/>
              </w:rPr>
              <w:t xml:space="preserve">Prepared for: [Hospital Name] programme leadership and working groups</w:t>
            </w:r>
          </w:p>
          <w:p>
            <w:pPr>
              <w:pBdr>
                <w:left w:val="single" w:color="2E86C1" w:sz="8" w:space="12"/>
              </w:pBdr>
              <w:spacing w:after="80"/>
              <w:ind w:left="1400"/>
            </w:pPr>
            <w:r>
              <w:rPr>
                <w:rFonts w:ascii="Arial" w:eastAsia="Microsoft YaHei"/>
                <w:color w:val="707070"/>
                <w:sz w:val="24"/>
                <w:szCs w:val="24"/>
              </w:rPr>
              <w:t xml:space="preserve">Scope: Cross-cutting sections shared by CCOO, Board and IT documents</w:t>
            </w:r>
          </w:p>
          <w:p>
            <w:pPr>
              <w:pBdr>
                <w:left w:val="single" w:color="2E86C1" w:sz="8" w:space="12"/>
              </w:pBdr>
              <w:spacing w:after="80"/>
              <w:ind w:left="1400"/>
            </w:pPr>
            <w:r>
              <w:rPr>
                <w:rFonts w:ascii="Arial" w:eastAsia="Microsoft YaHei"/>
                <w:color w:val="707070"/>
                <w:sz w:val="24"/>
                <w:szCs w:val="24"/>
              </w:rPr>
              <w:t xml:space="preserve">Status: Version 0.1 draft for review — [Date]</w:t>
            </w:r>
          </w:p>
          <w:p>
            <w:pPr>
              <w:pBdr>
                <w:left w:val="single" w:color="2E86C1" w:sz="8" w:space="12"/>
              </w:pBdr>
              <w:spacing w:after="80"/>
              <w:ind w:left="1400"/>
            </w:pPr>
            <w:r>
              <w:rPr>
                <w:rFonts w:ascii="Arial" w:eastAsia="Microsoft YaHei"/>
                <w:color w:val="707070"/>
                <w:sz w:val="24"/>
                <w:szCs w:val="24"/>
              </w:rPr>
              <w:t xml:space="preserve">Classification: Internal — Governance</w:t>
            </w:r>
          </w:p>
          <w:p>
            <w:pPr>
              <w:spacing w:before="4092"/>
            </w:pPr>
          </w:p>
          <w:p>
            <w:pPr>
              <w:pBdr>
                <w:top w:val="single" w:color="2E86C1" w:sz="2" w:space="8"/>
              </w:pBdr>
              <w:spacing w:before="200"/>
              <w:ind w:left="1200" w:right="800"/>
            </w:pPr>
            <w:r>
              <w:rPr>
                <w:rFonts w:ascii="Arial"/>
                <w:color w:val="A0A0A0"/>
                <w:sz w:val="16"/>
                <w:szCs w:val="16"/>
              </w:rPr>
              <w:t xml:space="preserve">Provar — assurance layer for hospital AI</w:t>
            </w:r>
            <w:r>
              <w:t xml:space="preserve">                                        </w:t>
            </w:r>
            <w:r>
              <w:rPr>
                <w:rFonts w:ascii="Arial"/>
                <w:color w:val="A0A0A0"/>
                <w:sz w:val="16"/>
                <w:szCs w:val="16"/>
              </w:rPr>
              <w:t xml:space="preserve">[Hospital Name]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527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Purpose and How to Use This Dossier</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Full Infrastructure Design (Cross-Cutting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Quantifiable Tests and Success Metrics (Master Catalogue)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Readiness-to-Deployment and Go/No-Go Framework</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Impact on the Hospital: Six Lenses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5.1 Clinical impact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5.2 Operational impact</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5.3 Strategic impact</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5.4 Financial impact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5.5 Workforce impact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5.6 Patient impact</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6. Debate-Style FAQ: The Major Dynamics, Argued Honestly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6.1 Money, Value and Delivery</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Q1. Is the programme affordable, or is assurance a luxury the budget cannot carry?</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Q2. When will this actually pay for itself?</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Q3. Does the hospital have the staffing for this, and what new roles does it create?</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Q4. Will this become pilot purgatory - endless trials that never scale or stop?</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Q5. How will we actually know the programme is succeeding?</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6.2 People, Fairness and Change</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Q6. Will this reduce clinician burnout, or add one more system to an exhausted workforce?</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Q7. Will digital literacy gaps make this unfair - between staff, and between patients?</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Q8. Is this just more change fatigue stacked on a workforce that has absorbed EHRs, pandemics and reorganisations?</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Q9. What do patients get to know and choose here?</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Q10. Staff already use public AI tools - does cracking down help or just push usage underground?</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6.3 Technology, Data and Operations</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Q11. Should we use this to replace legacy systems rather than wrap them in assurance?</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Q12. Does building on an assurance layer and a reference stack create vendor lock-in?</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Q13. What about downtime - planned and unplanned - in an AI-dependent hospital?</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Q14. Is this interoperable with the rest of the health system, or another silo?</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Q15. What about data migration - does the AI estate create new migration risks?</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Q16. Can we trust AI analytics at all - hallucinations, drift, opaque errors?</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Q17. Why open-source-leaning components - ideology or engineering?</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6.4 Safety, Privacy, Judgement and Governance</w:t>
            </w:r>
            <w:r>
              <w:tab/>
            </w:r>
            <w:r>
              <w:fldChar w:fldCharType="begin"/>
            </w:r>
            <w:r>
              <w:instrText xml:space="preserve"> PAGEREF _Toc100032 \h </w:instrText>
            </w:r>
            <w:r>
              <w:fldChar w:fldCharType="separate"/>
            </w:r>
            <w:r>
              <w:t>14</w:t>
            </w:r>
            <w:r>
              <w:fldChar w:fldCharType="end"/>
            </w:r>
          </w:hyperlink>
        </w:p>
        <w:p>
          <w:pPr>
            <w:pStyle w:val="12"/>
            <w:ind w:left="720"/>
            <w:tabs>
              <w:tab w:val="right" w:leader="dot" w:pos="9026"/>
            </w:tabs>
            <w:spacing w:before="120" w:after="60"/>
          </w:pPr>
          <w:hyperlink w:anchor="_Toc100033" w:history="1">
            <w:r>
              <w:rPr>
                <w:rStyle w:val="Hyperlink"/>
              </w:rPr>
              <w:t>Q18. Can privacy and security really be maintained with language models in the clinical environment?</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Q19. Does decision support erode clinical judgment, and who is liable when CDS is wrong?</w:t>
            </w:r>
            <w:r>
              <w:tab/>
            </w:r>
            <w:r>
              <w:fldChar w:fldCharType="begin"/>
            </w:r>
            <w:r>
              <w:instrText xml:space="preserve"> PAGEREF _Toc100034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Q20. Does this actually satisfy regulators, or is it theatre with better fonts?</w:t>
            </w:r>
            <w:r>
              <w:tab/>
            </w:r>
            <w:r>
              <w:fldChar w:fldCharType="begin"/>
            </w:r>
            <w:r>
              <w:instrText xml:space="preserve"> PAGEREF _Toc100035 \h </w:instrText>
            </w:r>
            <w:r>
              <w:fldChar w:fldCharType="separate"/>
            </w:r>
            <w:r>
              <w:t>15</w:t>
            </w:r>
            <w:r>
              <w:fldChar w:fldCharType="end"/>
            </w:r>
          </w:hyperlink>
        </w:p>
        <w:p>
          <w:pPr>
            <w:pStyle w:val="12"/>
            <w:ind w:left="720"/>
            <w:tabs>
              <w:tab w:val="right" w:leader="dot" w:pos="9026"/>
            </w:tabs>
            <w:spacing w:before="120" w:after="60"/>
          </w:pPr>
          <w:hyperlink w:anchor="_Toc100036" w:history="1">
            <w:r>
              <w:rPr>
                <w:rStyle w:val="Hyperlink"/>
              </w:rPr>
              <w:t>Q21. Is the governance real, or a committee that meets and approves?</w:t>
            </w:r>
            <w:r>
              <w:tab/>
            </w:r>
            <w:r>
              <w:fldChar w:fldCharType="begin"/>
            </w:r>
            <w:r>
              <w:instrText xml:space="preserve"> PAGEREF _Toc100036 \h </w:instrText>
            </w:r>
            <w:r>
              <w:fldChar w:fldCharType="separate"/>
            </w:r>
            <w:r>
              <w:t>16</w:t>
            </w:r>
            <w:r>
              <w:fldChar w:fldCharType="end"/>
            </w:r>
          </w:hyperlink>
        </w:p>
        <w:p>
          <w:pPr>
            <w:pStyle w:val="12"/>
            <w:ind w:left="720"/>
            <w:tabs>
              <w:tab w:val="right" w:leader="dot" w:pos="9026"/>
            </w:tabs>
            <w:spacing w:before="120" w:after="60"/>
          </w:pPr>
          <w:hyperlink w:anchor="_Toc100037" w:history="1">
            <w:r>
              <w:rPr>
                <w:rStyle w:val="Hyperlink"/>
              </w:rPr>
              <w:t>Q22. Who is liable when something goes wrong - the hospital, the clinician, or the vendor?</w:t>
            </w:r>
            <w:r>
              <w:tab/>
            </w:r>
            <w:r>
              <w:fldChar w:fldCharType="begin"/>
            </w:r>
            <w:r>
              <w:instrText xml:space="preserve"> PAGEREF _Toc100037 \h </w:instrText>
            </w:r>
            <w:r>
              <w:fldChar w:fldCharType="separate"/>
            </w:r>
            <w:r>
              <w:t>16</w:t>
            </w:r>
            <w:r>
              <w:fldChar w:fldCharType="end"/>
            </w:r>
          </w:hyperlink>
        </w:p>
        <w:p>
          <w:pPr>
            <w:pStyle w:val="9"/>
            <w:tabs>
              <w:tab w:val="right" w:leader="dot" w:pos="9026"/>
            </w:tabs>
            <w:spacing w:before="120" w:after="60"/>
          </w:pPr>
          <w:hyperlink w:anchor="_Toc100038" w:history="1">
            <w:r>
              <w:rPr>
                <w:rStyle w:val="Hyperlink"/>
              </w:rPr>
              <w:t>7. Honest Advantages and Disadvantages</w:t>
            </w:r>
            <w:r>
              <w:tab/>
            </w:r>
            <w:r>
              <w:fldChar w:fldCharType="begin"/>
            </w:r>
            <w:r>
              <w:instrText xml:space="preserve"> PAGEREF _Toc100038 \h </w:instrText>
            </w:r>
            <w:r>
              <w:fldChar w:fldCharType="separate"/>
            </w:r>
            <w:r>
              <w:t>17</w:t>
            </w:r>
            <w:r>
              <w:fldChar w:fldCharType="end"/>
            </w:r>
          </w:hyperlink>
        </w:p>
        <w:p>
          <w:pPr>
            <w:pStyle w:val="9"/>
            <w:tabs>
              <w:tab w:val="right" w:leader="dot" w:pos="9026"/>
            </w:tabs>
            <w:spacing w:before="120" w:after="60"/>
          </w:pPr>
          <w:hyperlink w:anchor="_Toc100039" w:history="1">
            <w:r>
              <w:rPr>
                <w:rStyle w:val="Hyperlink"/>
              </w:rPr>
              <w:t>8. SWOT Analysis</w:t>
            </w:r>
            <w:r>
              <w:tab/>
            </w:r>
            <w:r>
              <w:fldChar w:fldCharType="begin"/>
            </w:r>
            <w:r>
              <w:instrText xml:space="preserve"> PAGEREF _Toc100039 \h </w:instrText>
            </w:r>
            <w:r>
              <w:fldChar w:fldCharType="separate"/>
            </w:r>
            <w:r>
              <w:t>17</w:t>
            </w:r>
            <w:r>
              <w:fldChar w:fldCharType="end"/>
            </w:r>
          </w:hyperlink>
        </w:p>
        <w:p>
          <w:pPr>
            <w:pStyle w:val="9"/>
            <w:tabs>
              <w:tab w:val="right" w:leader="dot" w:pos="9026"/>
            </w:tabs>
            <w:spacing w:before="120" w:after="60"/>
          </w:pPr>
          <w:hyperlink w:anchor="_Toc100040" w:history="1">
            <w:r>
              <w:rPr>
                <w:rStyle w:val="Hyperlink"/>
              </w:rPr>
              <w:t>9. Future Mission, Vision and Improvement Roadmap</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9.1 Mission and vision</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9.2 Improvement roadmap</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9.3 What good looks like in three years</w:t>
            </w:r>
            <w:r>
              <w:tab/>
            </w:r>
            <w:r>
              <w:fldChar w:fldCharType="begin"/>
            </w:r>
            <w:r>
              <w:instrText xml:space="preserve"> PAGEREF _Toc100043 \h </w:instrText>
            </w:r>
            <w:r>
              <w:fldChar w:fldCharType="separate"/>
            </w:r>
            <w:r>
              <w:t>18</w:t>
            </w:r>
            <w:r>
              <w:fldChar w:fldCharType="end"/>
            </w:r>
          </w:hyperlink>
        </w:p>
        <w:p>
          <w:pPr>
            <w:pStyle w:val="9"/>
            <w:tabs>
              <w:tab w:val="right" w:leader="dot" w:pos="9026"/>
            </w:tabs>
            <w:spacing w:before="120" w:after="60"/>
          </w:pPr>
          <w:hyperlink w:anchor="_Toc100044" w:history="1">
            <w:r>
              <w:rPr>
                <w:rStyle w:val="Hyperlink"/>
              </w:rPr>
              <w:t>10. Risk Register</w:t>
            </w:r>
            <w:r>
              <w:tab/>
            </w:r>
            <w:r>
              <w:fldChar w:fldCharType="begin"/>
            </w:r>
            <w:r>
              <w:instrText xml:space="preserve"> PAGEREF _Toc100044 \h </w:instrText>
            </w:r>
            <w:r>
              <w:fldChar w:fldCharType="separate"/>
            </w:r>
            <w:r>
              <w:t>19</w:t>
            </w:r>
            <w:r>
              <w:fldChar w:fldCharType="end"/>
            </w:r>
          </w:hyperlink>
        </w:p>
        <w:p>
          <w:pPr>
            <w:pStyle w:val="9"/>
            <w:tabs>
              <w:tab w:val="right" w:leader="dot" w:pos="9026"/>
            </w:tabs>
            <w:spacing w:before="120" w:after="60"/>
          </w:pPr>
          <w:hyperlink w:anchor="_Toc100045" w:history="1">
            <w:r>
              <w:rPr>
                <w:rStyle w:val="Hyperlink"/>
              </w:rPr>
              <w:t>11. Missing Pieces / Gap Audit</w:t>
            </w:r>
            <w:r>
              <w:tab/>
            </w:r>
            <w:r>
              <w:fldChar w:fldCharType="begin"/>
            </w:r>
            <w:r>
              <w:instrText xml:space="preserve"> PAGEREF _Toc100045 \h </w:instrText>
            </w:r>
            <w:r>
              <w:fldChar w:fldCharType="separate"/>
            </w:r>
            <w:r>
              <w:t>19</w:t>
            </w:r>
            <w:r>
              <w:fldChar w:fldCharType="end"/>
            </w:r>
          </w:hyperlink>
        </w:p>
        <w:p>
          <w:pPr>
            <w:pStyle w:val="9"/>
            <w:tabs>
              <w:tab w:val="right" w:leader="dot" w:pos="9026"/>
            </w:tabs>
            <w:spacing w:before="120" w:after="60"/>
          </w:pPr>
          <w:hyperlink w:anchor="_Toc100046" w:history="1">
            <w:r>
              <w:rPr>
                <w:rStyle w:val="Hyperlink"/>
              </w:rPr>
              <w:t>12. Standards and Basis Notes</w:t>
            </w:r>
            <w:r>
              <w:tab/>
            </w:r>
            <w:r>
              <w:fldChar w:fldCharType="begin"/>
            </w:r>
            <w:r>
              <w:instrText xml:space="preserve"> PAGEREF _Toc100046 \h </w:instrText>
            </w:r>
            <w:r>
              <w:fldChar w:fldCharType="separate"/>
            </w:r>
            <w:r>
              <w:t>20</w:t>
            </w:r>
            <w:r>
              <w:fldChar w:fldCharType="end"/>
            </w:r>
          </w:hyperlink>
        </w:p>
        <w:p>
          <w:pPr>
            <w:pStyle w:val="9"/>
            <w:tabs>
              <w:tab w:val="right" w:leader="dot" w:pos="9026"/>
            </w:tabs>
            <w:spacing w:before="120" w:after="60"/>
          </w:pPr>
          <w:hyperlink w:anchor="_Toc100047" w:history="1">
            <w:r>
              <w:rPr>
                <w:rStyle w:val="Hyperlink"/>
              </w:rPr>
              <w:t>13. Gaps I Almost Missed / Additional Aspects to Consider</w:t>
            </w:r>
            <w:r>
              <w:tab/>
            </w:r>
            <w:r>
              <w:fldChar w:fldCharType="begin"/>
            </w:r>
            <w:r>
              <w:instrText xml:space="preserve"> PAGEREF _Toc100047 \h </w:instrText>
            </w:r>
            <w:r>
              <w:fldChar w:fldCharType="separate"/>
            </w:r>
            <w:r>
              <w:t>20</w:t>
            </w:r>
            <w:r>
              <w:fldChar w:fldCharType="end"/>
            </w:r>
          </w:hyperlink>
        </w:p>
        <w:p>
          <w:pPr>
            <w:pStyle w:val="9"/>
            <w:tabs>
              <w:tab w:val="right" w:leader="dot" w:pos="9026"/>
            </w:tabs>
            <w:spacing w:before="120" w:after="60"/>
          </w:pPr>
          <w:hyperlink w:anchor="_Toc100048" w:history="1">
            <w:r>
              <w:rPr>
                <w:rStyle w:val="Hyperlink"/>
              </w:rPr>
              <w:t>Appendix A. Cross-Document Traceability Maps</w:t>
            </w:r>
            <w:r>
              <w:tab/>
            </w:r>
            <w:r>
              <w:fldChar w:fldCharType="begin"/>
            </w:r>
            <w:r>
              <w:instrText xml:space="preserve"> PAGEREF _Toc100048 \h </w:instrText>
            </w:r>
            <w:r>
              <w:fldChar w:fldCharType="separate"/>
            </w:r>
            <w:r>
              <w:t>21</w:t>
            </w:r>
            <w:r>
              <w:fldChar w:fldCharType="end"/>
            </w:r>
          </w:hyperlink>
        </w:p>
        <w:p>
          <w:pPr>
            <w:pStyle w:val="9"/>
            <w:tabs>
              <w:tab w:val="right" w:leader="dot" w:pos="9026"/>
            </w:tabs>
            <w:spacing w:before="120" w:after="60"/>
          </w:pPr>
          <w:hyperlink w:anchor="_Toc100049" w:history="1">
            <w:r>
              <w:rPr>
                <w:rStyle w:val="Hyperlink"/>
              </w:rPr>
              <w:t>Document Control</w:t>
            </w:r>
            <w:r>
              <w:tab/>
            </w:r>
            <w:r>
              <w:fldChar w:fldCharType="begin"/>
            </w:r>
            <w:r>
              <w:instrText xml:space="preserve"> PAGEREF _Toc100049 \h </w:instrText>
            </w:r>
            <w:r>
              <w:fldChar w:fldCharType="separate"/>
            </w:r>
            <w:r>
              <w:t>22</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jc w:val="center"/>
      </w:pPr>
      <w:bookmarkStart w:id="100000" w:name="_Toc100000"/>
      <w:r>
        <w:rPr>
          <w:rFonts w:ascii="Times New Roman" w:eastAsia="SimHei"/>
          <w:b/>
          <w:bCs/>
          <w:color w:val="1A5276"/>
          <w:sz w:val="32"/>
          <w:szCs w:val="32"/>
        </w:rPr>
        <w:t xml:space="preserve">1. Purpose and How to Use This Dossier</w:t>
      </w:r>
      <w:bookmarkEnd w:id="100000"/>
    </w:p>
    <w:p>
      <w:pPr>
        <w:keepNext w:val="false"/>
        <w:spacing w:after="120" w:line="312"/>
        <w:jc w:val="left"/>
      </w:pPr>
      <w:r>
        <w:rPr>
          <w:rFonts w:ascii="Times New Roman" w:eastAsia="Times New Roman"/>
          <w:b w:val="false"/>
          <w:bCs w:val="false"/>
          <w:i w:val="false"/>
          <w:iCs w:val="false"/>
          <w:color w:val="000000"/>
          <w:sz w:val="24"/>
          <w:szCs w:val="24"/>
        </w:rPr>
        <w:t xml:space="preserve">This dossier carries the sections of the hospital AI assurance programme that cut across audiences: the infrastructure design summary, the master catalogue of quantifiable tests and success metrics, the readiness and go/no-go framework, the six-lens impact analysis, the debate-style FAQ, the honest advantages and disadvantages, the SWOT, the forward roadmap, the full risk register, the gap audit, and the closing self-audit of what the authoring team almost missed. The audience-specific companions - the CCOO Brief, the Board Assurance Paper and the IT Readiness Design - draw their material from here and remain consistent with it by construction; where any conflict appears, this dossier's risk register and gate definitions are authoritative until the AI Governance Committee resolves the conflict in writing.</w:t>
      </w:r>
    </w:p>
    <w:p>
      <w:pPr>
        <w:keepNext w:val="false"/>
        <w:spacing w:after="120" w:line="312"/>
        <w:jc w:val="left"/>
      </w:pPr>
      <w:r>
        <w:rPr>
          <w:rFonts w:ascii="Times New Roman" w:eastAsia="Times New Roman"/>
          <w:b w:val="false"/>
          <w:bCs w:val="false"/>
          <w:i w:val="false"/>
          <w:iCs w:val="false"/>
          <w:color w:val="000000"/>
          <w:sz w:val="24"/>
          <w:szCs w:val="24"/>
        </w:rPr>
        <w:t xml:space="preserve">Two conventions govern everything. First, placeholders: hospital-specific facts appear as [Hospital Name], [Baseline], [Target], [Vendor], [Owner], [Budget], [Date] or [To be confirmed], and filling them with measured local values is part of the programme's work, not a defect of the document. Second, basis tags: [Standard] marks published external requirements with real citations; [Best practice] marks widely adopted professional practice that is not codified; [Local Assumption] marks statements the programme assumes but the hospital must verify. The difference matters because standards can be audited, practices can be benchmarked, and assumptions must be tested.</w:t>
      </w:r>
    </w:p>
    <w:p>
      <w:pPr>
        <w:keepNext w:val="false"/>
        <w:spacing w:after="120" w:line="312"/>
        <w:jc w:val="left"/>
      </w:pPr>
      <w:r>
        <w:rPr>
          <w:rFonts w:ascii="Times New Roman" w:eastAsia="Times New Roman"/>
          <w:b w:val="false"/>
          <w:bCs w:val="false"/>
          <w:i w:val="false"/>
          <w:iCs w:val="false"/>
          <w:color w:val="000000"/>
          <w:sz w:val="24"/>
          <w:szCs w:val="24"/>
        </w:rPr>
        <w:t xml:space="preserve">A reading order is suggested for each audience. Clinical operations leadership: Sections 3-6 and the FAQ topics on burnout, measuring success and downtime. Board members: Sections 4-5, 7-8 and 10. IT and security teams: Sections 2-3, the full FAQ and the risk register. Programme managers: all of it, plus the gap audit in Section 11 and the self-audit in Section 13, which together form the honest to-do list.</w:t>
      </w:r>
    </w:p>
    <w:p>
      <w:pPr>
        <w:pStyle w:val="Heading1"/>
        <w:keepNext/>
        <w:spacing w:after="160" w:before="360" w:line="312"/>
        <w:jc w:val="center"/>
      </w:pPr>
      <w:bookmarkStart w:id="100001" w:name="_Toc100001"/>
      <w:r>
        <w:rPr>
          <w:rFonts w:ascii="Times New Roman" w:eastAsia="SimHei"/>
          <w:b/>
          <w:bCs/>
          <w:color w:val="1A5276"/>
          <w:sz w:val="32"/>
          <w:szCs w:val="32"/>
        </w:rPr>
        <w:t xml:space="preserve">2. Full Infrastructure Design (Cross-Cutting Summary)</w:t>
      </w:r>
      <w:bookmarkEnd w:id="100001"/>
    </w:p>
    <w:p>
      <w:pPr>
        <w:keepNext w:val="false"/>
        <w:spacing w:after="120" w:line="312"/>
        <w:jc w:val="left"/>
      </w:pPr>
      <w:r>
        <w:rPr>
          <w:rFonts w:ascii="Times New Roman" w:eastAsia="Times New Roman"/>
          <w:b w:val="false"/>
          <w:bCs w:val="false"/>
          <w:i w:val="false"/>
          <w:iCs w:val="false"/>
          <w:color w:val="000000"/>
          <w:sz w:val="24"/>
          <w:szCs w:val="24"/>
        </w:rPr>
        <w:t xml:space="preserve">The complete technical design is Document 3; this section fixes the shared picture so every audience argues from the same diagram in words. The estate is organised as six layers around the principle that clinical systems remain the source of truth: a clinical source layer (EHR and echo/PACS), an interoperability layer (FHIR R4 services and mediation, reference implementations Medplum and OpenHIM [Local Assumption]), an intelligence layer (model serving: a vLLM-hosted clinical language model and an ONNX-based EF estimation pipeline [Local Assumption]), a knowledge layer (versioned corpora and retrieval index with citation metadata), a safety layer (de-identification and policy enforcement, reference Presidio/medspaCy [Local Assumption]), and an assurance layer (the probe runner and evidence pack factory) that examines all other layers black-box through their published interfaces.</w:t>
      </w:r>
    </w:p>
    <w:p>
      <w:pPr>
        <w:keepNext w:val="false"/>
        <w:spacing w:after="120" w:line="312"/>
        <w:jc w:val="left"/>
      </w:pPr>
      <w:r>
        <w:rPr>
          <w:rFonts w:ascii="Times New Roman" w:eastAsia="Times New Roman"/>
          <w:b w:val="false"/>
          <w:bCs w:val="false"/>
          <w:i w:val="false"/>
          <w:iCs w:val="false"/>
          <w:color w:val="000000"/>
          <w:sz w:val="24"/>
          <w:szCs w:val="24"/>
        </w:rPr>
        <w:t xml:space="preserve">Network-wise, five zones (clinical, integration, AI, management, DMZ) with deny-by-default rules contain the estate; the AI zone has no internet egress except a controlled proxy, and no direct route into clinical systems. Identity is centralised with single sign-on, multi-factor authentication and single-purpose workload identities; secrets live in the secrets platform; every meaningful event lands in a hash-chained, tamper-evident audit service. Storage is classed by sensitivity with encryption at rest throughout the AI estate. Recovery objectives are set per service class and validated by rehearsed restores and clean-room DR builds; the manual fallback for every AI-enabled workflow is part of the recovery design, not an afterthought.</w:t>
      </w:r>
    </w:p>
    <w:p>
      <w:pPr>
        <w:keepNext w:val="false"/>
        <w:spacing w:after="120" w:line="312"/>
        <w:jc w:val="left"/>
      </w:pPr>
      <w:r>
        <w:rPr>
          <w:rFonts w:ascii="Times New Roman" w:eastAsia="Times New Roman"/>
          <w:b w:val="false"/>
          <w:bCs w:val="false"/>
          <w:i w:val="false"/>
          <w:iCs w:val="false"/>
          <w:color w:val="000000"/>
          <w:sz w:val="24"/>
          <w:szCs w:val="24"/>
        </w:rPr>
        <w:t xml:space="preserve">Three design decisions deserve emphasis because they carry most of the risk reduction. Advisory-only write paths: no AI service may finalise clinical content, which caps the blast radius of any model failure. Evidence as a first-class artifact: every gate decision, release and incident maps to a versioned evidence pack whose inputs are reproducible tests, so arguments settle with data rather than seniority. Expiring assurance: evidence packs and readiness declarations carry validity windows, which converts governance from a one-time hurdle into a living control that ages badly on purpose.</w:t>
      </w:r>
    </w:p>
    <w:p>
      <w:pPr>
        <w:pStyle w:val="Heading1"/>
        <w:keepNext/>
        <w:spacing w:after="160" w:before="360" w:line="312"/>
        <w:jc w:val="center"/>
      </w:pPr>
      <w:bookmarkStart w:id="100002" w:name="_Toc100002"/>
      <w:r>
        <w:rPr>
          <w:rFonts w:ascii="Times New Roman" w:eastAsia="SimHei"/>
          <w:b/>
          <w:bCs/>
          <w:color w:val="1A5276"/>
          <w:sz w:val="32"/>
          <w:szCs w:val="32"/>
        </w:rPr>
        <w:t xml:space="preserve">3. Quantifiable Tests and Success Metrics (Master Catalogue)</w:t>
      </w:r>
      <w:bookmarkEnd w:id="100002"/>
    </w:p>
    <w:p>
      <w:pPr>
        <w:keepNext w:val="false"/>
        <w:spacing w:after="120" w:line="312"/>
        <w:jc w:val="left"/>
      </w:pPr>
      <w:r>
        <w:rPr>
          <w:rFonts w:ascii="Times New Roman" w:eastAsia="Times New Roman"/>
          <w:b w:val="false"/>
          <w:bCs w:val="false"/>
          <w:i w:val="false"/>
          <w:iCs w:val="false"/>
          <w:color w:val="000000"/>
          <w:sz w:val="24"/>
          <w:szCs w:val="24"/>
        </w:rPr>
        <w:t xml:space="preserve">This is the single catalogue of record; the CCOO Brief and IT document quote subsets of it. The rule of use repeats from those documents: no baseline, no pilot; no target, no go-live; no owner and cadence, no continued funding. Baselines are measured locally during G0-G1; targets are frozen at G2; safety and privacy targets may only be raised afterward. Rows are grouped by domain; all values remain placeholders until measured or resolved by the committee.</w:t>
      </w:r>
    </w:p>
    <w:p>
      <w:pPr>
        <w:keepNext/>
        <w:spacing w:after="80" w:before="200" w:line="312"/>
        <w:jc w:val="left"/>
      </w:pPr>
      <w:r>
        <w:rPr>
          <w:rFonts w:ascii="Times New Roman" w:eastAsia="Times New Roman"/>
          <w:b/>
          <w:bCs/>
          <w:color w:val="000000"/>
          <w:sz w:val="21"/>
          <w:szCs w:val="21"/>
        </w:rPr>
        <w:t xml:space="preserve">Table 3.1 - Master catalogue of tests and metrics (all rows: Baseline [Baseline], Target [Target] until locally set)</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94"/>
        <w:gridCol w:w="1230"/>
        <w:gridCol w:w="967"/>
        <w:gridCol w:w="1670"/>
        <w:gridCol w:w="1142"/>
        <w:gridCol w:w="1142"/>
        <w:gridCol w:w="1142"/>
      </w:tblGrid>
      <w:tr>
        <w:trPr>
          <w:cantSplit/>
          <w:tblHeader/>
        </w:trPr>
        <w:tc>
          <w:tcPr>
            <w:tcW w:type="pct" w:w="8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Metric / test</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Baseline</w:t>
            </w:r>
          </w:p>
        </w:tc>
        <w:tc>
          <w:tcPr>
            <w:tcW w:type="pct" w:w="5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Target</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Measurement method</w:t>
            </w:r>
          </w:p>
        </w:tc>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Cadence</w:t>
            </w:r>
          </w:p>
        </w:tc>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Domain</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Uncaught hallucination rate (sampled)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Structured audit of sampled outputs vs cited sources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Quality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NOT_COVERED refusal precision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Clinician adjudication of refusal samples against rubric</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CMIO delegate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CDS override rate with reason codes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[Band]</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event logs per card type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CMIO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 (pilot)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AI-related incidents per 1,000 AI-influenced episodes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Incident system with AI category; denominators from logs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Safety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Serious AI-related safety events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 0]</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Incident review, 28-day window</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Safety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EF measurement agreement (AI vs manual)</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Blinded dual-reading; Bland-Altman</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Cardiology imaging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 probe leakage rate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 confirmed</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Planted-identifier corpus per release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governance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release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 leakage on sampled real data</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Two-reviewer sampling with adjudication</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governance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Confirmed privacy incidents (AI systems)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 0]</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DPO register</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DPO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Telemetry PHI scrub findings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Log/trace sampling for identifiers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Interface latency p95 (clinical hours)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Service monitoring per interface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Load test pass at 2x pilot concurrency</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n/a</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Pass</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Production-shaped load in staging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Platform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release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Failover drill success and time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Timed drill per workflow</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ops + CCOO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DR clean-room build pass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n/a</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Pass</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IaC rebuild + restore verification</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Infra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chain verification pass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n/a</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Pass</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Hash recompute + tamper simulation</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Injection/refusal-trap bypass count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corpora runs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release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 quality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Fairness/consistency probe deltas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[Band]</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Variant corpora scoring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release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 quality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Probe suite score vs gate floor</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&gt;= floor</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Scheduled black-box re-runs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 quality</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Time to first evidence draft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Logs, pilot vs matched cohort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champion</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 (pilot)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Operations</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Workflow cycle time (per redesigned flow)</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timestamp mining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Operations analytics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Operations</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Alert burden delta per clinician-day</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Interruption audit before/after changes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informatics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change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Operations</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Clinician workload survey (validated instrument)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Fixed-schedule survey, same instrument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Workforce</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Champion capacity (protected hours used/needed)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Job plan tracking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Workforce</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Staff using only sanctioned AI tools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Survey + network signals; amnesty reporting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Workforce</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 communication comprehension (where patient-facing)</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 group review + comprehension testing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 experience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feature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Complaints referencing AI</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Complaints taxonomy tagging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 experience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realised vs business case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Finance-verified benefits tracker</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Financial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overhead as % of use-case cost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[Band]</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accounting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Financial</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Evidence pack validity coverage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100%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registry age check</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lead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Governance</w:t>
            </w:r>
          </w:p>
        </w:tc>
      </w:tr>
      <w:tr>
        <w:trPr>
          <w:cantSplit/>
        </w:trPr>
        <w:tc>
          <w:tcPr>
            <w:tcW w:type="pct" w:w="8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Open critical risks past due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Risk register review</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office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Governance</w:t>
            </w:r>
          </w:p>
        </w:tc>
      </w:tr>
    </w:tbl>
    <w:p>
      <w:pPr>
        <w:spacing w:after="200" w:before="80" w:line="312"/>
        <w:jc w:val="left"/>
      </w:pPr>
      <w:r>
        <w:rPr>
          <w:rFonts w:ascii="Times New Roman" w:eastAsia="Times New Roman"/>
          <w:i/>
          <w:iCs/>
          <w:color w:val="595959"/>
          <w:sz w:val="18"/>
          <w:szCs w:val="18"/>
        </w:rPr>
        <w:t xml:space="preserve">Thirty rows is the ceiling, deliberately: a catalogue that grows without subtraction becomes a dashboard nobody reads. Candidates for retirement are reviewed annually with the same seriousness as additions [Best practice].</w:t>
      </w:r>
    </w:p>
    <w:p>
      <w:pPr>
        <w:pStyle w:val="Heading1"/>
        <w:keepNext/>
        <w:spacing w:after="160" w:before="360" w:line="312"/>
        <w:jc w:val="center"/>
      </w:pPr>
      <w:bookmarkStart w:id="100003" w:name="_Toc100003"/>
      <w:r>
        <w:rPr>
          <w:rFonts w:ascii="Times New Roman" w:eastAsia="SimHei"/>
          <w:b/>
          <w:bCs/>
          <w:color w:val="1A5276"/>
          <w:sz w:val="32"/>
          <w:szCs w:val="32"/>
        </w:rPr>
        <w:t xml:space="preserve">4. Readiness-to-Deployment and Go/No-Go Framework</w:t>
      </w:r>
      <w:bookmarkEnd w:id="100003"/>
    </w:p>
    <w:p>
      <w:pPr>
        <w:keepNext w:val="false"/>
        <w:spacing w:after="120" w:line="312"/>
        <w:jc w:val="left"/>
      </w:pPr>
      <w:r>
        <w:rPr>
          <w:rFonts w:ascii="Times New Roman" w:eastAsia="Times New Roman"/>
          <w:b w:val="false"/>
          <w:bCs w:val="false"/>
          <w:i w:val="false"/>
          <w:iCs w:val="false"/>
          <w:color w:val="000000"/>
          <w:sz w:val="24"/>
          <w:szCs w:val="24"/>
        </w:rPr>
        <w:t xml:space="preserve">The framework has five gates (G0-G4), matching the Board paper; this section adds the operational detail each gate demands and the three outcomes available at every gate: pass, pass-with-conditions (each condition dated and owned), or no-go (with a written re-entry path). Evidence packs expire after [90] days; expiry demotes a use case one gate automatically. The committee cannot waive missing safety or privacy evidence without a minuted rationale and compensating controls - and even then, a serious-event stop rule still applies afterwards.</w:t>
      </w:r>
    </w:p>
    <w:p>
      <w:pPr>
        <w:keepNext/>
        <w:spacing w:after="80" w:before="200" w:line="312"/>
        <w:jc w:val="left"/>
      </w:pPr>
      <w:r>
        <w:rPr>
          <w:rFonts w:ascii="Times New Roman" w:eastAsia="Times New Roman"/>
          <w:b/>
          <w:bCs/>
          <w:color w:val="000000"/>
          <w:sz w:val="21"/>
          <w:szCs w:val="21"/>
        </w:rPr>
        <w:t xml:space="preserve">Table 4.1 - Gate evidence requirements (operational detail)</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055"/>
        <w:gridCol w:w="2636"/>
        <w:gridCol w:w="2988"/>
        <w:gridCol w:w="2109"/>
      </w:tblGrid>
      <w:tr>
        <w:trPr>
          <w:cantSplit/>
          <w:tblHeader/>
        </w:trPr>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Gate</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Question it answers</w:t>
            </w:r>
          </w:p>
        </w:tc>
        <w:tc>
          <w:tcPr>
            <w:tcW w:type="pct" w:w="1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Evidence required</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Who signs</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G0</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 this a real problem worth an exam?</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Problem statement; named owner; proposed success measures; preliminary hazard list; draft scope boundaries.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G1</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 it ready to try, safely, on a small scale?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Measured baselines; agreed targets; safety case v1; privacy assessment; security review (IT doc Section 12 tests); fallback plan; charter; readiness declaration (IT doc Section 13).</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G2</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Did the pilot meet its targets honestly?</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Pilot results vs frozen targets; incident record; audit findings; updated safety case; benefits re-forecast; independent external review commissioned.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 executive sponsor</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G3</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 it safe and worth scaling?</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Scale plan; training completion; support model; monitoring green [2] cycles; exit strategy; finance re-approval; counsel's classification confirmed.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 executive</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G4</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Should it continue as-is?</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Renewed evidence pack; benefit realisation confirmed or variance explained; risk register refresh; decision: continue, modify or retire.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(Board informed)</w:t>
            </w:r>
          </w:p>
        </w:tc>
      </w:tr>
    </w:tbl>
    <w:p>
      <w:pPr>
        <w:spacing w:after="200" w:before="80" w:line="312"/>
        <w:jc w:val="left"/>
      </w:pPr>
      <w:r>
        <w:rPr>
          <w:rFonts w:ascii="Times New Roman" w:eastAsia="Times New Roman"/>
          <w:i/>
          <w:iCs/>
          <w:color w:val="595959"/>
          <w:sz w:val="18"/>
          <w:szCs w:val="18"/>
        </w:rPr>
        <w:t xml:space="preserve">Stop rules (Board paper Section 8.2) override every gate: any serious AI-suspected safety event, any confirmed privacy breach, any confirmed real-data de-identification leak, monitoring red [2] cycles, expired pack in routine use, or failed fallback drill stops the use case immediately and triggers the structured postmortem.</w:t>
      </w:r>
    </w:p>
    <w:p>
      <w:pPr>
        <w:keepNext w:val="false"/>
        <w:spacing w:after="120" w:line="312"/>
        <w:jc w:val="left"/>
      </w:pPr>
      <w:r>
        <w:rPr>
          <w:rFonts w:ascii="Times New Roman" w:eastAsia="Times New Roman"/>
          <w:b w:val="false"/>
          <w:bCs w:val="false"/>
          <w:i w:val="false"/>
          <w:iCs w:val="false"/>
          <w:color w:val="000000"/>
          <w:sz w:val="24"/>
          <w:szCs w:val="24"/>
        </w:rPr>
        <w:t xml:space="preserve">Three design choices in this framework are deliberate and worth defending in debate. Gates are cheap to pass and cheap to fail: the paperwork scales with risk class, so a low-risk internal use case faces a lighter G1 than a clinical decision-support card - proportionality keeps the framework from strangling innovation while keeping the ceiling firm. Gates are public: statuses and red conditions are visible to all staff on the governance dashboard, because hidden gates breed shadow workarounds. And gates are the same for internal and vendor-built systems: the hospital tests what any system does, not who built it, which is both fair and the only defensible procurement posture.</w:t>
      </w:r>
    </w:p>
    <w:p>
      <w:pPr>
        <w:pStyle w:val="Heading1"/>
        <w:keepNext/>
        <w:spacing w:after="160" w:before="360" w:line="312"/>
        <w:jc w:val="center"/>
      </w:pPr>
      <w:bookmarkStart w:id="100004" w:name="_Toc100004"/>
      <w:r>
        <w:rPr>
          <w:rFonts w:ascii="Times New Roman" w:eastAsia="SimHei"/>
          <w:b/>
          <w:bCs/>
          <w:color w:val="1A5276"/>
          <w:sz w:val="32"/>
          <w:szCs w:val="32"/>
        </w:rPr>
        <w:t xml:space="preserve">5. Impact on the Hospital: Six Lenses</w:t>
      </w:r>
      <w:bookmarkEnd w:id="100004"/>
    </w:p>
    <w:p>
      <w:pPr>
        <w:pStyle w:val="Heading2"/>
        <w:keepNext/>
        <w:spacing w:after="120" w:before="240" w:line="312"/>
      </w:pPr>
      <w:bookmarkStart w:id="100005" w:name="_Toc100005"/>
      <w:r>
        <w:rPr>
          <w:rFonts w:ascii="Times New Roman" w:eastAsia="SimHei"/>
          <w:b/>
          <w:bCs/>
          <w:color w:val="1A5276"/>
          <w:sz w:val="30"/>
          <w:szCs w:val="30"/>
        </w:rPr>
        <w:t xml:space="preserve">5.1 Clinical impact</w:t>
      </w:r>
      <w:bookmarkEnd w:id="100005"/>
    </w:p>
    <w:p>
      <w:pPr>
        <w:keepNext w:val="false"/>
        <w:spacing w:after="120" w:line="312"/>
        <w:jc w:val="left"/>
      </w:pPr>
      <w:r>
        <w:rPr>
          <w:rFonts w:ascii="Times New Roman" w:eastAsia="Times New Roman"/>
          <w:b w:val="false"/>
          <w:bCs w:val="false"/>
          <w:i w:val="false"/>
          <w:iCs w:val="false"/>
          <w:color w:val="000000"/>
          <w:sz w:val="24"/>
          <w:szCs w:val="24"/>
        </w:rPr>
        <w:t xml:space="preserve">The plausible gains are real but specific: faster access to evidence at the point of care through the citation-forced assistant; measurable support for tedious quantification like EF measurement; earlier visibility of safety signals through monitoring. The plausible costs are equally specific: added verification steps that only pay back when trust matures; the risk of automation bias eroding independent judgement; and a new category of clinical incident to learn from. Net effect, honestly stated: unknown until measured - which is exactly why Table 3.1 exists and why the first use cases were chosen for their measurable baselines.</w:t>
      </w:r>
    </w:p>
    <w:p>
      <w:pPr>
        <w:pStyle w:val="Heading2"/>
        <w:keepNext/>
        <w:spacing w:after="120" w:before="240" w:line="312"/>
      </w:pPr>
      <w:bookmarkStart w:id="100006" w:name="_Toc100006"/>
      <w:r>
        <w:rPr>
          <w:rFonts w:ascii="Times New Roman" w:eastAsia="SimHei"/>
          <w:b/>
          <w:bCs/>
          <w:color w:val="1A5276"/>
          <w:sz w:val="30"/>
          <w:szCs w:val="30"/>
        </w:rPr>
        <w:t xml:space="preserve">5.2 Operational impact</w:t>
      </w:r>
      <w:bookmarkEnd w:id="100006"/>
    </w:p>
    <w:p>
      <w:pPr>
        <w:keepNext w:val="false"/>
        <w:spacing w:after="120" w:line="312"/>
        <w:jc w:val="left"/>
      </w:pPr>
      <w:r>
        <w:rPr>
          <w:rFonts w:ascii="Times New Roman" w:eastAsia="Times New Roman"/>
          <w:b w:val="false"/>
          <w:bCs w:val="false"/>
          <w:i w:val="false"/>
          <w:iCs w:val="false"/>
          <w:color w:val="000000"/>
          <w:sz w:val="24"/>
          <w:szCs w:val="24"/>
        </w:rPr>
        <w:t xml:space="preserve">Operationally the programme adds a queue of gates before deployment and a dashboard after it. The queue is a feature: it forces sequencing discipline that hospitals otherwise impose informally and inconsistently. Expect early friction: pilots that wait for baselines, workflows that pause for fallback drills, and meetings that ask uncomfortable questions. Expect later dividends: fewer surprise failures, faster audits, and a reusable evidence pipeline that makes the second, third and tenth use case progressively cheaper. The honest warning is about the middle: the period where enthusiasm has faded and scale benefits have not yet landed is where programmes are quietly killed - the roadmap in Section 9 sequences wins deliberately to survive that trough.</w:t>
      </w:r>
    </w:p>
    <w:p>
      <w:pPr>
        <w:pStyle w:val="Heading2"/>
        <w:keepNext/>
        <w:spacing w:after="120" w:before="240" w:line="312"/>
      </w:pPr>
      <w:bookmarkStart w:id="100007" w:name="_Toc100007"/>
      <w:r>
        <w:rPr>
          <w:rFonts w:ascii="Times New Roman" w:eastAsia="SimHei"/>
          <w:b/>
          <w:bCs/>
          <w:color w:val="1A5276"/>
          <w:sz w:val="30"/>
          <w:szCs w:val="30"/>
        </w:rPr>
        <w:t xml:space="preserve">5.3 Strategic impact</w:t>
      </w:r>
      <w:bookmarkEnd w:id="100007"/>
    </w:p>
    <w:p>
      <w:pPr>
        <w:keepNext w:val="false"/>
        <w:spacing w:after="120" w:line="312"/>
        <w:jc w:val="left"/>
      </w:pPr>
      <w:r>
        <w:rPr>
          <w:rFonts w:ascii="Times New Roman" w:eastAsia="Times New Roman"/>
          <w:b w:val="false"/>
          <w:bCs w:val="false"/>
          <w:i w:val="false"/>
          <w:iCs w:val="false"/>
          <w:color w:val="000000"/>
          <w:sz w:val="24"/>
          <w:szCs w:val="24"/>
        </w:rPr>
        <w:t xml:space="preserve">Strategically, the hospital converts an unmanaged liability into a governed capability. With high-risk AI obligations switching on internationally from August 2026 (EU AI Act [Standard]) and local instruments maturing, demonstrated assurance capability becomes a negotiating asset with vendors, insurers, accreditors and partner institutions. It also becomes a talent argument: clinicians and technologists increasingly choose institutions where innovation is disciplined rather than chaotic. The strategic risk of standing still is asymmetric - the cost of building this capability is bounded and visible; the cost of a public AI safety or privacy failure is neither.</w:t>
      </w:r>
    </w:p>
    <w:p>
      <w:pPr>
        <w:pStyle w:val="Heading2"/>
        <w:keepNext/>
        <w:spacing w:after="120" w:before="240" w:line="312"/>
      </w:pPr>
      <w:bookmarkStart w:id="100008" w:name="_Toc100008"/>
      <w:r>
        <w:rPr>
          <w:rFonts w:ascii="Times New Roman" w:eastAsia="SimHei"/>
          <w:b/>
          <w:bCs/>
          <w:color w:val="1A5276"/>
          <w:sz w:val="30"/>
          <w:szCs w:val="30"/>
        </w:rPr>
        <w:t xml:space="preserve">5.4 Financial impact</w:t>
      </w:r>
      <w:bookmarkEnd w:id="100008"/>
    </w:p>
    <w:p>
      <w:pPr>
        <w:keepNext w:val="false"/>
        <w:spacing w:after="120" w:line="312"/>
        <w:jc w:val="left"/>
      </w:pPr>
      <w:r>
        <w:rPr>
          <w:rFonts w:ascii="Times New Roman" w:eastAsia="Times New Roman"/>
          <w:b w:val="false"/>
          <w:bCs w:val="false"/>
          <w:i w:val="false"/>
          <w:iCs w:val="false"/>
          <w:color w:val="000000"/>
          <w:sz w:val="24"/>
          <w:szCs w:val="24"/>
        </w:rPr>
        <w:t xml:space="preserve">The financial shape is typical of governance-heavy programmes: costs front-loaded and certain, benefits back-loaded and probabilistic. Certain costs include governance staffing, environment build, benchmarking and the assurance overhead estimated at [10-20]% of per-use-case delivery cost [Local Assumption to validate]. Probabilistic benefits include time savings per clinician (only real if verification time is counted honestly), throughput gains in imaging, avoided incident costs (only bankable per demonstrable catch), and procurement leverage (real but hard to book). The Board paper's gated funding exists precisely to keep the certain and the probabilistic honest against each other.</w:t>
      </w:r>
    </w:p>
    <w:p>
      <w:pPr>
        <w:pStyle w:val="Heading2"/>
        <w:keepNext/>
        <w:spacing w:after="120" w:before="240" w:line="312"/>
      </w:pPr>
      <w:bookmarkStart w:id="100009" w:name="_Toc100009"/>
      <w:r>
        <w:rPr>
          <w:rFonts w:ascii="Times New Roman" w:eastAsia="SimHei"/>
          <w:b/>
          <w:bCs/>
          <w:color w:val="1A5276"/>
          <w:sz w:val="30"/>
          <w:szCs w:val="30"/>
        </w:rPr>
        <w:t xml:space="preserve">5.5 Workforce impact</w:t>
      </w:r>
      <w:bookmarkEnd w:id="100009"/>
    </w:p>
    <w:p>
      <w:pPr>
        <w:keepNext w:val="false"/>
        <w:spacing w:after="120" w:line="312"/>
        <w:jc w:val="left"/>
      </w:pPr>
      <w:r>
        <w:rPr>
          <w:rFonts w:ascii="Times New Roman" w:eastAsia="Times New Roman"/>
          <w:b w:val="false"/>
          <w:bCs w:val="false"/>
          <w:i w:val="false"/>
          <w:iCs w:val="false"/>
          <w:color w:val="000000"/>
          <w:sz w:val="24"/>
          <w:szCs w:val="24"/>
        </w:rPr>
        <w:t xml:space="preserve">The workforce effects run in both directions and the programme measures both. Added: new roles (champions with protected time, an assurance function, data stewards), training hours, and the cognitive load of a new failure culture to learn. Removed or reduced, per mature use case: some search and drafting time, some manual measurement labour, some audit preparation drudgery. The equity dimension is real: benefits will land unevenly across digital-confidence levels at first, which is a design input (Section 9, H1 training approach), not a footnote. The programme's workforce promise is explicit: AI here is deployed to remove toil, not headcount, and any future proposal that contradicts this goes to the committee with workforce impact assessed first [Local Assumption of policy intent, to be ratified].</w:t>
      </w:r>
    </w:p>
    <w:p>
      <w:pPr>
        <w:pStyle w:val="Heading2"/>
        <w:keepNext/>
        <w:spacing w:after="120" w:before="240" w:line="312"/>
      </w:pPr>
      <w:bookmarkStart w:id="100010" w:name="_Toc100010"/>
      <w:r>
        <w:rPr>
          <w:rFonts w:ascii="Times New Roman" w:eastAsia="SimHei"/>
          <w:b/>
          <w:bCs/>
          <w:color w:val="1A5276"/>
          <w:sz w:val="30"/>
          <w:szCs w:val="30"/>
        </w:rPr>
        <w:t xml:space="preserve">5.6 Patient impact</w:t>
      </w:r>
      <w:bookmarkEnd w:id="100010"/>
    </w:p>
    <w:p>
      <w:pPr>
        <w:keepNext w:val="false"/>
        <w:spacing w:after="120" w:line="312"/>
        <w:jc w:val="left"/>
      </w:pPr>
      <w:r>
        <w:rPr>
          <w:rFonts w:ascii="Times New Roman" w:eastAsia="Times New Roman"/>
          <w:b w:val="false"/>
          <w:bCs w:val="false"/>
          <w:i w:val="false"/>
          <w:iCs w:val="false"/>
          <w:color w:val="000000"/>
          <w:sz w:val="24"/>
          <w:szCs w:val="24"/>
        </w:rPr>
        <w:t xml:space="preserve">For patients the visible differences should be small and good: fewer waits where quantification accelerates reporting, more consistent documentation, and staff who can spend recovered minutes on care rather than clicks. The invisible differences matter more: a hospital that tests before it deploys, monitors after it deploys, tells patients honestly where AI participates in their care, and can show evidence if asked. The programme commits to patient transparency by design - AI involvement in care is communicable in plain language, and the patient experience lead reviews any patient-facing surface before G1 [Best practice; consent and communication design per use case]. The honest limit: the programme does not promise better outcomes on day one; it promises that the hospital will know, measurably, whether outcomes are getting better - and will act on the answer.</w:t>
      </w:r>
    </w:p>
    <w:p>
      <w:pPr>
        <w:pStyle w:val="Heading1"/>
        <w:keepNext/>
        <w:spacing w:after="160" w:before="360" w:line="312"/>
        <w:jc w:val="center"/>
      </w:pPr>
      <w:bookmarkStart w:id="100011" w:name="_Toc100011"/>
      <w:r>
        <w:rPr>
          <w:rFonts w:ascii="Times New Roman" w:eastAsia="SimHei"/>
          <w:b/>
          <w:bCs/>
          <w:color w:val="1A5276"/>
          <w:sz w:val="32"/>
          <w:szCs w:val="32"/>
        </w:rPr>
        <w:t xml:space="preserve">6. Debate-Style FAQ: The Major Dynamics, Argued Honestly</w:t>
      </w:r>
      <w:bookmarkEnd w:id="100011"/>
    </w:p>
    <w:p>
      <w:pPr>
        <w:keepNext w:val="false"/>
        <w:spacing w:after="120" w:line="312"/>
        <w:jc w:val="left"/>
      </w:pPr>
      <w:r>
        <w:rPr>
          <w:rFonts w:ascii="Times New Roman" w:eastAsia="Times New Roman"/>
          <w:b w:val="false"/>
          <w:bCs w:val="false"/>
          <w:i w:val="false"/>
          <w:iCs w:val="false"/>
          <w:color w:val="000000"/>
          <w:sz w:val="24"/>
          <w:szCs w:val="24"/>
        </w:rPr>
        <w:t xml:space="preserve">Each topic below is argued as a genuine debate: the strongest honest case for (Pro), the strongest honest case against (Con), and the Rebuttal that states the programme's actual position, including where the Con argument simply wins. Nothing here is marketing; several rebuttals concede real weaknesses, because a governance document that cannot concede is a brochure. Basis tags apply as throughout this dossier.</w:t>
      </w:r>
    </w:p>
    <w:p>
      <w:pPr>
        <w:pStyle w:val="Heading2"/>
        <w:keepNext/>
        <w:spacing w:after="120" w:before="240" w:line="312"/>
      </w:pPr>
      <w:bookmarkStart w:id="100012" w:name="_Toc100012"/>
      <w:r>
        <w:rPr>
          <w:rFonts w:ascii="Times New Roman" w:eastAsia="SimHei"/>
          <w:b/>
          <w:bCs/>
          <w:color w:val="1A5276"/>
          <w:sz w:val="30"/>
          <w:szCs w:val="30"/>
        </w:rPr>
        <w:t xml:space="preserve">6.1 Money, Value and Delivery</w:t>
      </w:r>
      <w:bookmarkEnd w:id="100012"/>
    </w:p>
    <w:p>
      <w:pPr>
        <w:pStyle w:val="Heading3"/>
        <w:keepNext/>
        <w:spacing w:after="80" w:before="240" w:line="312"/>
      </w:pPr>
      <w:bookmarkStart w:id="100013" w:name="_Toc100013"/>
      <w:r>
        <w:rPr>
          <w:rFonts w:ascii="Times New Roman" w:eastAsia="SimHei"/>
          <w:b/>
          <w:bCs/>
          <w:color w:val="1A5276"/>
          <w:sz w:val="24"/>
          <w:szCs w:val="24"/>
        </w:rPr>
        <w:t xml:space="preserve">Q1. Is the programme affordable, or is assurance a luxury the budget cannot carry?</w:t>
      </w:r>
      <w:bookmarkEnd w:id="100013"/>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spend is small relative to the exposure it manages. Governance staffing, environments and the assurance overhead of [10-20]% per use case [Local Assumption] are bounded and predictable, while a single serious AI-related safety or privacy event carries unbounded cost: clinical harm, regulatory action, litigation and reputational damage that outlives every budget cycle. The programme also has a defensible opportunity argument: evidence capability becomes procurement leverage, and it is reusable across every future use case, so its cost per use case falls as adoption grows.</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Affordability is not just magnitude; it is opportunity cost. Every hour of champion time, every ringgit of environment build and every analytics hour spent measuring baselines is taken from direct care delivery or from other modernisation priorities with their own safety case. Hospitals under real budget pressure know that assurance programmes grow: corpora multiply, dashboards accrete, committees spawn subcommittees. A programme priced at pilot scale can quietly become a permanent department, and its cost curve is rarely put back in front of the board that approved the pilot.</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Both arguments are accepted and the design answers each. Against growth, the metrics catalogue is capped at thirty rows with annual retirement reviews, pilots expire unless they conclude, and funding is gate-tranched so the Board reprices the programme at every scale decision. Against opportunity cost, the honest comparison is not assurance versus care; it is assurance now versus incident response later, where the latter is paid in the most expensive currency a hospital has - trust. The cost envelope remains a placeholder until the business case, and that is deliberate: the programme refuses to lowball its own price to win approval.</w:t>
      </w:r>
    </w:p>
    <w:p>
      <w:pPr>
        <w:pStyle w:val="Heading3"/>
        <w:keepNext/>
        <w:spacing w:after="80" w:before="240" w:line="312"/>
      </w:pPr>
      <w:bookmarkStart w:id="100014" w:name="_Toc100014"/>
      <w:r>
        <w:rPr>
          <w:rFonts w:ascii="Times New Roman" w:eastAsia="SimHei"/>
          <w:b/>
          <w:bCs/>
          <w:color w:val="1A5276"/>
          <w:sz w:val="24"/>
          <w:szCs w:val="24"/>
        </w:rPr>
        <w:t xml:space="preserve">Q2. When will this actually pay for itself?</w:t>
      </w:r>
      <w:bookmarkEnd w:id="100014"/>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Value arrives in tranches, and the first tranche is risk avoidance, which begins at gate G1: baselines measured, hazards caught in staging, evidence available for auditors - none of which requires scale to be worth money. The second tranche is operational: imaging throughput and drafting time on the measured use cases, visible in the benefits tracker within the pilot horizon. The third is strategic: procurement leverage, insurer conversations and reuse of the evidence pipeline, where the tenth use case costs a fraction of the first because gates, corpora and integrations amortise [Local Assumption on amortisation curve].</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ROI narratives in hospital IT have a battered reputation, and this programme shares every classic weakness: benefits that are soft (time savings that become meeting time), counterfactuals that are contested (incidents avoided are invisible), costs that are hard (integration is never 'just' FHIR), and horizons that outrun the tenure of the executive who approved them. The assurance overhead itself is a permanent cost with no standalone revenue, so on a narrow ledger the programme is a cost centre forever.</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programme's financial honesty is structural: benefits are declared per use case in baseline units, verified by finance rather than by the programme, and the tracker publishes misses with the same font as hits. The narrow-ledger objection is conceded and reframed: assurance is infrastructure, like fire doors - a cost centre that exists so that everything else can be run at speed safely. The gated funding model exists precisely because the ROI curve is uncertain; each gate is a re-underwriting. What the programme refuses to do is the thing that makes health-IT ROI claims dishonest: book avoided costs without a demonstrable catch, or hide the assurance overhead from its own business case.</w:t>
      </w:r>
    </w:p>
    <w:p>
      <w:pPr>
        <w:pStyle w:val="Heading3"/>
        <w:keepNext/>
        <w:spacing w:after="80" w:before="240" w:line="312"/>
      </w:pPr>
      <w:bookmarkStart w:id="100015" w:name="_Toc100015"/>
      <w:r>
        <w:rPr>
          <w:rFonts w:ascii="Times New Roman" w:eastAsia="SimHei"/>
          <w:b/>
          <w:bCs/>
          <w:color w:val="1A5276"/>
          <w:sz w:val="24"/>
          <w:szCs w:val="24"/>
        </w:rPr>
        <w:t xml:space="preserve">Q3. Does the hospital have the staffing for this, and what new roles does it create?</w:t>
      </w:r>
      <w:bookmarkEnd w:id="100015"/>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staffing ask is modest and mostly re-scoping rather than net-new: the assurance function is small (a lead plus part-time analysts [Estimate, To be confirmed]), champions are existing clinicians with protected time, and much of the operational load lands in existing IT roles with new runbooks. The new roles created are career-positive and increasingly portable: clinical AI stewardship, model operations, assurance engineering. Building them internally converts the hospital from a consumer of AI claims into an informed buyer - a capability every neighbouring institution will eventually need.</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Every role named in this document set is currently a vacancy wearing a placeholder, and the healthcare labour market is hostile: data engineers, security engineers and clinical informaticians are scarce everywhere, and this programme competes for the same people as every other modernisation initiative. Part-time champions are a known failure pattern - protected time evaporates under rota pressure, and the programme's first casualty is the very engagement it depends on. There is also a concentration risk: in a small team, one resignation can stall gates for a quarter.</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Conceded in full on the market; answered on the design. The staffing plan assumes scarcity: roles are paired, knowledge is runbook-first (the IT document requires runbooks as gate artefacts), and no single-person dependency is allowed on a gate path. Champion time is a named metric (Table 3.1) precisely because it is the first thing that silently dies. Where hiring fails, the honest fallback is to slow the gate schedule rather than to dilute assurance - the Board paper's gate framework makes that trade-off explicit instead of letting delivery pressure make it quietly. The programme would rather be late than hollow.</w:t>
      </w:r>
    </w:p>
    <w:p>
      <w:pPr>
        <w:pStyle w:val="Heading3"/>
        <w:keepNext/>
        <w:spacing w:after="80" w:before="240" w:line="312"/>
      </w:pPr>
      <w:bookmarkStart w:id="100016" w:name="_Toc100016"/>
      <w:r>
        <w:rPr>
          <w:rFonts w:ascii="Times New Roman" w:eastAsia="SimHei"/>
          <w:b/>
          <w:bCs/>
          <w:color w:val="1A5276"/>
          <w:sz w:val="24"/>
          <w:szCs w:val="24"/>
        </w:rPr>
        <w:t xml:space="preserve">Q4. Will this become pilot purgatory - endless trials that never scale or stop?</w:t>
      </w:r>
      <w:bookmarkEnd w:id="100016"/>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framework is built with purgatory-proofing: pilots have expiry dates and mandatory conclusions (scale, stop or re-scope with a date); funding is tranche-gated so there is no standing budget for inconclusive trials; gate evidence reuses corpora, environments and dashboards, so each successive pilot is cheaper than improvising another; and the rejection register is public - a programme that has killed nothing is not testing hard enough.</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The forces that create purgatory are stronger than the rules against it. Clinical risk aversion favours eternal pilots (no scale decision, no scale blame); the assurance regime itself adds friction that makes each next step easy to defer; and politics rewards announcements of pilots over announcements of retirements. There is also a subtler dynamic: a successful pilot creates a dependency in one unit, at which point 'scaling' becomes an infrastructure project nobody budgeted - and the pilot team has already moved on to the next shiny trial.</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Conceded: rules do not change incentives, gateways do. The design puts the incentives where purgatory actually forms: G2 must end in a written outcome with an executive sponsor's signature; scale funding requires a scale plan with the integration work budgeted (not assumed); and the rejection register plus the postmortem register make both stopping and failing career-safe, which is the only known antidote to eternal-pilot risk aversion. The programme also limits concurrent pilots (cap [To be set by CCOO]) - fewer, deeper, concluded trials beat a portfolio of unfinished evidence. If purgatory nonetheless sets in, the leading indicator is visible: a rise in expired packs and stalled G2s, which the Board dashboard reports as a governance red.</w:t>
      </w:r>
    </w:p>
    <w:p>
      <w:pPr>
        <w:pStyle w:val="Heading3"/>
        <w:keepNext/>
        <w:spacing w:after="80" w:before="240" w:line="312"/>
      </w:pPr>
      <w:bookmarkStart w:id="100017" w:name="_Toc100017"/>
      <w:r>
        <w:rPr>
          <w:rFonts w:ascii="Times New Roman" w:eastAsia="SimHei"/>
          <w:b/>
          <w:bCs/>
          <w:color w:val="1A5276"/>
          <w:sz w:val="24"/>
          <w:szCs w:val="24"/>
        </w:rPr>
        <w:t xml:space="preserve">Q5. How will we actually know the programme is succeeding?</w:t>
      </w:r>
      <w:bookmarkEnd w:id="100017"/>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Success is defined before deployment, in units that resist gaming: pre-agreed baselines and targets per metric (Table 3.1), frozen at gate G2, measured by method and owner, with red thresholds that trigger action rather than discussion. The catalogue spans safety, privacy, technical, operational, workforce, patient, financial and governance domains, so the programme cannot succeed in one column while failing in another unnoticed. This is the opposite of the usual post-hoc storyboarding of benefits.</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Measurement regimes select for what they measure. Thirty visible metrics will quietly prioritise the countable over the important: trust, judgement quality, patient dignity and team culture will not appear in Table 3.1, and effort will migrate toward the tiles. There is also a deeper problem: the counterfactual is fuzzy - patients, staff and systems change over time, so even honest metrics cannot cleanly attribute improvement to the programme. And the metrics themselves are expensive to collect; sampling audits are approximations with their own error bars.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Accepted, with two mitigations and one concession. Mitigation one: qualitative instruments are in the catalogue by design (validated surveys, patient group review, complaint taxonomy), and governance reviews read free-text themes, not just tiles. Mitigation two: attribution honesty is built into reporting language - the programme reports association and pre-registered comparisons, never causal claims it cannot support. The concession: some important things will remain unmeasured, and the annual retirement-and-review exists partly to re-ask whether the current thirty are still the right thirty. A fixed metric set, like a fixed mindset, is a defect.</w:t>
      </w:r>
    </w:p>
    <w:p>
      <w:pPr>
        <w:pStyle w:val="Heading2"/>
        <w:keepNext/>
        <w:spacing w:after="120" w:before="240" w:line="312"/>
      </w:pPr>
      <w:bookmarkStart w:id="100018" w:name="_Toc100018"/>
      <w:r>
        <w:rPr>
          <w:rFonts w:ascii="Times New Roman" w:eastAsia="SimHei"/>
          <w:b/>
          <w:bCs/>
          <w:color w:val="1A5276"/>
          <w:sz w:val="30"/>
          <w:szCs w:val="30"/>
        </w:rPr>
        <w:t xml:space="preserve">6.2 People, Fairness and Change</w:t>
      </w:r>
      <w:bookmarkEnd w:id="100018"/>
    </w:p>
    <w:p>
      <w:pPr>
        <w:pStyle w:val="Heading3"/>
        <w:keepNext/>
        <w:spacing w:after="80" w:before="240" w:line="312"/>
      </w:pPr>
      <w:bookmarkStart w:id="100019" w:name="_Toc100019"/>
      <w:r>
        <w:rPr>
          <w:rFonts w:ascii="Times New Roman" w:eastAsia="SimHei"/>
          <w:b/>
          <w:bCs/>
          <w:color w:val="1A5276"/>
          <w:sz w:val="24"/>
          <w:szCs w:val="24"/>
        </w:rPr>
        <w:t xml:space="preserve">Q6. Will this reduce clinician burnout, or add one more system to an exhausted workforce?</w:t>
      </w:r>
      <w:bookmarkEnd w:id="100019"/>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A large share of clinician burden is cognitive and clerical: hunting for evidence, drafting repetitive text, measuring structures manually. The use-case set targets exactly those tasks, and the programme's alert-budget rule means new cards must retire or displace legacy interruptions rather than stack on them. If the workload survey (a required metric, validated instrument) does not improve, the programme says so publicly - the first assurance regime that can prove its own benefit to the people carrying the workload.</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Scepticism is earned. Health IT has a track record of adding verification work faster than it removes toil, and every AI output here must be checked, which is new cognitive labour with no visible offset at first. Early pilots will measurably slow users down; the burnout risk is not the tool but the trough - the months where enthusiasm has faded, the metrics are still amber, and leadership is tempted to declare victory early or push adoption harder. Champions burn out first, and they are the programme's scarcest asset.</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Con names the real failure mode, and the programme's answer is sequencing and honesty rather than optimism. Human-in-command is designed to shrink: verification-by-design (edit-distance tracking, citation clicking) is treated as a workflow defect to engineer down, not a permanent tax. The trough is planned for: protected champion time, survey-based early warning, and an explicit right of the CCOO to pause intake. And the programme's own success metric includes the workforce lens - if burnout worsens for two consecutive survey cycles, that is a red tile with consequences, not a communication problem.</w:t>
      </w:r>
    </w:p>
    <w:p>
      <w:pPr>
        <w:pStyle w:val="Heading3"/>
        <w:keepNext/>
        <w:spacing w:after="80" w:before="240" w:line="312"/>
      </w:pPr>
      <w:bookmarkStart w:id="100020" w:name="_Toc100020"/>
      <w:r>
        <w:rPr>
          <w:rFonts w:ascii="Times New Roman" w:eastAsia="SimHei"/>
          <w:b/>
          <w:bCs/>
          <w:color w:val="1A5276"/>
          <w:sz w:val="24"/>
          <w:szCs w:val="24"/>
        </w:rPr>
        <w:t xml:space="preserve">Q7. Will digital literacy gaps make this unfair - between staff, and between patients?</w:t>
      </w:r>
      <w:bookmarkEnd w:id="100020"/>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equity risk is named and instrumented rather than ignored: staff-side, training is role-based and scheduled, champions are distributed across units (not just the digital-native ones), and adoption metrics are watched per unit so struggling pockets get support, not blame; patient-side, any patient-facing surface goes through the patient experience lead, plain-language review and comprehension testing before gate G1. Language fairness is a probe-gated property - variant corpora test consistency across the hospital's actual language mix [Local Assumption on mix].</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Uneven outcomes are structural, not transitional. Staff with heavier rosters and less schedule flexibility get less training exposure; patients with language, literacy or access barriers experience every additional layer of technology-mediated care differently; and the metrics themselves can mislead - high aggregate adoption can hide polarised experience, with enthusiastic units inflating averages while excluded units quietly route around the system. There is also a subtler harm: patients who sense their clinicians are screen-bound may perceive attention erosion even where tasks genuinely accelerate.</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 accepts the structural framing and rejects fatalism. The design answer is disaggregation: adoption, workload and complaint metrics are reviewed per unit and per patient cohort, and polarised patterns trigger targeted intervention rather than average-hiding; equity is a named lens in the impact analysis (Section 5.5-5.6) and in the self-audit (Section 13). The patient-perception concern is taken seriously precisely because it is measurable - communication design is a gate artefact, and complaint taxonomy tracks the signal. What the programme will not do is promise parity on day one; it promises visibility of the gap and obligation to act on it, which is more than the ungoverned status quo offers anyone.</w:t>
      </w:r>
    </w:p>
    <w:p>
      <w:pPr>
        <w:pStyle w:val="Heading3"/>
        <w:keepNext/>
        <w:spacing w:after="80" w:before="240" w:line="312"/>
      </w:pPr>
      <w:bookmarkStart w:id="100021" w:name="_Toc100021"/>
      <w:r>
        <w:rPr>
          <w:rFonts w:ascii="Times New Roman" w:eastAsia="SimHei"/>
          <w:b/>
          <w:bCs/>
          <w:color w:val="1A5276"/>
          <w:sz w:val="24"/>
          <w:szCs w:val="24"/>
        </w:rPr>
        <w:t xml:space="preserve">Q8. Is this just more change fatigue stacked on a workforce that has absorbed EHRs, pandemics and reorganisations?</w:t>
      </w:r>
      <w:bookmarkEnd w:id="100021"/>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programme's sequencing rule is subtraction before addition: a new CDS card must displace or retire legacy interruptions; a new workflow must show what it removes, not only what it adds; and the alert-budget metric makes interruption load a managed quantity with a ceiling. Pilots are few, dated and forced to conclude (scale, stop or re-scope), so the workforce sees finite asks rather than an ever-expanding programme of programme.</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Staff do not experience governance overhead as subtraction; they experience it as meetings, e-learning modules and another dashboard. The change budget argument has a flaw: every internal team believes its change is the worthy one, and the hospital's aggregate change load - of which this is one more - is exactly what fatigue research warns about. There is also a credibility trap: if the programme's early weeks are dominated by training and surveys (measuring baselines), the workforce's first experience of assurance is bureaucracy, and first experiences anchor.</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Con identifies the anchor problem, and the programme designs the first exposure deliberately: every pilot begins by removing something (a legacy alert, a manual step), so the first experience of the programme is subtraction, not paperwork. Beyond that, the change-fatigue argument is accepted as a standing constraint: intake is capped, champions have a veto on timing, and the CCOO holds the sequencing pen. The honest concession is that no framework can make change painless; it can only make change finite, visible and reversible - and finite, visible, reversible is what this design delivers.</w:t>
      </w:r>
    </w:p>
    <w:p>
      <w:pPr>
        <w:pStyle w:val="Heading3"/>
        <w:keepNext/>
        <w:spacing w:after="80" w:before="240" w:line="312"/>
      </w:pPr>
      <w:bookmarkStart w:id="100022" w:name="_Toc100022"/>
      <w:r>
        <w:rPr>
          <w:rFonts w:ascii="Times New Roman" w:eastAsia="SimHei"/>
          <w:b/>
          <w:bCs/>
          <w:color w:val="1A5276"/>
          <w:sz w:val="24"/>
          <w:szCs w:val="24"/>
        </w:rPr>
        <w:t xml:space="preserve">Q9. What do patients get to know and choose here?</w:t>
      </w:r>
      <w:bookmarkEnd w:id="100022"/>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Transparency is a design artefact, not a poster: AI involvement in care is communicable in plain language per use case, patient-facing surfaces require patient-experience review and comprehension testing before G1, and the complaint taxonomy tracks AI-mentioned complaints as a signal. Where consent legitimately applies (secondary use of de-identified data, patient-facing tools), consent design is reviewed by the DPO and patient group [Best practice; consent basis per use case to be confirmed with counsel]. Patients also benefit from the safest invisible layer: a hospital that tests before deploying.</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There is a gap between disclosure and understanding, and the programme lives in it. Patients consent to hospital care, not to each algorithm; blanket 'this hospital uses AI' notices inform nobody; granular opt-outs for embedded advisory tools are operationally impractical and arguably unnecessary; yet the respectful middle ground is hard to design and harder to communicate. There is also an asymmetry problem: patient groups consulted once at design time are governance decoration, not involvement; genuine PPI (patient and public involvement) costs time and changes designs.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 takes the Con's standard seriously: PPI is structured as a standing relationship with scheduled review points, not a single consultation - and Section 13 names it explicitly as an area the original plan underweighted. On communication, the commitment is layered honesty: general transparency about AI use hospital-wide, specific plain-language communication where AI materially shapes a patient's pathway, and an honest answer for any patient who asks - backed by the evidence pack. Where consent law is unsettled, counsel decides per use case [To be confirmed]; where comprehension testing fails, the surface is redesigned, not the test waived.</w:t>
      </w:r>
    </w:p>
    <w:p>
      <w:pPr>
        <w:pStyle w:val="Heading3"/>
        <w:keepNext/>
        <w:spacing w:after="80" w:before="240" w:line="312"/>
      </w:pPr>
      <w:bookmarkStart w:id="100023" w:name="_Toc100023"/>
      <w:r>
        <w:rPr>
          <w:rFonts w:ascii="Times New Roman" w:eastAsia="SimHei"/>
          <w:b/>
          <w:bCs/>
          <w:color w:val="1A5276"/>
          <w:sz w:val="24"/>
          <w:szCs w:val="24"/>
        </w:rPr>
        <w:t xml:space="preserve">Q10. Staff already use public AI tools - does cracking down help or just push usage underground?</w:t>
      </w:r>
      <w:bookmarkEnd w:id="100023"/>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programme's position is substitution before prohibition: sanctioned tools that are fast, well-integrated and honest about their limits remove the main incentive for shadow use; the amnesty-style reporting channel converts discoveries into design feedback; and network monitoring exists to find patterns, not to prosecute individuals. A governed path for the same behaviour is a privacy improvement by itself - the same clinician query inside the perimeter instead of pasted into a public site.</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Prohibition without a better alternative has a predictable history, and even with one, enforcement is asymmetric: tech-comfortable staff will always be ahead of detection, so policy enforcement lands disproportionately on the less sophisticated - an equity problem inside a policy. Detection itself is imperfect and can misfire on legitimate traffic; branding colleagues as rule-breakers poisons the reporting culture the programme depends on; and an explicit shadow-AI policy can also advertise the behaviour to staff who had not thought of it.</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 accepts the enforcement-asymmetry critique and adjusts the default: shadow-AI handling is remediation-first (what need was unmet? fix the sanctioned path), with escalation reserved for repeated wilful exposure of patient data - which remains a serious professional matter under existing policy [Local Assumption on policy alignment]. The amnesty channel is the primary discovery instrument, and detection exists to find systemic patterns rather than to name individuals. The advertising concern is accepted as the price of clarity; the alternative - an unspoken behaviour with unmanaged risk - is precisely the status quo this programme exists to end.</w:t>
      </w:r>
    </w:p>
    <w:p>
      <w:pPr>
        <w:pStyle w:val="Heading2"/>
        <w:keepNext/>
        <w:spacing w:after="120" w:before="240" w:line="312"/>
      </w:pPr>
      <w:bookmarkStart w:id="100024" w:name="_Toc100024"/>
      <w:r>
        <w:rPr>
          <w:rFonts w:ascii="Times New Roman" w:eastAsia="SimHei"/>
          <w:b/>
          <w:bCs/>
          <w:color w:val="1A5276"/>
          <w:sz w:val="30"/>
          <w:szCs w:val="30"/>
        </w:rPr>
        <w:t xml:space="preserve">6.3 Technology, Data and Operations</w:t>
      </w:r>
      <w:bookmarkEnd w:id="100024"/>
    </w:p>
    <w:p>
      <w:pPr>
        <w:pStyle w:val="Heading3"/>
        <w:keepNext/>
        <w:spacing w:after="80" w:before="240" w:line="312"/>
      </w:pPr>
      <w:bookmarkStart w:id="100025" w:name="_Toc100025"/>
      <w:r>
        <w:rPr>
          <w:rFonts w:ascii="Times New Roman" w:eastAsia="SimHei"/>
          <w:b/>
          <w:bCs/>
          <w:color w:val="1A5276"/>
          <w:sz w:val="24"/>
          <w:szCs w:val="24"/>
        </w:rPr>
        <w:t xml:space="preserve">Q11. Should we use this to replace legacy systems rather than wrap them in assurance?</w:t>
      </w:r>
      <w:bookmarkEnd w:id="100025"/>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There is an argument for consolidation: every legacy interface the AI estate must respect is a place where defects hide, and wrapping a fragile legacy stack in assurance papers over architectural debt. A bold modernisation - replacing the weakest legacy components outright - would reduce integration surface, simplify security, and let the AI estate be built on clean contracts from day one. Assurance-first can become a way of never fixing the underneath.</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Replacement is where health IT programmes go to die. Clinical systems carry years of embedded workflow, local configuration and institutional knowledge; big-bang replacement multiplies risk precisely where the programme has the least evidence of control, and it consumes the same governance capacity the AI programme needs. The assurance layer's whole value is that it is additive: it can examine what exists without destabilising what works, and it survives even if replacement strategy changes.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rebuttal is sequencing, not ideology. The programme does not block replacement; it prices it into the same gate framework - a replacement is just a use case with a very large hazard list. In practice the assurance layer becomes the safest instrument for replacement: it baselines the current system, shadows the candidate during migration, and gives the migration a measurable exit test. What it refuses is replacement-as-prerequisite: hospitals that promise to modernise first reliably deliver neither modernisation nor assurance.</w:t>
      </w:r>
    </w:p>
    <w:p>
      <w:pPr>
        <w:pStyle w:val="Heading3"/>
        <w:keepNext/>
        <w:spacing w:after="80" w:before="240" w:line="312"/>
      </w:pPr>
      <w:bookmarkStart w:id="100026" w:name="_Toc100026"/>
      <w:r>
        <w:rPr>
          <w:rFonts w:ascii="Times New Roman" w:eastAsia="SimHei"/>
          <w:b/>
          <w:bCs/>
          <w:color w:val="1A5276"/>
          <w:sz w:val="24"/>
          <w:szCs w:val="24"/>
        </w:rPr>
        <w:t xml:space="preserve">Q12. Does building on an assurance layer and a reference stack create vendor lock-in?</w:t>
      </w:r>
      <w:bookmarkEnd w:id="100026"/>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Lock-in risk here is structural and small by design: the estate runs on open standards (HL7 FHIR R4, CDS Hooks, SMART [Standard]) and open interfaces; the reference components are replaceable by contract of the architecture, not by goodwill; evidence packs are produced from hospital-run tests, not vendor-supplied scores. A hospital that owns its corpora, its probe suites and its evidence format holds the valuable assets - a vendor must come to them.</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Standards do not prevent lock-in; they standardise its onset. The real switching costs live in the unglamorous layers: prompt libraries tuned to one model's behaviour, index structures tied to one retrieval stack, integrations hardened against one vendor's quirks, and staff skills that quietly became product-specific. Switching costs compound silently, and a future procurement will discover them all at once, at exactly the moment the incumbent knows the hospital has them. Exit clauses in contracts are written by the party with better lawyers.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Conceded: standards lower lock-in; they do not abolish it. The programme's answer is to make switching a rehearsed event rather than a theoretical right - the IT design requires portability proof and exit-strategy artefacts at gate G3, and the probe suite doubles as the neutrality instrument: because it tests black-box through interfaces, a replacement candidate must simply pass the same exam. The residual risk is priced and accepted, with the register carrying it rather than pretending it away.</w:t>
      </w:r>
    </w:p>
    <w:p>
      <w:pPr>
        <w:pStyle w:val="Heading3"/>
        <w:keepNext/>
        <w:spacing w:after="80" w:before="240" w:line="312"/>
      </w:pPr>
      <w:bookmarkStart w:id="100027" w:name="_Toc100027"/>
      <w:r>
        <w:rPr>
          <w:rFonts w:ascii="Times New Roman" w:eastAsia="SimHei"/>
          <w:b/>
          <w:bCs/>
          <w:color w:val="1A5276"/>
          <w:sz w:val="24"/>
          <w:szCs w:val="24"/>
        </w:rPr>
        <w:t xml:space="preserve">Q13. What about downtime - planned and unplanned - in an AI-dependent hospital?</w:t>
      </w:r>
      <w:bookmarkEnd w:id="100027"/>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design makes AI downtime clinically boring. Every AI-enabled workflow has a rehearsed manual fallback with a timed drill, degradation is always user-visible (no silent failures), and no clinical process depends on AI availability to remain safe. Planned maintenance uses the existing change calendar with clinical communication; the DR regime is tested by clean-room build and timed restore, not by assertion. The programme therefore aims for a state where AI being down is an inconvenience, never an incident.</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That aim assumes the fallback stays rehearsed and the dependency stays shallow, and both decay. As trust grows, staff will stop maintaining manual competence; as integration deepens, upstream systems will begin to assume AI services exist; as the estate expands, the dependency graph becomes nobody's mental model. Meanwhile the AI estate adds new downtime categories the hospital has not operated before: model rollback windows, index rebuilds, de-identification pipeline halts. A hospital can drift into AI dependence one convenience at a time.</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Con is essentially the programme's own design document read pessimistically, and the programme accepts the drift mechanism as real. Countermeasures are structural: fallback drills are semi-annual gate conditions with published results; dependency-graph review is part of DR exercises and architecture change reviews; and the stop-rule regime treats unannounced dependence as a finding. The honest residual: the programme can make dependence visible and priced, but it cannot make it impossible - that is a standing risk (register R-07 class) owned by the CCOO and CIO, not a solved problem.</w:t>
      </w:r>
    </w:p>
    <w:p>
      <w:pPr>
        <w:pStyle w:val="Heading3"/>
        <w:keepNext/>
        <w:spacing w:after="80" w:before="240" w:line="312"/>
      </w:pPr>
      <w:bookmarkStart w:id="100028" w:name="_Toc100028"/>
      <w:r>
        <w:rPr>
          <w:rFonts w:ascii="Times New Roman" w:eastAsia="SimHei"/>
          <w:b/>
          <w:bCs/>
          <w:color w:val="1A5276"/>
          <w:sz w:val="24"/>
          <w:szCs w:val="24"/>
        </w:rPr>
        <w:t xml:space="preserve">Q14. Is this interoperable with the rest of the health system, or another silo?</w:t>
      </w:r>
      <w:bookmarkEnd w:id="100028"/>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Interoperability is the load-bearing design choice, not a feature: FHIR R4 contracts, CDS Hooks for EHR embedding, SMART for context, mediation through the integration layer rather than point-to-point links [Standard], and provenance stamped on every artifact. Because the assurance layer tests through public interfaces, it cannot create private backdoors by construction. The estate is designed to join the regional health information exchange whenever the hospital's exchange strategy calls for it [Local Assumption].</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Real-world interoperability is slower than the standards suggest: implementation guides diverge, vendor conformance is partial, terminology binding (SNOMED CT, LOINC, local codes) is where projects go to stall, and the AI estate adds new interoperability burdens the guides never covered - model provenance, refusal semantics, evidence citations. There is a real risk that the hospital builds the only instance of some of these contracts, becoming its own niche standard. Meanwhile legacy v2 flows will outlive every migration plan that assumed otherwise.</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 accepts the reality and prices it: the interface inventory (IT document, Table 6.1) exists because contracts drift and need owners; conformance tests run per release because vendor claims decay; and terminology mapping is named as a gate-level work item rather than a task inside a sprint. On the niche-standard risk, the mitigation is deliberate conservatism - patient-view, FHIR R4 reads and provenance stamping are patterns with multi-vendor traction, and anything beyond them must justify its novelty at gate G0. Legacy v2 is accommodated, not wished away; the mediation layer exists precisely for that.</w:t>
      </w:r>
    </w:p>
    <w:p>
      <w:pPr>
        <w:pStyle w:val="Heading3"/>
        <w:keepNext/>
        <w:spacing w:after="80" w:before="240" w:line="312"/>
      </w:pPr>
      <w:bookmarkStart w:id="100029" w:name="_Toc100029"/>
      <w:r>
        <w:rPr>
          <w:rFonts w:ascii="Times New Roman" w:eastAsia="SimHei"/>
          <w:b/>
          <w:bCs/>
          <w:color w:val="1A5276"/>
          <w:sz w:val="24"/>
          <w:szCs w:val="24"/>
        </w:rPr>
        <w:t xml:space="preserve">Q15. What about data migration - does the AI estate create new migration risks?</w:t>
      </w:r>
      <w:bookmarkEnd w:id="100029"/>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AI estate is deliberately migration-light: it is additive, consumes data through read-models and interfaces, and brings its own storage (indices, embeddings, evidence) which starts empty and versioned. Nothing in the architecture requires touching the master patient index or rewriting historical records; where historical data feeds corpora or baselines, it is copied under governance, leaving sources untouched. This is the opposite of the EHR-migration class of risk.</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Migration risk enters through the side door: historical data quality. Models trained or evaluated on legacy data inherit its quirks - missing values, coding drift, duplicated patients, scanned documents the de-identification pipeline was never tuned for - and a corpus built on dirty history silently bakes the dirt into retrieval behaviour and baselines. Meanwhile any future source-system change (an EHR upgrade, a PACS refresh) is now also an AI-estate migration, because indices and baselines must be rebuilt and re-tested; the estate converts other people's migrations into its own releases.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Both mechanisms are real and both are gated. Corpus provenance is a first-class artefact: sources, dates, filters and known limitations are recorded per corpus version, and baseline measurements name their data lineage so a target is never confused across populations. Source-system changes trigger the release discipline (re-benchmark, probe re-runs, possibly gate re-entry) by design - that is not overhead, it is the estate noticing what other projects would miss. The residual the programme accepts: legacy data quality limits what baselines can prove, and where quality is too poor to trust, the honest answer is a narrower use case, not a fudged baseline.</w:t>
      </w:r>
    </w:p>
    <w:p>
      <w:pPr>
        <w:pStyle w:val="Heading3"/>
        <w:keepNext/>
        <w:spacing w:after="80" w:before="240" w:line="312"/>
      </w:pPr>
      <w:bookmarkStart w:id="100030" w:name="_Toc100030"/>
      <w:r>
        <w:rPr>
          <w:rFonts w:ascii="Times New Roman" w:eastAsia="SimHei"/>
          <w:b/>
          <w:bCs/>
          <w:color w:val="1A5276"/>
          <w:sz w:val="24"/>
          <w:szCs w:val="24"/>
        </w:rPr>
        <w:t xml:space="preserve">Q16. Can we trust AI analytics at all - hallucinations, drift, opaque errors?</w:t>
      </w:r>
      <w:bookmarkEnd w:id="100030"/>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Trust here is engineered, not assumed. Hallucination is attacked structurally: the assistant is citation-forced and must refuse (NOT_COVERED) rather than improvise beyond coverage; uncaught-hallucination rate is a sampled monthly metric with a red threshold. Drift is watched on the model plane (input mix, refusal health, probe scores) so degradation is a chart, not a surprise. Opacity is bounded by scope: the estate's use cases are chosen where outputs are checkable - summaries with sources, measurements with references - and the programme excludes use cases whose failure would be invisible by construction.</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The engineering has known seams. Citation-forcing reduces fabrication; it does not eliminate misreading - a model can faithfully cite a source for a claim the source does not support, and detecting that requires the very human verification the workload debate is trying to shrink. Drift monitors watch distributions, not clinical correctness; a systematically wrong-but-consistent model passes every statistical alarm. And refusal behaviour creates its own failure mode: an over-refusing tool trains users to distrust it, an under-refusing one to over-trust it - the calibration target moves with context no metric fully captures.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seams are acknowledged and priced rather than waved away. Deep-verification sampling exists precisely for citation-support mismatch (auditors check whether cited sources support claims, not merely that citations exist); statistical drift alarms are paired with scheduled probe re-runs that score clinical-task behaviour, catching the consistent-but-wrong class; refusal calibration is adjudicated monthly by clinicians with authority to adjust coverage boundaries. The programme's deeper position: trust is not a state to reach but a discipline to run - which is why evidence expires, and why the assurance layer exists at all.</w:t>
      </w:r>
    </w:p>
    <w:p>
      <w:pPr>
        <w:pStyle w:val="Heading3"/>
        <w:keepNext/>
        <w:spacing w:after="80" w:before="240" w:line="312"/>
      </w:pPr>
      <w:bookmarkStart w:id="100031" w:name="_Toc100031"/>
      <w:r>
        <w:rPr>
          <w:rFonts w:ascii="Times New Roman" w:eastAsia="SimHei"/>
          <w:b/>
          <w:bCs/>
          <w:color w:val="1A5276"/>
          <w:sz w:val="24"/>
          <w:szCs w:val="24"/>
        </w:rPr>
        <w:t xml:space="preserve">Q17. Why open-source-leaning components - ideology or engineering?</w:t>
      </w:r>
      <w:bookmarkEnd w:id="100031"/>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reference stack's open components (FHIR server, mediation engine, model serving, de-identification libraries [Local Assumption]) buy three engineering properties no procurement slide buys: inspectability (security teams can see what runs), replaceability (every layer has competitors, so no vendor owns the hospital's roadmap), and research alignment (clinical language models and de-id tooling evolve in the open, and the hospital inherits the improvements). It also fits the assurance thesis: black-box testing does not require open weights, but open components make the evidence trail deeper where it matters.</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Open-source is a licence, not a warranty. Support is community-priced, version churn is real, security response depends on maintainer goodwill, and clinical-grade accountability for a research-grade model (the BioMistral-class language model is explicitly research-oriented [Local verification required]) is a gap a licence file does not close. Commercial alternatives exist with SLAs, indemnities and roadmaps - and the hospital's own engineers, not the community, become the integrator of last resort. Ideology is a poor procurement criterion.</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Agreed on all caveats, which is why the architecture states portability, not purity: every open component is replaceable by an equivalent meeting the same interface and the same gate tests, and the procurement posture is neutral by construction. Research-grade status is handled by the one instrument this document set exists to build - the exam: an open model that passes the hospital's corpora and monitoring rules is deployable within its verified envelope; a commercial model that fails is not. Licence and intended-use verification is a gate artefact (IT document, Section 3.2). The engineering criterion is not who made it, but whether the hospital can test it, replace it and exit it - and on those criteria both open and closed options can compete.</w:t>
      </w:r>
    </w:p>
    <w:p>
      <w:pPr>
        <w:pStyle w:val="Heading2"/>
        <w:keepNext/>
        <w:spacing w:after="120" w:before="240" w:line="312"/>
      </w:pPr>
      <w:bookmarkStart w:id="100032" w:name="_Toc100032"/>
      <w:r>
        <w:rPr>
          <w:rFonts w:ascii="Times New Roman" w:eastAsia="SimHei"/>
          <w:b/>
          <w:bCs/>
          <w:color w:val="1A5276"/>
          <w:sz w:val="30"/>
          <w:szCs w:val="30"/>
        </w:rPr>
        <w:t xml:space="preserve">6.4 Safety, Privacy, Judgement and Governance</w:t>
      </w:r>
      <w:bookmarkEnd w:id="100032"/>
    </w:p>
    <w:p>
      <w:pPr>
        <w:pStyle w:val="Heading3"/>
        <w:keepNext/>
        <w:spacing w:after="80" w:before="240" w:line="312"/>
      </w:pPr>
      <w:bookmarkStart w:id="100033" w:name="_Toc100033"/>
      <w:r>
        <w:rPr>
          <w:rFonts w:ascii="Times New Roman" w:eastAsia="SimHei"/>
          <w:b/>
          <w:bCs/>
          <w:color w:val="1A5276"/>
          <w:sz w:val="24"/>
          <w:szCs w:val="24"/>
        </w:rPr>
        <w:t xml:space="preserve">Q18. Can privacy and security really be maintained with language models in the clinical environment?</w:t>
      </w:r>
      <w:bookmarkEnd w:id="100033"/>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architecture assumes breach and designs against blast radius: identified data never leaves the clinical zone; AI services consume de-identified or minimum-necessary payloads; the de-identification pipeline is measured (probe suites with planted identifiers, sampled human audits, kill switch); zones are deny-by-default with mTLS and single-purpose identities; and every event lands in a tamper-evident audit chain. Language models are treated as untrusted components: no PHI in prompts where avoidable, egress allow-lists, and injection corpora tested at every release. This is a materially stronger posture than most current shadow AI use, where staff paste clinical text into public tools.</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The uncomfortable truth is that de-identification of free clinical text is probabilistic, language models are non-deterministic, and attackers adapt. Rare identifiers will slip through probes; sampling audits measure a fraction of traffic; prompt-injection technique literature grows monthly; and every added control adds latency and friction that nudges clinicians toward workarounds. There is also concentration risk: a flaw in the de-identification layer exposes every downstream use case simultaneously. Perfect privacy is not on offer here; some residual risk is certain.</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 does not claim perfect privacy; it claims measurable, bounded, owned risk - which is what regulation (PDPA as amended [Standard]) and patients actually require. Residual risk is named, quantified where possible, and carried by a named owner (DPO) with a rehearsed breach runbook; concentration risk in the de-id layer is answered by defence in depth and independent probe implementations. The comparison that matters is against the status quo: ungoverned tools already in staff pockets. Moving the same behaviour inside a measured perimeter is a privacy improvement even before a single control improves.</w:t>
      </w:r>
    </w:p>
    <w:p>
      <w:pPr>
        <w:pStyle w:val="Heading3"/>
        <w:keepNext/>
        <w:spacing w:after="80" w:before="240" w:line="312"/>
      </w:pPr>
      <w:bookmarkStart w:id="100034" w:name="_Toc100034"/>
      <w:r>
        <w:rPr>
          <w:rFonts w:ascii="Times New Roman" w:eastAsia="SimHei"/>
          <w:b/>
          <w:bCs/>
          <w:color w:val="1A5276"/>
          <w:sz w:val="24"/>
          <w:szCs w:val="24"/>
        </w:rPr>
        <w:t xml:space="preserve">Q19. Does decision support erode clinical judgment, and who is liable when CDS is wrong?</w:t>
      </w:r>
      <w:bookmarkEnd w:id="100034"/>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Decision support done well is judgement augmentation: it surfaces evidence, standardises tedious quantification, and catches the error humans reliably miss at 3 a.m. The programme's design specifically counters erosion - advisory-only outputs, verification-by-design metrics that track whether clinicians are still thinking (edit distance, override behaviour), refusal messages that teach the boundary of safe use, and periodic blinded concordance tests that keep manual skills measured. Liability improves too: provenance stamping and hash-chained audit mean every AI-influenced decision is reconstructable, which protects clinicians who follow the process.</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Human factors literature is blunt about automation bias: busy professionals under time pressure accept plausible outputs, and the override rate falling to near zero is indistinguishable from perfect advice or from nobody reading. Skilled clinicians can become skilled supervisors of a tool they no longer examine; the deskilling concern is real for manual measurement skills. On liability, provenance cuts both ways - the audit trail that exonerates a diligent clinician also documents every corner cut, and the legal position of 'the hospital's own system suggested it' is untested in many jurisdictions [Local verification required].</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Both effects are real, so the programme engineers for the asymmetry: bias is monitored as a first-class signal (override collapse is an alarm, not a victory), manual competency retains scheduled practice, and liability exposure is managed by making the process defensible - the clinician who verifies is protected by design, and the documentation states plainly that AI is advisory. The legal novelty is acknowledged and referred to counsel per jurisdiction [To be confirmed]; the alternative - no record of AI involvement - is strictly worse for every party. Where the Con truly wins is at the margin: use cases where verification cannot be made meaningful are excluded from scope by design.</w:t>
      </w:r>
    </w:p>
    <w:p>
      <w:pPr>
        <w:pStyle w:val="Heading3"/>
        <w:keepNext/>
        <w:spacing w:after="80" w:before="240" w:line="312"/>
      </w:pPr>
      <w:bookmarkStart w:id="100035" w:name="_Toc100035"/>
      <w:r>
        <w:rPr>
          <w:rFonts w:ascii="Times New Roman" w:eastAsia="SimHei"/>
          <w:b/>
          <w:bCs/>
          <w:color w:val="1A5276"/>
          <w:sz w:val="24"/>
          <w:szCs w:val="24"/>
        </w:rPr>
        <w:t xml:space="preserve">Q20. Does this actually satisfy regulators, or is it theatre with better fonts?</w:t>
      </w:r>
      <w:bookmarkEnd w:id="100035"/>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programme is aligned to the instruments regulators themselves cite: ISO/IEC 42001 for management systems, ISO 14971 risk logic, the ten Good Machine Learning Practice principles from FDA/MHRA/Health Canada [Standard], NIST AI RMF measures, and the EU AI Act's high-risk duties (human oversight, logging, data governance) that bite from August 2026 [Standard]. The evidence pack is designed for the regulator's questions - what was tested, how, when, by whom, what was found, what was decided - and the audit chain makes tampering detectable. This is the substance regulators ask for; the fonts are incidental.</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Alignment is not conformity, and conformity is not approval. ISO/IEC 42001 certification requires accredited audit the hospital has not scheduled; Act 737 classification of specific software is a counsel question with per-use-case answers; the EU AI Act applies to the hospital's vendors directly and to the hospital only in specific circumstances - and no Malaysian regulator has yet endorsed this dossier's framework as sufficient for anything. There is a real risk of the worst outcome: the hospital believes it is regulated when it is merely well-organised, and discovery happens during an actual inspection.</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Conceded point-blank: nothing here is a compliance certificate, and every regulatory statement in this document set carries the verify-with-counsel tag for exactly that reason. What the framework buys is the ability to become compliant without rebuilding - the artefacts regulators want are the artefacts the programme already produces continuously. The horizon-scanning item in governance (Section 13) exists to catch the moment guidance crystallises; and the honest posture, stated in the Board paper, is that the programme optimises for being demonstrably safe and for being ready to evidence it, in that order.</w:t>
      </w:r>
    </w:p>
    <w:p>
      <w:pPr>
        <w:pStyle w:val="Heading3"/>
        <w:keepNext/>
        <w:spacing w:after="80" w:before="240" w:line="312"/>
      </w:pPr>
      <w:bookmarkStart w:id="100036" w:name="_Toc100036"/>
      <w:r>
        <w:rPr>
          <w:rFonts w:ascii="Times New Roman" w:eastAsia="SimHei"/>
          <w:b/>
          <w:bCs/>
          <w:color w:val="1A5276"/>
          <w:sz w:val="24"/>
          <w:szCs w:val="24"/>
        </w:rPr>
        <w:t xml:space="preserve">Q21. Is the governance real, or a committee that meets and approves?</w:t>
      </w:r>
      <w:bookmarkEnd w:id="100036"/>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governance has teeth by construction: gates are decisions with dated outcomes; stop rules execute without committee permission and are ratified after the fact; evidence packs expire and demote use cases automatically; the committee cannot waive safety evidence without a minuted rationale; internal audit gets raw-log access; and an independent external review is commissioned at the scale decision. These are mechanisms that constrain the committee itself - the surest sign a governance structure is real.</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Committees drift toward ritual under exactly two pressures: seniority (when the chief executive wants a date, members discover flexibility) and volume (when intake grows, scrutiny becomes stamp-collection). The three-lines model assumes a second line with time and spine; in a small hospital the same five people sit on every committee, and the independence of 'separate lines' is a chart fiction. And there is a subtle capture risk unique to AI governance: the committee depends on the programme office for its evidence, so the auditee grades its own homework at every meeting the auditor misses.</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Every cited pressure is answered by a mechanism that was designed for it, and the programme invites audit of the mechanisms themselves. Seniority pressure: waivers are minuted with rationale and compensating controls, and the Audit and Risk Committee sees the waiver log. Volume: gates scale by risk class, so scrutiny concentrates where harm concentrates. Capture: the assurance function is organisationally separated, corpora and scoring are versioned so results are reproducible by third parties, and the independent G2 review plus internal audit's raw-log access make grading-your-own-homework detectable. Small-hospital role overlap is conceded and mitigated by declared conflicts and rotating frontline membership [Best practice]; the residual is accepted and on the register.</w:t>
      </w:r>
    </w:p>
    <w:p>
      <w:pPr>
        <w:pStyle w:val="Heading3"/>
        <w:keepNext/>
        <w:spacing w:after="80" w:before="240" w:line="312"/>
      </w:pPr>
      <w:bookmarkStart w:id="100037" w:name="_Toc100037"/>
      <w:r>
        <w:rPr>
          <w:rFonts w:ascii="Times New Roman" w:eastAsia="SimHei"/>
          <w:b/>
          <w:bCs/>
          <w:color w:val="1A5276"/>
          <w:sz w:val="24"/>
          <w:szCs w:val="24"/>
        </w:rPr>
        <w:t xml:space="preserve">Q22. Who is liable when something goes wrong - the hospital, the clinician, or the vendor?</w:t>
      </w:r>
      <w:bookmarkEnd w:id="100037"/>
    </w:p>
    <w:p>
      <w:pPr>
        <w:keepNext w:val="false"/>
        <w:spacing w:after="120" w:line="312"/>
        <w:ind w:left="240"/>
        <w:jc w:val="left"/>
      </w:pPr>
      <w:r>
        <w:rPr>
          <w:rFonts w:ascii="Times New Roman" w:eastAsia="Times New Roman"/>
          <w:b/>
          <w:bCs/>
          <w:i w:val="false"/>
          <w:iCs w:val="false"/>
          <w:color w:val="2E6B4F"/>
          <w:sz w:val="24"/>
          <w:szCs w:val="24"/>
        </w:rPr>
        <w:t xml:space="preserve">Pro — </w:t>
      </w:r>
      <w:r>
        <w:rPr>
          <w:rFonts w:ascii="Times New Roman" w:eastAsia="Times New Roman"/>
          <w:b w:val="false"/>
          <w:bCs w:val="false"/>
          <w:i w:val="false"/>
          <w:iCs w:val="false"/>
          <w:color w:val="000000"/>
          <w:sz w:val="24"/>
          <w:szCs w:val="24"/>
        </w:rPr>
        <w:t xml:space="preserve">The programme makes liability navigable by making conduct provable. The clinician's duty is defined (verify before use, within the verified envelope) and supported by design; the hospital's governance is documented (gates, thresholds, waivers minuted); the vendor's obligations are contractual (evidence cooperation, incident notification, indemnity per procurement [To be confirmed]); and the audit chain reconstructs any decision. In a domain where the worst legal position is ignorance, the programme's gift to every party is a defensible record.</w:t>
      </w:r>
    </w:p>
    <w:p>
      <w:pPr>
        <w:keepNext w:val="false"/>
        <w:spacing w:after="120" w:line="312"/>
        <w:ind w:left="240"/>
        <w:jc w:val="left"/>
      </w:pPr>
      <w:r>
        <w:rPr>
          <w:rFonts w:ascii="Times New Roman" w:eastAsia="Times New Roman"/>
          <w:b/>
          <w:bCs/>
          <w:i w:val="false"/>
          <w:iCs w:val="false"/>
          <w:color w:val="8A3A2A"/>
          <w:sz w:val="24"/>
          <w:szCs w:val="24"/>
        </w:rPr>
        <w:t xml:space="preserve">Con — </w:t>
      </w:r>
      <w:r>
        <w:rPr>
          <w:rFonts w:ascii="Times New Roman" w:eastAsia="Times New Roman"/>
          <w:b w:val="false"/>
          <w:bCs w:val="false"/>
          <w:i w:val="false"/>
          <w:iCs w:val="false"/>
          <w:color w:val="000000"/>
          <w:sz w:val="24"/>
          <w:szCs w:val="24"/>
        </w:rPr>
        <w:t xml:space="preserve">Records do not allocate liability; law does, and the law is unsettled in most jurisdictions for exactly this pattern - clinician plus hospital plus advisory AI plus possibly a foreign cloud [Local verification required]. Insurance is the unpriced wildcard: malpractice and cyber products were not designed for model behaviour, coverage positions are emerging, and the hospital may discover its insurer's view of 'AI involvement' only at claim time. Contractual indemnities from vendors are only as good as the vendor's balance sheet and jurisdiction. And a defensible record cuts both ways: it proves diligence, but it also proves what the hospital knew.</w:t>
      </w:r>
    </w:p>
    <w:p>
      <w:pPr>
        <w:keepNext w:val="false"/>
        <w:spacing w:after="120" w:line="312"/>
        <w:ind w:left="240"/>
        <w:jc w:val="left"/>
      </w:pPr>
      <w:r>
        <w:rPr>
          <w:rFonts w:ascii="Times New Roman" w:eastAsia="Times New Roman"/>
          <w:b/>
          <w:bCs/>
          <w:i w:val="false"/>
          <w:iCs w:val="false"/>
          <w:color w:val="1A5276"/>
          <w:sz w:val="24"/>
          <w:szCs w:val="24"/>
        </w:rPr>
        <w:t xml:space="preserve">Rebuttal — </w:t>
      </w:r>
      <w:r>
        <w:rPr>
          <w:rFonts w:ascii="Times New Roman" w:eastAsia="Times New Roman"/>
          <w:b w:val="false"/>
          <w:bCs w:val="false"/>
          <w:i w:val="false"/>
          <w:iCs w:val="false"/>
          <w:color w:val="000000"/>
          <w:sz w:val="24"/>
          <w:szCs w:val="24"/>
        </w:rPr>
        <w:t xml:space="preserve">The programme neither settles the law nor pretends to; it positions the hospital for whichever way the law settles. Counsel reviews classification and liability allocation per use case and per contract [To be confirmed]; insurers are engaged early with the evidence pack rather than late with an incident; indemnities are sized to vendor reality, not vendor slideware. On the double-edge of records: that is the point - a governance regime that documents what the hospital knew and did about a known risk is precisely what boards owe patients, and what directors need personally. The unsettled-law risk is carried on the register with counsel as owner, reviewed by horizon scanning.</w:t>
      </w:r>
    </w:p>
    <w:p>
      <w:pPr>
        <w:pStyle w:val="Heading1"/>
        <w:keepNext/>
        <w:spacing w:after="160" w:before="360" w:line="312"/>
        <w:jc w:val="center"/>
      </w:pPr>
      <w:bookmarkStart w:id="100038" w:name="_Toc100038"/>
      <w:r>
        <w:rPr>
          <w:rFonts w:ascii="Times New Roman" w:eastAsia="SimHei"/>
          <w:b/>
          <w:bCs/>
          <w:color w:val="1A5276"/>
          <w:sz w:val="32"/>
          <w:szCs w:val="32"/>
        </w:rPr>
        <w:t xml:space="preserve">7. Honest Advantages and Disadvantages</w:t>
      </w:r>
      <w:bookmarkEnd w:id="100038"/>
    </w:p>
    <w:p>
      <w:pPr>
        <w:keepNext w:val="false"/>
        <w:spacing w:after="120" w:line="312"/>
        <w:jc w:val="left"/>
      </w:pPr>
      <w:r>
        <w:rPr>
          <w:rFonts w:ascii="Times New Roman" w:eastAsia="Times New Roman"/>
          <w:b w:val="false"/>
          <w:bCs w:val="false"/>
          <w:i w:val="false"/>
          <w:iCs w:val="false"/>
          <w:color w:val="000000"/>
          <w:sz w:val="24"/>
          <w:szCs w:val="24"/>
        </w:rPr>
        <w:t xml:space="preserve">This section states the case both ways without a negotiations layer. Advantages are conditional claims - they hold if the conditions named are met; disadvantages are unconditional properties of the design that must be managed, not argued away. If a future version of this dossier loses the disadvantages column, that version should not be trusted.</w:t>
      </w:r>
    </w:p>
    <w:p>
      <w:pPr>
        <w:keepNext/>
        <w:spacing w:after="80" w:before="200" w:line="312"/>
        <w:jc w:val="left"/>
      </w:pPr>
      <w:r>
        <w:rPr>
          <w:rFonts w:ascii="Times New Roman" w:eastAsia="Times New Roman"/>
          <w:b/>
          <w:bCs/>
          <w:color w:val="000000"/>
          <w:sz w:val="21"/>
          <w:szCs w:val="21"/>
        </w:rPr>
        <w:t xml:space="preserve">Table 7.1 - Advantages and disadvantages, stated plainly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4394"/>
        <w:gridCol w:w="4394"/>
      </w:tblGrid>
      <w:tr>
        <w:trPr>
          <w:cantSplit/>
          <w:tblHeader/>
        </w:trPr>
        <w:tc>
          <w:tcPr>
            <w:tcW w:type="pct" w:w="2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Advantages (conditional)</w:t>
            </w:r>
          </w:p>
        </w:tc>
        <w:tc>
          <w:tcPr>
            <w:tcW w:type="pct" w:w="2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Disadvantages (unconditional)</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Defensible deployment decisions: gates convert opinion into evidence, per use case, with expiry. Condition: baselines and targets are actually measured locally.</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Permanent overhead: governance, monitoring and re-testing consume capacity forever. There is no finish line, by design.</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Safety posture: advisory-only write paths, rehearsed fallbacks, stop rules and postmortems cap the cost of any single failure. Condition: drills stay rehearsed and staff keep verifying.</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Slower first deployments: the queue of gates is real time added before any benefit is felt, and early pilots will measure worse than vendor promises suggested.</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Regulatory and audit readiness: evidence packs, audit chain and standards mapping make inspections and insurer conversations cheaper. Condition: counsel confirms scope per use case; certification is a separate project.</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Metric blind spots: thirty visible numbers will always miss some important things (trust, dignity, culture); qualitative reality can hide behind clean tiles.</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Vendor leverage: hospital-run tests, public gates and a rejection register change the procurement conversation. Condition: procurement actually writes it into contracts.</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Skill dependency: the programme needs scarce people (informatics, security, assurance); vacancies stall gates, and one resignation can idle a quarter.</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Reuse economics: corpora, environments, dashboards and the evidence pipeline amortise across use cases; the tenth use case is cheaper than the first. Condition: discipline to reuse rather than fork.</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Change fatigue exposure: the workforce experiences gates, training and surveys as asks; subtraction-before-addition mitigates but never removes this.</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Trust formation: visible honesty about failures (postmortems, rejection register) is the only durable way to earn clinician and patient trust in AI.</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Unsettled external ground: liability law, insurance positions and national AI guidance are still moving; part of the risk landscape is outside the hospital's control.</w:t>
            </w:r>
          </w:p>
        </w:tc>
      </w:tr>
    </w:tbl>
    <w:p>
      <w:pPr>
        <w:spacing w:after="200" w:before="80" w:line="312"/>
        <w:jc w:val="left"/>
      </w:pPr>
      <w:r>
        <w:rPr>
          <w:rFonts w:ascii="Times New Roman" w:eastAsia="Times New Roman"/>
          <w:i/>
          <w:iCs/>
          <w:color w:val="595959"/>
          <w:sz w:val="18"/>
          <w:szCs w:val="18"/>
        </w:rPr>
        <w:t xml:space="preserve">Every disadvantage row maps to at least one register entry (Section 10) or gate condition (Section 4); nothing listed here is unmanaged by design, but management is not elimination.</w:t>
      </w:r>
    </w:p>
    <w:p>
      <w:pPr>
        <w:pStyle w:val="Heading1"/>
        <w:keepNext/>
        <w:spacing w:after="160" w:before="360" w:line="312"/>
        <w:jc w:val="center"/>
      </w:pPr>
      <w:bookmarkStart w:id="100039" w:name="_Toc100039"/>
      <w:r>
        <w:rPr>
          <w:rFonts w:ascii="Times New Roman" w:eastAsia="SimHei"/>
          <w:b/>
          <w:bCs/>
          <w:color w:val="1A5276"/>
          <w:sz w:val="32"/>
          <w:szCs w:val="32"/>
        </w:rPr>
        <w:t xml:space="preserve">8. SWOT Analysis</w:t>
      </w:r>
      <w:bookmarkEnd w:id="100039"/>
    </w:p>
    <w:p>
      <w:pPr>
        <w:keepNext w:val="false"/>
        <w:spacing w:after="120" w:line="312"/>
        <w:jc w:val="left"/>
      </w:pPr>
      <w:r>
        <w:rPr>
          <w:rFonts w:ascii="Times New Roman" w:eastAsia="Times New Roman"/>
          <w:b w:val="false"/>
          <w:bCs w:val="false"/>
          <w:i w:val="false"/>
          <w:iCs w:val="false"/>
          <w:color w:val="000000"/>
          <w:sz w:val="24"/>
          <w:szCs w:val="24"/>
        </w:rPr>
        <w:t xml:space="preserve">The SWOT below is written at programme level and updated at each G4 review. Items are deliberately specific to this hospital context rather than generic; generic SWOT lines are how strategy documents become wallpaper.</w:t>
      </w:r>
    </w:p>
    <w:p>
      <w:pPr>
        <w:keepNext/>
        <w:spacing w:after="80" w:before="200" w:line="312"/>
        <w:jc w:val="left"/>
      </w:pPr>
      <w:r>
        <w:rPr>
          <w:rFonts w:ascii="Times New Roman" w:eastAsia="Times New Roman"/>
          <w:b/>
          <w:bCs/>
          <w:color w:val="000000"/>
          <w:sz w:val="21"/>
          <w:szCs w:val="21"/>
        </w:rPr>
        <w:t xml:space="preserve">Table 8.1 - Programme SWOT</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4394"/>
        <w:gridCol w:w="4394"/>
      </w:tblGrid>
      <w:tr>
        <w:trPr>
          <w:cantSplit/>
          <w:tblHeader/>
        </w:trPr>
        <w:tc>
          <w:tcPr>
            <w:tcW w:type="pct" w:w="2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Strengths (internal, present)</w:t>
            </w:r>
          </w:p>
        </w:tc>
        <w:tc>
          <w:tcPr>
            <w:tcW w:type="pct" w:w="2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Weaknesses (internal, present)</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Existing interoperability foundation and reference stack (FHIR R4 services, mediation, open inference tooling) [Local Assumption]; committed clinical leadership willing to name owners and accept stop rules; a measurement-first culture mandated from the Board down; assurance design that tests any vendor the same way.</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measured baselines yet - every target is a placeholder until G1; scarce specialist staffing and part-time champions; committee capacity concentrated in a few senior people; evidence plumbing (logs, incident taxonomy, analytics) not yet built or verified.</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Opportunities (external, forward)</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Threats (external, forward)</w:t>
            </w:r>
          </w:p>
        </w:tc>
      </w:tr>
      <w:tr>
        <w:trPr>
          <w:cantSplit/>
        </w:trPr>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Regulatory tailwind (EU AI Act 2026; evolving national guidance) rewards early, evidenced governance; insurer and accreditor demand for exactly these artefacts; regional leadership position as a reference site; open model ecosystem improving annually; reuse of the evidence pipeline across future use cases and partner institutions.</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Vendor pressure to skip exams; shadow AI normalising ungoverned use; a public AI failure at any hospital hardening opinion against all of them; regulatory churn creating compliance rework; labour market competing for the same scarce skills; budget cycles shorter than benefit curves.</w:t>
            </w:r>
          </w:p>
        </w:tc>
      </w:tr>
    </w:tbl>
    <w:p>
      <w:pPr>
        <w:spacing w:after="200" w:before="80" w:line="312"/>
        <w:jc w:val="left"/>
      </w:pPr>
      <w:r>
        <w:rPr>
          <w:rFonts w:ascii="Times New Roman" w:eastAsia="Times New Roman"/>
          <w:i/>
          <w:iCs/>
          <w:color w:val="595959"/>
          <w:sz w:val="18"/>
          <w:szCs w:val="18"/>
        </w:rPr>
        <w:t xml:space="preserve">Reading guidance: strategies should pair quadrants (strength to opportunity, strength to threat, weakness against threat). The pairing that matters most here: measurement-first culture (S) against baseline-free credibility failure (W) - closing the W is the programme's first job.</w:t>
      </w:r>
    </w:p>
    <w:p>
      <w:pPr>
        <w:pStyle w:val="Heading1"/>
        <w:keepNext/>
        <w:spacing w:after="160" w:before="360" w:line="312"/>
        <w:jc w:val="center"/>
      </w:pPr>
      <w:bookmarkStart w:id="100040" w:name="_Toc100040"/>
      <w:r>
        <w:rPr>
          <w:rFonts w:ascii="Times New Roman" w:eastAsia="SimHei"/>
          <w:b/>
          <w:bCs/>
          <w:color w:val="1A5276"/>
          <w:sz w:val="32"/>
          <w:szCs w:val="32"/>
        </w:rPr>
        <w:t xml:space="preserve">9. Future Mission, Vision and Improvement Roadmap</w:t>
      </w:r>
      <w:bookmarkEnd w:id="100040"/>
    </w:p>
    <w:p>
      <w:pPr>
        <w:pStyle w:val="Heading2"/>
        <w:keepNext/>
        <w:spacing w:after="120" w:before="240" w:line="312"/>
      </w:pPr>
      <w:bookmarkStart w:id="100041" w:name="_Toc100041"/>
      <w:r>
        <w:rPr>
          <w:rFonts w:ascii="Times New Roman" w:eastAsia="SimHei"/>
          <w:b/>
          <w:bCs/>
          <w:color w:val="1A5276"/>
          <w:sz w:val="30"/>
          <w:szCs w:val="30"/>
        </w:rPr>
        <w:t xml:space="preserve">9.1 Mission and vision</w:t>
      </w:r>
      <w:bookmarkEnd w:id="100041"/>
    </w:p>
    <w:p>
      <w:pPr>
        <w:keepNext w:val="false"/>
        <w:spacing w:after="120" w:line="312"/>
        <w:jc w:val="left"/>
      </w:pPr>
      <w:r>
        <w:rPr>
          <w:rFonts w:ascii="Times New Roman" w:eastAsia="Times New Roman"/>
          <w:b w:val="false"/>
          <w:bCs w:val="false"/>
          <w:i w:val="false"/>
          <w:iCs w:val="false"/>
          <w:color w:val="000000"/>
          <w:sz w:val="24"/>
          <w:szCs w:val="24"/>
        </w:rPr>
        <w:t xml:space="preserve">Mission: to ensure that every AI system touching [Hospital Name] patients is examined before it is trusted, monitored while it is used, and retired without ceremony when it stops earning its place. Vision: a hospital where AI adoption is limited only by evidence and imagination - where clinicians reach for governed AI tools as naturally as they reach for a stethoscope, because the tools have earned it, and where the hospital's evidence packs are trusted by regulators, insurers, partners and patients as the honest record of what was tested and what was found.</w:t>
      </w:r>
    </w:p>
    <w:p>
      <w:pPr>
        <w:pStyle w:val="Heading2"/>
        <w:keepNext/>
        <w:spacing w:after="120" w:before="240" w:line="312"/>
      </w:pPr>
      <w:bookmarkStart w:id="100042" w:name="_Toc100042"/>
      <w:r>
        <w:rPr>
          <w:rFonts w:ascii="Times New Roman" w:eastAsia="SimHei"/>
          <w:b/>
          <w:bCs/>
          <w:color w:val="1A5276"/>
          <w:sz w:val="30"/>
          <w:szCs w:val="30"/>
        </w:rPr>
        <w:t xml:space="preserve">9.2 Improvement roadmap</w:t>
      </w:r>
      <w:bookmarkEnd w:id="100042"/>
    </w:p>
    <w:p>
      <w:pPr>
        <w:keepNext/>
        <w:spacing w:after="80" w:before="200" w:line="312"/>
        <w:jc w:val="left"/>
      </w:pPr>
      <w:r>
        <w:rPr>
          <w:rFonts w:ascii="Times New Roman" w:eastAsia="Times New Roman"/>
          <w:b/>
          <w:bCs/>
          <w:color w:val="000000"/>
          <w:sz w:val="21"/>
          <w:szCs w:val="21"/>
        </w:rPr>
        <w:t xml:space="preserve">Table 9.1 - Roadmap horizons (all dates relative to programme start [Date])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2988"/>
        <w:gridCol w:w="2636"/>
        <w:gridCol w:w="1758"/>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Horizon</w:t>
            </w:r>
          </w:p>
        </w:tc>
        <w:tc>
          <w:tcPr>
            <w:tcW w:type="pct" w:w="1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Focus</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Key deliverables</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Exit criteria</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H1 (0-6 months): Prove the machinery</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Governance stood up; baselines measured; first use cases through G1; probe capability live.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operating; 30-metric catalogue baselined; probe corpora v1 (injection/refusal traps, robustness, fairness); readiness declaration #1; evidence pack #1.</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G1 passed on [2] use cases; fallback drill #1 done; Board dashboard live.</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H2 (6-18 months): Prove the value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Pilots conclude honestly; independent review at scale decision; assurance overhead measured; corpora expand from real incidents.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G2 outcomes with re-forecasts; external review report; postmortem register live; de-id probe recall target met; reuse playbook v1.</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 use case at G3 or a documented stop with lessons adopted.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H3 (18-36 months): Prove the durability</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Steady-state assurance; benefit realisation confirmed; capability shared beyond the hospital.</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G4 renewals operating; benefits vs business case verdict; regional/partner evidence sharing under agreed rules; certification decision taken (in or out, with reasons).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Evidence pack validity coverage 100%; open critical risks 0 for [2] cycles.</w:t>
            </w:r>
          </w:p>
        </w:tc>
      </w:tr>
    </w:tbl>
    <w:p>
      <w:pPr>
        <w:spacing w:after="200" w:before="80" w:line="312"/>
        <w:jc w:val="left"/>
      </w:pPr>
      <w:r>
        <w:rPr>
          <w:rFonts w:ascii="Times New Roman" w:eastAsia="Times New Roman"/>
          <w:i/>
          <w:iCs/>
          <w:color w:val="595959"/>
          <w:sz w:val="18"/>
          <w:szCs w:val="18"/>
        </w:rPr>
        <w:t xml:space="preserve">Horizon content is directional, not contractual; the gate framework (Section 4) governs what actually proceeds and when [Best practice].</w:t>
      </w:r>
    </w:p>
    <w:p>
      <w:pPr>
        <w:pStyle w:val="Heading2"/>
        <w:keepNext/>
        <w:spacing w:after="120" w:before="240" w:line="312"/>
      </w:pPr>
      <w:bookmarkStart w:id="100043" w:name="_Toc100043"/>
      <w:r>
        <w:rPr>
          <w:rFonts w:ascii="Times New Roman" w:eastAsia="SimHei"/>
          <w:b/>
          <w:bCs/>
          <w:color w:val="1A5276"/>
          <w:sz w:val="30"/>
          <w:szCs w:val="30"/>
        </w:rPr>
        <w:t xml:space="preserve">9.3 What good looks like in three years</w:t>
      </w:r>
      <w:bookmarkEnd w:id="100043"/>
    </w:p>
    <w:p>
      <w:pPr>
        <w:keepNext w:val="false"/>
        <w:spacing w:after="120" w:line="312"/>
        <w:jc w:val="left"/>
      </w:pPr>
      <w:r>
        <w:rPr>
          <w:rFonts w:ascii="Times New Roman" w:eastAsia="Times New Roman"/>
          <w:b w:val="false"/>
          <w:bCs w:val="false"/>
          <w:i w:val="false"/>
          <w:iCs w:val="false"/>
          <w:color w:val="000000"/>
          <w:sz w:val="24"/>
          <w:szCs w:val="24"/>
        </w:rPr>
        <w:t xml:space="preserve">Three years out, success looks unglamorous from the outside: a hospital where AI incidents are rare, small and publicly learnable; where dashboards are boring because thresholds are met; where the rejection register has more entries than the press releases; and where staff describe the assurance programme the way pilots describe checklists - not as bureaucracy, but as the reason they can move fast without holding their breath. The strategic prize is equally quiet: the institution became the kind of place where new AI capability arrives with evidence attached, and where that evidence is believed because it has been honest before.</w:t>
      </w:r>
    </w:p>
    <w:p>
      <w:pPr>
        <w:pStyle w:val="Heading1"/>
        <w:keepNext/>
        <w:spacing w:after="160" w:before="360" w:line="312"/>
        <w:jc w:val="center"/>
      </w:pPr>
      <w:bookmarkStart w:id="100044" w:name="_Toc100044"/>
      <w:r>
        <w:rPr>
          <w:rFonts w:ascii="Times New Roman" w:eastAsia="SimHei"/>
          <w:b/>
          <w:bCs/>
          <w:color w:val="1A5276"/>
          <w:sz w:val="32"/>
          <w:szCs w:val="32"/>
        </w:rPr>
        <w:t xml:space="preserve">10. Risk Register</w:t>
      </w:r>
      <w:bookmarkEnd w:id="100044"/>
    </w:p>
    <w:p>
      <w:pPr>
        <w:keepNext w:val="false"/>
        <w:spacing w:after="120" w:line="312"/>
        <w:jc w:val="left"/>
      </w:pPr>
      <w:r>
        <w:rPr>
          <w:rFonts w:ascii="Times New Roman" w:eastAsia="Times New Roman"/>
          <w:b w:val="false"/>
          <w:bCs w:val="false"/>
          <w:i w:val="false"/>
          <w:iCs w:val="false"/>
          <w:color w:val="000000"/>
          <w:sz w:val="24"/>
          <w:szCs w:val="24"/>
        </w:rPr>
        <w:t xml:space="preserve">The register below is the programme's full risk set at version 0.1, using the hospital's five-point likelihood (L) and impact (I) scales [Local Assumption: confirm anchors against the enterprise risk framework]; score is L times I, capped at 25. Every risk has a named role as owner and at least one gate-linked control. The register is re-scored quarterly and at every gate; retired risks are archived, not deleted, so the programme remembers what it once feared.</w:t>
      </w:r>
    </w:p>
    <w:p>
      <w:pPr>
        <w:keepNext/>
        <w:spacing w:after="80" w:before="200" w:line="312"/>
        <w:jc w:val="left"/>
      </w:pPr>
      <w:r>
        <w:rPr>
          <w:rFonts w:ascii="Times New Roman" w:eastAsia="Times New Roman"/>
          <w:b/>
          <w:bCs/>
          <w:color w:val="000000"/>
          <w:sz w:val="21"/>
          <w:szCs w:val="21"/>
        </w:rPr>
        <w:t xml:space="preserve">Table 10.1 - Programme risk register (v0.1)</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615"/>
        <w:gridCol w:w="1142"/>
        <w:gridCol w:w="2549"/>
        <w:gridCol w:w="352"/>
        <w:gridCol w:w="352"/>
        <w:gridCol w:w="703"/>
        <w:gridCol w:w="2021"/>
        <w:gridCol w:w="1055"/>
      </w:tblGrid>
      <w:tr>
        <w:trPr>
          <w:cantSplit/>
          <w:tblHeader/>
        </w:trPr>
        <w:tc>
          <w:tcPr>
            <w:tcW w:type="pct" w:w="3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ID</w:t>
            </w:r>
          </w:p>
        </w:tc>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Category</w:t>
            </w:r>
          </w:p>
        </w:tc>
        <w:tc>
          <w:tcPr>
            <w:tcW w:type="pct" w:w="14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Risk</w:t>
            </w:r>
          </w:p>
        </w:tc>
        <w:tc>
          <w:tcPr>
            <w:tcW w:type="pct" w:w="2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L</w:t>
            </w:r>
          </w:p>
        </w:tc>
        <w:tc>
          <w:tcPr>
            <w:tcW w:type="pct" w:w="2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I</w:t>
            </w:r>
          </w:p>
        </w:tc>
        <w:tc>
          <w:tcPr>
            <w:tcW w:type="pct" w:w="4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Score</w:t>
            </w:r>
          </w:p>
        </w:tc>
        <w:tc>
          <w:tcPr>
            <w:tcW w:type="pct" w:w="11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Key mitigations</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R-01</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Uncaught model error reaches patient care at scale before detection</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5</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15</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Advisory-only; sampled audits; stop rules; phased gates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CMIO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R-02</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De-identification failure leaks identifiers into secondary use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5</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15</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Layered de-id; probe suites; sampling audits; kill switch; breach runbook</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DPO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R-03</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Automation bias erodes verification and independent judgement</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16</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Verification-by-design metrics; override alarms; competency practice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R-04</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Workforce</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Shadow AI spreads outside the governed perimeter</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16</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Fast sanctioned tools; amnesty channel; network signals; policy clarity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R-05</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Financial</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fail to materialise against the business case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tracker; finance verification; gated funding; re-baseline at G2</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R-06</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Workforce</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Champion burnout and change fatigue stall adoption</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Protected time metric; intake cap; subtraction-first sequencing; surveys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R-07</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Silent dependency growth makes AI availability clinically critical</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Fallback drills; dependency-graph review; visible degradation states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R-08</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Vendor</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Lock-in or vendor failure traps workflows and data</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Open standards; exit strategy artefacts at G3; portability proof; escrow where material</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R-09</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Prompt injection or tool misuse triggers unauthorised actions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Injection corpora at every release; tool allow-lists; scope separation</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R-10</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Legacy data quality corrupts corpora, baselines or indices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Corpus provenance records; data quality gates; re-benchmark on source change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governance</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R-11</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Governance</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function captured by delivery pressure (grades own homework)</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Organisational separation; independent G2 review; audit raw-log access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committee</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R-12</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Governance</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Committee waivers become routine under seniority pressure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Minuted waivers with compensating controls; waiver log to Audit committee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Committee chair</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R-13</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Pilot purgatory: endless trials without scale or stop decisions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G2 mandatory outcomes; tranche funding; pilot cap; expired-pack demotion</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office</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R-14</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Technical</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Model drift degrades performance between releases unnoticed</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Model-plane monitoring; scheduled probe re-runs; release-bound scoring</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lead</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R-15</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Integration</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Interface contracts drift; silent breakage on vendor updates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Conformance tests per release; interface owners; mediation layer</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Integration lead</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R-16</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Regulatory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Use case misclassified under Act 737 / evolving AI regulation</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Counsel review per use case; horizon scanning; standards alignment</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office</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R-17</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Insider misuse of AI estate access or audit blind spots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Least privilege; SIEM detections; privileged-access alarms; audit chain</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R-18</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Operational</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Downtime of AI services causes clinical disruption via hidden reliance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Visible degradation; drills; manual-path competency; comms tree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ops</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R-19</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Equity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and burdens distribute unevenly across units and patient groups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Disaggregated metrics; equity lens in reviews; targeted support</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R-20</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Patient-facing communication misleads about AI's role in care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Comprehension testing pre-G1; patient experience review; complaint taxonomy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Patient experience lead</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R-21</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migration</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Source-system upgrades silently invalidate indices and baselines</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Change-linked release discipline; re-benchmark; probe re-runs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Infra lead</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R-22</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Financial</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overhead balloons beyond the [10-20]% envelope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6</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Metrics cap with retirement reviews; reuse playbook; overhead tracking</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R-23</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Reputation</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Internal failure becomes public before the hospital can frame it</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Disclosure protocol; comms drills; honest postmortems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Comms + legal</w:t>
            </w:r>
          </w:p>
        </w:tc>
      </w:tr>
      <w:tr>
        <w:trPr>
          <w:cantSplit/>
        </w:trPr>
        <w:tc>
          <w:tcPr>
            <w:tcW w:type="pct" w:w="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R-24</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Liability</w:t>
            </w:r>
          </w:p>
        </w:tc>
        <w:tc>
          <w:tcPr>
            <w:tcW w:type="pct" w:w="14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Unsettled liability and insurance positions surface at claim time</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1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Early insurer engagement with evidence packs; counsel per contract; defensible records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Legal counsel</w:t>
            </w:r>
          </w:p>
        </w:tc>
      </w:tr>
    </w:tbl>
    <w:p>
      <w:pPr>
        <w:spacing w:after="200" w:before="80" w:line="312"/>
        <w:jc w:val="left"/>
      </w:pPr>
      <w:r>
        <w:rPr>
          <w:rFonts w:ascii="Times New Roman" w:eastAsia="Times New Roman"/>
          <w:i/>
          <w:iCs/>
          <w:color w:val="595959"/>
          <w:sz w:val="18"/>
          <w:szCs w:val="18"/>
        </w:rPr>
        <w:t xml:space="preserve">Scoring at v0.1 uses assumed anchors; first re-score happens at programme charter. Risks R-01 to R-04 are the Board's top-ten subset source (Board paper, Section 7).</w:t>
      </w:r>
    </w:p>
    <w:p>
      <w:pPr>
        <w:pStyle w:val="Heading1"/>
        <w:keepNext/>
        <w:spacing w:after="160" w:before="360" w:line="312"/>
        <w:jc w:val="center"/>
      </w:pPr>
      <w:bookmarkStart w:id="100045" w:name="_Toc100045"/>
      <w:r>
        <w:rPr>
          <w:rFonts w:ascii="Times New Roman" w:eastAsia="SimHei"/>
          <w:b/>
          <w:bCs/>
          <w:color w:val="1A5276"/>
          <w:sz w:val="32"/>
          <w:szCs w:val="32"/>
        </w:rPr>
        <w:t xml:space="preserve">11. Missing Pieces / Gap Audit</w:t>
      </w:r>
      <w:bookmarkEnd w:id="100045"/>
    </w:p>
    <w:p>
      <w:pPr>
        <w:keepNext w:val="false"/>
        <w:spacing w:after="120" w:line="312"/>
        <w:jc w:val="left"/>
      </w:pPr>
      <w:r>
        <w:rPr>
          <w:rFonts w:ascii="Times New Roman" w:eastAsia="Times New Roman"/>
          <w:b w:val="false"/>
          <w:bCs w:val="false"/>
          <w:i w:val="false"/>
          <w:iCs w:val="false"/>
          <w:color w:val="000000"/>
          <w:sz w:val="24"/>
          <w:szCs w:val="24"/>
        </w:rPr>
        <w:t xml:space="preserve">An honest dossier lists what it does not yet have. The gaps below are real, named and owned; each is either already scheduled in the roadmap (Section 9) or flagged here for the AI Governance Committee's first agenda. A gap that stays on this list across two reviews without an owner or a date becomes a formal risk entry - that is the escalation rule.</w:t>
      </w:r>
    </w:p>
    <w:p>
      <w:pPr>
        <w:keepNext/>
        <w:spacing w:after="80" w:before="200" w:line="312"/>
        <w:jc w:val="left"/>
      </w:pPr>
      <w:r>
        <w:rPr>
          <w:rFonts w:ascii="Times New Roman" w:eastAsia="Times New Roman"/>
          <w:b/>
          <w:bCs/>
          <w:color w:val="000000"/>
          <w:sz w:val="21"/>
          <w:szCs w:val="21"/>
        </w:rPr>
        <w:t xml:space="preserve">Table 11.1 - Gap audit at document version 0.1</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3515"/>
        <w:gridCol w:w="1318"/>
        <w:gridCol w:w="1318"/>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Gap</w:t>
            </w:r>
          </w:p>
        </w:tc>
        <w:tc>
          <w:tcPr>
            <w:tcW w:type="pct" w:w="2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Why it matters</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Suggested owner</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Status</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measured baselines for any metric yet</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Without [Baseline], targets are guesses and success is unfalsifiable - the programme's core claim depends on this.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office + operations analytics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H1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named individuals behind any role</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Role-based accountability works only once names and job plans exist; the org chart is currently aspirations.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Executive sponsor</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first committee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completed clinical safety case per use case</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Gate G1 requires it; nothing in the current documents substitutes for hazard analysis with clinical authors.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safety officer (to be named)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pre-G1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privacy assessment (DPIA-equivalent) yet</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PDPA-aligned duties and de-id risk both require it before any real data flows.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DPO</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pre-G1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business case with real amounts</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 financial figures are placeholders; the Board cannot gate fund placeholders forever.</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CFO</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H1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confirmed legal classifications</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Act 737 applicability, PDPA duties and consent basis per use case are unresolved.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Legal counsel</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pre-G1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Probe corpora v1 not yet built</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exam does not exist yet; everything downstream (gates, monitoring, evidence) consumes it.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Assurance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H1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training curriculum or materials</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Workforce readiness and digital-literacy fairness both depend on role-based training that does not exist yet.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CCOO + education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H1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patient/public involvement structure</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PPI is currently a promise, not a mechanism; Section 13 flags this as underweighted.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Patient experience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first committee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procurement templates with assurance clauses</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Vendor leverage exists only if contracts require evidence cooperation, incident notification and exit support.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Procurement + legal</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H2</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independent assessor shortlist</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G2 requires an external review; finding and vetting assessors takes longer than expected.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Audit committee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H1</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benefits realisation plan per use case</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financial honesty claim needs artefacts: baselines, tracking method, verification owner per use case.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CFO + use-case owners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pre-G2</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exit strategy template</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Lock-in mitigation is contractual and operational artefacts, both unwritten.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CIO</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 - pre-G3</w:t>
            </w:r>
          </w:p>
        </w:tc>
      </w:tr>
    </w:tbl>
    <w:p>
      <w:pPr>
        <w:spacing w:after="200" w:before="80" w:line="312"/>
        <w:jc w:val="left"/>
      </w:pPr>
      <w:r>
        <w:rPr>
          <w:rFonts w:ascii="Times New Roman" w:eastAsia="Times New Roman"/>
          <w:i/>
          <w:iCs/>
          <w:color w:val="595959"/>
          <w:sz w:val="18"/>
          <w:szCs w:val="18"/>
        </w:rPr>
        <w:t xml:space="preserve">This table is the document's own backlog; closing items and dating them is the fastest visible proof the programme is real.</w:t>
      </w:r>
    </w:p>
    <w:p>
      <w:pPr>
        <w:pStyle w:val="Heading1"/>
        <w:keepNext/>
        <w:spacing w:after="160" w:before="360" w:line="312"/>
        <w:jc w:val="center"/>
      </w:pPr>
      <w:bookmarkStart w:id="100046" w:name="_Toc100046"/>
      <w:r>
        <w:rPr>
          <w:rFonts w:ascii="Times New Roman" w:eastAsia="SimHei"/>
          <w:b/>
          <w:bCs/>
          <w:color w:val="1A5276"/>
          <w:sz w:val="32"/>
          <w:szCs w:val="32"/>
        </w:rPr>
        <w:t xml:space="preserve">12. Standards and Basis Notes</w:t>
      </w:r>
      <w:bookmarkEnd w:id="100046"/>
    </w:p>
    <w:p>
      <w:pPr>
        <w:keepNext w:val="false"/>
        <w:spacing w:after="120" w:line="312"/>
        <w:jc w:val="left"/>
      </w:pPr>
      <w:r>
        <w:rPr>
          <w:rFonts w:ascii="Times New Roman" w:eastAsia="Times New Roman"/>
          <w:b w:val="false"/>
          <w:bCs w:val="false"/>
          <w:i w:val="false"/>
          <w:iCs w:val="false"/>
          <w:color w:val="000000"/>
          <w:sz w:val="24"/>
          <w:szCs w:val="24"/>
        </w:rPr>
        <w:t xml:space="preserve">External sources relied on in this dossier, cited so that readers can verify rather than trust: Regulation (EU) 2024/1689 (EU AI Act) with its staged application dates; the Malaysian Medical Device Act 2010 (Act 737) and the Personal Data Protection Act 2010 as amended in 2024 [confirm current commencement and applicability with counsel]; ISO/IEC 42001:2023; ISO 14971; ISO 27001:2022; IEC 62304; IEC 82304-1; IEC 80001-1:2010; NIST AI Risk Management Framework 1.0 (2023) and its Generative AI Profile (2024); the Good Machine Learning Practice ten guiding principles (FDA/Health Canada/MHRA, 2021); WHO guidance on ethics and governance of AI for health (2021) and on large multi-modal models (2024); HL7 FHIR R4; CDS Hooks; SMART App Launch; and the reporting-guideline family for AI studies (TRIPOD+AI, DECIDE-AI, CONSORT-AI) that informs what evidence packs should contain.</w:t>
      </w:r>
    </w:p>
    <w:p>
      <w:pPr>
        <w:keepNext w:val="false"/>
        <w:spacing w:after="120" w:line="312"/>
        <w:jc w:val="left"/>
      </w:pPr>
      <w:r>
        <w:rPr>
          <w:rFonts w:ascii="Times New Roman" w:eastAsia="Times New Roman"/>
          <w:b w:val="false"/>
          <w:bCs w:val="false"/>
          <w:i w:val="false"/>
          <w:iCs w:val="false"/>
          <w:color w:val="000000"/>
          <w:sz w:val="24"/>
          <w:szCs w:val="24"/>
        </w:rPr>
        <w:t xml:space="preserve">Basis discipline repeats one last time: [Standard] items above are verifiable external instruments; [Best practice] items are professional convention this dossier recommends; [Local Assumption] items are the hospital's homework. Where this document and reality disagree, reality wins, the discrepancy gets a register entry, and the document is versioned forward - that loop is the whole method.</w:t>
      </w:r>
    </w:p>
    <w:p>
      <w:pPr>
        <w:pStyle w:val="Heading1"/>
        <w:keepNext/>
        <w:spacing w:after="160" w:before="360" w:line="312"/>
        <w:jc w:val="center"/>
      </w:pPr>
      <w:bookmarkStart w:id="100047" w:name="_Toc100047"/>
      <w:r>
        <w:rPr>
          <w:rFonts w:ascii="Times New Roman" w:eastAsia="SimHei"/>
          <w:b/>
          <w:bCs/>
          <w:color w:val="1A5276"/>
          <w:sz w:val="32"/>
          <w:szCs w:val="32"/>
        </w:rPr>
        <w:t xml:space="preserve">13. Gaps I Almost Missed / Additional Aspects to Consider</w:t>
      </w:r>
      <w:bookmarkEnd w:id="100047"/>
    </w:p>
    <w:p>
      <w:pPr>
        <w:keepNext w:val="false"/>
        <w:spacing w:after="120" w:line="312"/>
        <w:jc w:val="left"/>
      </w:pPr>
      <w:r>
        <w:rPr>
          <w:rFonts w:ascii="Times New Roman" w:eastAsia="Times New Roman"/>
          <w:b w:val="false"/>
          <w:bCs w:val="false"/>
          <w:i w:val="false"/>
          <w:iCs w:val="false"/>
          <w:color w:val="000000"/>
          <w:sz w:val="24"/>
          <w:szCs w:val="24"/>
        </w:rPr>
        <w:t xml:space="preserve">This closing section is the authoring team's self-audit: aspects that a first draft of a programme like this routinely omits, each with why it matters and what the programme should do about it. Several of them changed this document set; the rest are flagged for the committee's first agendas.</w:t>
      </w:r>
    </w:p>
    <w:p>
      <w:pPr>
        <w:keepNext/>
        <w:spacing w:after="80" w:before="200" w:line="312"/>
        <w:jc w:val="left"/>
      </w:pPr>
      <w:r>
        <w:rPr>
          <w:rFonts w:ascii="Times New Roman" w:eastAsia="Times New Roman"/>
          <w:b/>
          <w:bCs/>
          <w:color w:val="000000"/>
          <w:sz w:val="21"/>
          <w:szCs w:val="21"/>
        </w:rPr>
        <w:t xml:space="preserve">Table 13.1 - Self-audit: aspects almost missed and their disposition</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109"/>
        <w:gridCol w:w="4042"/>
        <w:gridCol w:w="2636"/>
      </w:tblGrid>
      <w:tr>
        <w:trPr>
          <w:cantSplit/>
          <w:tblHeader/>
        </w:trPr>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Aspect</w:t>
            </w:r>
          </w:p>
        </w:tc>
        <w:tc>
          <w:tcPr>
            <w:tcW w:type="pct" w:w="2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Why it matters (honest statement)</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Disposition in this document set</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safety case discipline</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 hazard list is not a safety case; clinical AI needs per-use-case hazard analysis, controls and residual-risk acceptance authored by clinicians, or the whole regime is paperwork with a clinical sticker.</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Named as a G1 gate artefact (Section 4); gap-audit row Table 11.1; owner to be named (clinical safety officer).</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Data migration quality</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Corpora and baselines inherit legacy data defects silently; migration-linked re-testing is where most hospitals get surprised.</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Corpus provenance + re-benchmark on source change (R-10, R-21); FAQ 15.</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Downtime procedures for AI-specific failure classes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rollback windows, index rebuilds and de-id halts are downtime types hospitals have never operated before.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IT doc Sections 8 and 11; visible-degradation rule (FAQ 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Formal change management</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Adoption fails socially before it fails technically; sequenced, resourced change management is a discipline, not a comms plan.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Subtraction-first rule; champion capacity metric; FAQ 14; training gap in Table 11.1.</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Benefits realisation</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Without a per-use-case realisation plan verified by finance, the ROI debate defaults to anecdote in year two.</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Gate-linked tracker; gap-audit row; FAQ 10 and R-05.</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Exit strategy</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Lock-in is decided at contracting, not at exit; exit artefacts must exist before scale, or leverage is theatre.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G3 artefact (Table 4.1); FAQ 4; gap-audit row; R-08.</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Patient and public involvement</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Consultation once at design is decoration; standing PPI changes designs and catches harms committees cannot see.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FAQ 17; Table 13.1 row here; gap-audit row; named committee agenda item.</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Cyber incident rehearsal including AI failure modes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AI-specific incidents (model poisoning, index tampering, de-id halt) never appear in generic cyber drills until rehearsed.</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DR exercises extended to AI failure classes (IT doc Section 8); R-09, R-17.</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Staff wellbeing monitoring</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programme measures workload but must also watch for surveillance anxiety, reporting chilling effects and champion exhaustion.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Survey design includes wellbeing signals; granularity limits (CCOO Brief Section 7 note); R-06.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Regulatory horizon scanning</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rules are moving under the programme; a quarterly scan with counsel is the difference between readiness and surprise.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Governance cycle item (Board paper Section 2); R-16; FAQ 13.</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Lessons learned register</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Postmortems without a register become folklore; the programme's memory is an artefact, not a habit.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Postmortem register named in Board paper Section 8.2; feeds corpora updates (H2 roadmap).</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Clinician feedback loop</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Frontline findings must route into corpora, thresholds and training with visible closure, or staff stop reporting.</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Feedback routing in postmortem discipline; champion network; FAQ 22 reporting culture.</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Stop-doing list</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Assurance without subtraction becomes accretion; the programme needs a standing artefact of what it will stop (alerts retired, metrics retired, pilots killed).</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Metrics retirement reviews (Section 3 note); pilot expiry; rejection register; FAQ 14.</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Accessibility and language equity of the tools themselves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Screen-reader semantics, contrast and multilingual consistency decide who the tools actually serve; retrofitting is cruel and expensive.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IT doc Section 9; fairness corpora gates (Table 12.1); R-19.</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supply-chain integrity</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weights, corpora and dependencies are a software supply chain; provenance and signed artifacts prevent a poisoned-update class of incident.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Release registry with integrity hashes (IT doc Sections 5.2, 11); R-09.</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Documentation of AI involvement in care records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Medico-legal defensibility and patient honesty both require that records show where AI participated and who verified.</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Provenance stamping on write-back (IT doc Section 6.1); FAQ 8, FAQ 17.</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Business continuity for AI-dependent support functions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Beyond clinical workflows, rota, coding and reporting processes may quietly adopt AI outputs; their fallbacks need the same drill.</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Dependency-graph review (R-07); FAQ 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Ethics consultation pathway</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Some AI dilemmas (refusals at end-of-life documentation, fairness conflicts) need an ethics route that exists before the first case.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Flagged for committee agenda; recommended addition to governance manual [To be added].</w:t>
            </w:r>
          </w:p>
        </w:tc>
      </w:tr>
    </w:tbl>
    <w:p>
      <w:pPr>
        <w:spacing w:after="200" w:before="80" w:line="312"/>
        <w:jc w:val="left"/>
      </w:pPr>
      <w:r>
        <w:rPr>
          <w:rFonts w:ascii="Times New Roman" w:eastAsia="Times New Roman"/>
          <w:i/>
          <w:iCs/>
          <w:color w:val="595959"/>
          <w:sz w:val="18"/>
          <w:szCs w:val="18"/>
        </w:rPr>
        <w:t xml:space="preserve">Items marked [To be added] are deliberate admissions: this document set does not yet contain them, and says so. The next version either adds them or explains why not.</w:t>
      </w:r>
    </w:p>
    <w:p>
      <w:pPr>
        <w:keepNext w:val="false"/>
        <w:spacing w:after="120" w:line="312"/>
        <w:jc w:val="left"/>
      </w:pPr>
      <w:r>
        <w:rPr>
          <w:rFonts w:ascii="Times New Roman" w:eastAsia="Times New Roman"/>
          <w:b w:val="false"/>
          <w:bCs w:val="false"/>
          <w:i w:val="false"/>
          <w:iCs w:val="false"/>
          <w:color w:val="000000"/>
          <w:sz w:val="24"/>
          <w:szCs w:val="24"/>
        </w:rPr>
        <w:t xml:space="preserve">The self-audit ends where the programme begins: with the recognition that the strongest possible version of this dossier is the one that is wrong in public, corrects itself in versioned updates, and archives every correction. That behaviour - not any single control - is what the Board is actually being asked to institutionalise.</w:t>
      </w:r>
    </w:p>
    <w:p>
      <w:pPr>
        <w:pStyle w:val="Heading1"/>
        <w:keepNext/>
        <w:spacing w:after="160" w:before="360" w:line="312"/>
        <w:jc w:val="center"/>
      </w:pPr>
      <w:bookmarkStart w:id="100048" w:name="_Toc100048"/>
      <w:r>
        <w:rPr>
          <w:rFonts w:ascii="Times New Roman" w:eastAsia="SimHei"/>
          <w:b/>
          <w:bCs/>
          <w:color w:val="1A5276"/>
          <w:sz w:val="32"/>
          <w:szCs w:val="32"/>
        </w:rPr>
        <w:t xml:space="preserve">Appendix A. Cross-Document Traceability Maps</w:t>
      </w:r>
      <w:bookmarkEnd w:id="100048"/>
    </w:p>
    <w:p>
      <w:pPr>
        <w:keepNext w:val="false"/>
        <w:spacing w:after="120" w:line="312"/>
        <w:jc w:val="left"/>
      </w:pPr>
      <w:r>
        <w:rPr>
          <w:rFonts w:ascii="Times New Roman" w:eastAsia="Times New Roman"/>
          <w:b w:val="false"/>
          <w:bCs w:val="false"/>
          <w:i w:val="false"/>
          <w:iCs w:val="false"/>
          <w:color w:val="000000"/>
          <w:sz w:val="24"/>
          <w:szCs w:val="24"/>
        </w:rPr>
        <w:t xml:space="preserve">No single document in this set carries the whole assurance story, and none of them should: the CCOO Brief is deliberately operational, the Board paper deliberately governance-level, and the IT design deliberately technical. The risk of splitting the story this way is drift - a metric tightened in one document but not in its siblings, a mitigation claimed twice but owned nowhere. This appendix is the anti-drift device. It maps every major assurance question to the sections that answer it, and maps every recurring evidence artefact to the gate that consumes it, so that a reader entering from any audience can navigate to the others without guesswork.</w:t>
      </w:r>
    </w:p>
    <w:p>
      <w:pPr>
        <w:keepNext w:val="false"/>
        <w:spacing w:after="120" w:line="312"/>
        <w:jc w:val="left"/>
      </w:pPr>
      <w:r>
        <w:rPr>
          <w:rFonts w:ascii="Times New Roman" w:eastAsia="Times New Roman"/>
          <w:b w:val="false"/>
          <w:bCs w:val="false"/>
          <w:i w:val="false"/>
          <w:iCs w:val="false"/>
          <w:color w:val="000000"/>
          <w:sz w:val="24"/>
          <w:szCs w:val="24"/>
        </w:rPr>
        <w:t xml:space="preserve">Two reading rules apply. First, the Master Catalogue in Section 3 of this dossier is the single source of truth for metric definitions, baselines and targets; the audience documents may summarise or excerpt it, but a definition dispute is settled by the catalogue, and a change to a metric starts there and propagates outward. Second, section numbers below refer to the issued v0.1 numbering of each document; if sections are renumbered in a later version, this appendix is updated in the same change, as part of the quarterly document control review.</w:t>
      </w:r>
    </w:p>
    <w:p>
      <w:pPr>
        <w:keepNext/>
        <w:spacing w:after="80" w:before="200" w:line="312"/>
        <w:jc w:val="left"/>
      </w:pPr>
      <w:r>
        <w:rPr>
          <w:rFonts w:ascii="Times New Roman" w:eastAsia="Times New Roman"/>
          <w:b/>
          <w:bCs/>
          <w:color w:val="000000"/>
          <w:sz w:val="21"/>
          <w:szCs w:val="21"/>
        </w:rPr>
        <w:t xml:space="preserve">Table A-1. Assurance questions and where they are answered</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109"/>
        <w:gridCol w:w="1670"/>
        <w:gridCol w:w="1670"/>
        <w:gridCol w:w="1670"/>
        <w:gridCol w:w="1670"/>
      </w:tblGrid>
      <w:tr>
        <w:trPr>
          <w:cantSplit/>
          <w:tblHeader/>
        </w:trPr>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Assurance question</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CCOO Brief</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Board paper</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IT design</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This dossier</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Is the system safe for patients?</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5, 8</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5, 7, 8.2</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7, 12</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3 (safety rows), 4</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Does it work as claimed, in this hospital?</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6</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12</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3</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Will staff adopt it, and is the workload sustainable?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4, 7, 8</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5, 6</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10</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5, 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Is patient data protected and privacy respected?</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5, 7</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6, 7</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3 (privacy rows), 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Can we operate and support it reliably?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7</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3-11</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2, 3</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Are we compliant with law and regulation?</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3</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2,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7</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12, 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Is it worth the money?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6</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9</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5, 6</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What actually changes for patients?</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4</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6</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How do we stop safely when something goes wrong?</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5</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8.2</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8, 11</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4, 10</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Who is accountable for what?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9</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4</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 13</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Sections 4, 10</w:t>
            </w:r>
          </w:p>
        </w:tc>
      </w:tr>
    </w:tbl>
    <w:p>
      <w:pPr>
        <w:spacing w:after="200" w:before="80" w:line="312"/>
        <w:jc w:val="left"/>
      </w:pPr>
      <w:r>
        <w:rPr>
          <w:rFonts w:ascii="Times New Roman" w:eastAsia="Times New Roman"/>
          <w:i/>
          <w:iCs/>
          <w:color w:val="595959"/>
          <w:sz w:val="18"/>
          <w:szCs w:val="18"/>
        </w:rPr>
        <w:t xml:space="preserve">Section numbers are the issued v0.1 numbering of each document. “This dossier” refers to this Cross-Cutting Assurance Dossier; its Section 3 is the Master Catalogue.</w:t>
      </w:r>
    </w:p>
    <w:p>
      <w:pPr>
        <w:keepNext w:val="false"/>
        <w:spacing w:after="120" w:line="312"/>
        <w:jc w:val="left"/>
      </w:pPr>
      <w:r>
        <w:rPr>
          <w:rFonts w:ascii="Times New Roman" w:eastAsia="Times New Roman"/>
          <w:b w:val="false"/>
          <w:bCs w:val="false"/>
          <w:i w:val="false"/>
          <w:iCs w:val="false"/>
          <w:color w:val="000000"/>
          <w:sz w:val="24"/>
          <w:szCs w:val="24"/>
        </w:rPr>
        <w:t xml:space="preserve">The second map runs in the evidence direction: it shows who produces each recurring artefact, who consumes it, and which go/no-go gate depends on it. Its purpose is to make the evidence chain legible before the first gate review, so that no committee meeting is spent discovering that a required artefact has no named producer. Every row names a role rather than a person; names are assigned at [Hospital Name] and recorded in the governance RACI (Board paper Section 4).</w:t>
      </w:r>
    </w:p>
    <w:p>
      <w:pPr>
        <w:keepNext/>
        <w:spacing w:after="80" w:before="200" w:line="312"/>
        <w:jc w:val="left"/>
      </w:pPr>
      <w:r>
        <w:rPr>
          <w:rFonts w:ascii="Times New Roman" w:eastAsia="Times New Roman"/>
          <w:b/>
          <w:bCs/>
          <w:color w:val="000000"/>
          <w:sz w:val="21"/>
          <w:szCs w:val="21"/>
        </w:rPr>
        <w:t xml:space="preserve">Table A-2. Evidence artefacts and the gates they feed</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373"/>
        <w:gridCol w:w="1933"/>
        <w:gridCol w:w="2109"/>
        <w:gridCol w:w="2373"/>
      </w:tblGrid>
      <w:tr>
        <w:trPr>
          <w:cantSplit/>
          <w:tblHeader/>
        </w:trPr>
        <w:tc>
          <w:tcPr>
            <w:tcW w:type="pct" w:w="13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Evidence artefact</w:t>
            </w:r>
          </w:p>
        </w:tc>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Produced by</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Consumed by</w:t>
            </w:r>
          </w:p>
        </w:tc>
        <w:tc>
          <w:tcPr>
            <w:tcW w:type="pct" w:w="13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Feeds</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Quantified test results (clinical and operational)</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test team with [Vendor]</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 review; Board pack</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G1 entry; G2 pilot verdict</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Frozen baseline and target set from the Master Catalogue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office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All four audience documents</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G1 baselines; G2 comparison</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test catalogue results (14-test set)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Hospital IT and Security</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readiness declaration</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G1 evidence (IT Sections 12-13)</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Probe-run evidence pack (transcripts, checks, verdict)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function</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 Board, IT</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G2 verdict; G4 renewed pack</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Monitoring extract (green/red cycle counts)</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PMO</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 weekly; Board monthly</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G3 monitoring condition</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Risk register review minutes</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board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and Risk Committee</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Standing; G4 register refresh</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Incident and near-miss log</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safety officer</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 Board</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Stop-rule triggers; postmortems</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realisation statement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owner]</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Board (financial stewardship)</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G4 continue/modify/retire</w:t>
            </w:r>
          </w:p>
        </w:tc>
      </w:tr>
      <w:tr>
        <w:trPr>
          <w:cantSplit/>
        </w:trPr>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Readiness declaration</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lead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Committee; Board</w:t>
            </w:r>
          </w:p>
        </w:tc>
        <w:tc>
          <w:tcPr>
            <w:tcW w:type="pct" w:w="13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G1 entry condition</w:t>
            </w:r>
          </w:p>
        </w:tc>
      </w:tr>
    </w:tbl>
    <w:p>
      <w:pPr>
        <w:spacing w:after="200" w:before="80" w:line="312"/>
        <w:jc w:val="left"/>
      </w:pPr>
      <w:r>
        <w:rPr>
          <w:rFonts w:ascii="Times New Roman" w:eastAsia="Times New Roman"/>
          <w:i/>
          <w:iCs/>
          <w:color w:val="595959"/>
          <w:sz w:val="18"/>
          <w:szCs w:val="18"/>
        </w:rPr>
        <w:t xml:space="preserve">Gate definitions and signatories are defined in Section 4 of this dossier and Board paper Section 8; stop rules in Board paper Section 8.2 override every gate.</w:t>
      </w:r>
    </w:p>
    <w:p>
      <w:pPr>
        <w:keepNext w:val="false"/>
        <w:spacing w:after="120" w:line="312"/>
        <w:jc w:val="left"/>
      </w:pPr>
      <w:r>
        <w:rPr>
          <w:rFonts w:ascii="Times New Roman" w:eastAsia="Times New Roman"/>
          <w:b w:val="false"/>
          <w:bCs w:val="false"/>
          <w:i w:val="false"/>
          <w:iCs w:val="false"/>
          <w:color w:val="000000"/>
          <w:sz w:val="24"/>
          <w:szCs w:val="24"/>
        </w:rPr>
        <w:t xml:space="preserve">Maintenance discipline for these maps is deliberately boring. When a section moves or a metric definition changes, the change is made in the Master Catalogue first, then propagated to the audience documents, and only then reflected here - the maps describe the set, they do not drive it. The traceability review is a standing item in the quarterly document control review recorded in each document's Document Control section, and an auditor or non-executive director should be able to pick any row of Table A-1 or A-2 and find, in one step, the named artefact and its current owner. A map that cannot survive that test is decoration, and this appendix is intended to survive it.</w:t>
      </w:r>
    </w:p>
    <w:p>
      <w:pPr>
        <w:pStyle w:val="Heading1"/>
        <w:keepNext/>
        <w:spacing w:after="160" w:before="360" w:line="312"/>
        <w:jc w:val="center"/>
      </w:pPr>
      <w:bookmarkStart w:id="100049" w:name="_Toc100049"/>
      <w:r>
        <w:rPr>
          <w:rFonts w:ascii="Times New Roman" w:eastAsia="SimHei"/>
          <w:b/>
          <w:bCs/>
          <w:color w:val="1A5276"/>
          <w:sz w:val="32"/>
          <w:szCs w:val="32"/>
        </w:rPr>
        <w:t xml:space="preserve">Document Control</w:t>
      </w:r>
      <w:bookmarkEnd w:id="100049"/>
    </w:p>
    <w:p>
      <w:pPr>
        <w:keepNext w:val="false"/>
        <w:spacing w:after="120" w:line="312"/>
        <w:jc w:val="left"/>
      </w:pPr>
      <w:r>
        <w:rPr>
          <w:rFonts w:ascii="Times New Roman" w:eastAsia="Times New Roman"/>
          <w:b w:val="false"/>
          <w:bCs w:val="false"/>
          <w:i w:val="false"/>
          <w:iCs w:val="false"/>
          <w:color w:val="000000"/>
          <w:sz w:val="24"/>
          <w:szCs w:val="24"/>
        </w:rPr>
        <w:t xml:space="preserve">This section records the status, ownership and review discipline of this document. It exists so that the document itself can be governed with the same rigour the programme expects from the AI systems it assessor-assures: every reader can see who owns it, when it was last changed, and when it must next be reviewed. All names, signatures and dates are placeholders until the named roles complete their review at [Hospital Name].</w:t>
      </w:r>
    </w:p>
    <w:p>
      <w:pPr>
        <w:keepNext/>
        <w:spacing w:after="80" w:before="200" w:line="312"/>
        <w:jc w:val="left"/>
      </w:pPr>
      <w:r>
        <w:rPr>
          <w:rFonts w:ascii="Times New Roman" w:eastAsia="Times New Roman"/>
          <w:b/>
          <w:bCs/>
          <w:color w:val="000000"/>
          <w:sz w:val="21"/>
          <w:szCs w:val="21"/>
        </w:rPr>
        <w:t xml:space="preserve">Table D-1. Version history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055"/>
        <w:gridCol w:w="1582"/>
        <w:gridCol w:w="2812"/>
        <w:gridCol w:w="3339"/>
      </w:tblGrid>
      <w:tr>
        <w:trPr>
          <w:cantSplit/>
          <w:tblHeader/>
        </w:trPr>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Version</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c>
          <w:tcPr>
            <w:tcW w:type="pct" w:w="1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Author</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Summary of changes</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0.1</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Provar Programme Office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Initial draft issued for stakeholder review and local completion.</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version]</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[Author]</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[Planned: insert hospital baselines, confirm owners, close placeholder fields.]</w:t>
            </w:r>
          </w:p>
        </w:tc>
      </w:tr>
    </w:tbl>
    <w:p>
      <w:pPr>
        <w:spacing w:after="200" w:before="80" w:line="312"/>
        <w:jc w:val="left"/>
      </w:pPr>
      <w:r>
        <w:rPr>
          <w:rFonts w:ascii="Times New Roman" w:eastAsia="Times New Roman"/>
          <w:i/>
          <w:iCs/>
          <w:color w:val="595959"/>
          <w:sz w:val="18"/>
          <w:szCs w:val="18"/>
        </w:rPr>
        <w:t xml:space="preserve">Version 0.1 content deliberately uses placeholders rather than invented hospital-specific values; see the section “How to read this document” and the basis tags used throughout.</w:t>
      </w:r>
    </w:p>
    <w:p>
      <w:pPr>
        <w:keepNext/>
        <w:spacing w:after="80" w:before="200" w:line="312"/>
        <w:jc w:val="left"/>
      </w:pPr>
      <w:r>
        <w:rPr>
          <w:rFonts w:ascii="Times New Roman" w:eastAsia="Times New Roman"/>
          <w:b/>
          <w:bCs/>
          <w:color w:val="000000"/>
          <w:sz w:val="21"/>
          <w:szCs w:val="21"/>
        </w:rPr>
        <w:t xml:space="preserve">Table D-2. Review and approval</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2285"/>
        <w:gridCol w:w="2109"/>
        <w:gridCol w:w="1758"/>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Name</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Signature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director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safety officer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Information governance lead</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Finance business partner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bl>
    <w:p>
      <w:pPr>
        <w:spacing w:after="200" w:before="80" w:line="312"/>
        <w:jc w:val="left"/>
      </w:pPr>
      <w:r>
        <w:rPr>
          <w:rFonts w:ascii="Times New Roman" w:eastAsia="Times New Roman"/>
          <w:i/>
          <w:iCs/>
          <w:color w:val="595959"/>
          <w:sz w:val="18"/>
          <w:szCs w:val="18"/>
        </w:rPr>
        <w:t xml:space="preserve">Sign-off confirms only that the signatory has reviewed the document for their domain; it does not by itself discharge any gate in the go/no-go framework.</w:t>
      </w:r>
    </w:p>
    <w:p>
      <w:pPr>
        <w:keepNext/>
        <w:spacing w:after="80" w:before="200" w:line="312"/>
        <w:jc w:val="left"/>
      </w:pPr>
      <w:r>
        <w:rPr>
          <w:rFonts w:ascii="Times New Roman" w:eastAsia="Times New Roman"/>
          <w:b/>
          <w:bCs/>
          <w:color w:val="000000"/>
          <w:sz w:val="21"/>
          <w:szCs w:val="21"/>
        </w:rPr>
        <w:t xml:space="preserve">Table D-3. Custody and review discipline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6152"/>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Attribute</w:t>
            </w:r>
          </w:p>
        </w:tc>
        <w:tc>
          <w:tcPr>
            <w:tcW w:type="pct" w:w="3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Value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Classification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Internal — Governance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Distribution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leadership; working group chairs; internal audit on request</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Storage location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 management system reference]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cadence</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Quarterly, and on any material change to scope, vendor or regulation</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scheduled review</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Related documents</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CCOO Brief; Board Assurance Paper; IT Readiness and Infrastructure Design (this dossier is the definition source for shared metrics)</w:t>
            </w:r>
          </w:p>
        </w:tc>
      </w:tr>
    </w:tbl>
    <w:p>
      <w:pPr>
        <w:spacing w:after="200" w:before="80" w:line="312"/>
        <w:jc w:val="left"/>
      </w:pPr>
      <w:r>
        <w:rPr>
          <w:rFonts w:ascii="Times New Roman" w:eastAsia="Times New Roman"/>
          <w:i/>
          <w:iCs/>
          <w:color w:val="595959"/>
          <w:sz w:val="18"/>
          <w:szCs w:val="18"/>
        </w:rPr>
        <w:t xml:space="preserve">Classification and distribution are set by [Hospital Name] information governance; the defaults above are structural suggestions, not decisions.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2" w:space="4"/>
      </w:pBdr>
      <w:jc w:val="center"/>
    </w:pPr>
    <w:r>
      <w:rPr>
        <w:rFonts w:ascii="Times New Roman" w:eastAsia="Times New Roman"/>
        <w:color w:val="888888"/>
        <w:sz w:val="18"/>
        <w:szCs w:val="18"/>
      </w:rPr>
      <w:t xml:space="preserve">Hospital AI Programme — Cross-Cutting Assurance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5276"/>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5276"/>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5276"/>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Cross-Cutting Assurance Dossier</dc:title>
  <dc:creator>Provar Programme Office</dc:creator>
  <dc:description>Infrastructure, Metrics, Go/No-Go, Impact, Debate FAQ, SWOT and Risk Register</dc:description>
  <cp:lastModifiedBy>Un-named</cp:lastModifiedBy>
  <cp:revision>1</cp:revision>
  <dcterms:created xsi:type="dcterms:W3CDTF">2026-10-05T04:30:50.030Z</dcterms:created>
  <dcterms:modified xsi:type="dcterms:W3CDTF">2026-10-05T04:30:50.030Z</dcterms:modified>
</cp:coreProperties>
</file>

<file path=docProps/custom.xml><?xml version="1.0" encoding="utf-8"?>
<Properties xmlns="http://schemas.openxmlformats.org/officeDocument/2006/custom-properties" xmlns:vt="http://schemas.openxmlformats.org/officeDocument/2006/docPropsVTypes"/>
</file>