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5F8FC" w:val="clear"/>
            <w:vAlign w:val="top"/>
          </w:tcPr>
          <w:p>
            <w:pPr>
              <w:spacing w:before="3588"/>
            </w:pPr>
          </w:p>
          <w:p>
            <w:pPr>
              <w:pBdr>
                <w:bottom w:val="single" w:color="2E86C1" w:sz="6" w:space="8"/>
              </w:pBdr>
              <w:spacing w:after="500"/>
              <w:ind w:left="1200" w:right="800"/>
            </w:pPr>
            <w:r>
              <w:rPr>
                <w:rFonts w:ascii="Calibri" w:eastAsia="SimHei"/>
                <w:color w:val="2E86C1"/>
                <w:spacing w:val="40"/>
                <w:sz w:val="18"/>
                <w:szCs w:val="18"/>
              </w:rPr>
              <w:t xml:space="preserve">P  R  O  V  A  R     P  R  O  G  R  A  M  M  E</w:t>
            </w:r>
          </w:p>
          <w:p>
            <w:pPr>
              <w:spacing w:after="100" w:line="920" w:lineRule="atLeast"/>
              <w:ind w:left="1200"/>
            </w:pPr>
            <w:r>
              <w:rPr>
                <w:rFonts w:ascii="Arial" w:eastAsia="SimHei"/>
                <w:b/>
                <w:bCs/>
                <w:color w:val="1A5276"/>
                <w:sz w:val="80"/>
                <w:szCs w:val="80"/>
              </w:rPr>
              <w:t xml:space="preserve">Technical Readiness</w:t>
            </w:r>
          </w:p>
          <w:p>
            <w:pPr>
              <w:spacing w:after="100" w:line="920" w:lineRule="atLeast"/>
              <w:ind w:left="1200"/>
            </w:pPr>
            <w:r>
              <w:rPr>
                <w:rFonts w:ascii="Arial" w:eastAsia="SimHei"/>
                <w:b/>
                <w:bCs/>
                <w:color w:val="1A5276"/>
                <w:sz w:val="80"/>
                <w:szCs w:val="80"/>
              </w:rPr>
              <w:t xml:space="preserve">and Infrastructure</w:t>
            </w:r>
          </w:p>
          <w:p>
            <w:pPr>
              <w:spacing w:after="300" w:line="920" w:lineRule="atLeast"/>
              <w:ind w:left="1200"/>
            </w:pPr>
            <w:r>
              <w:rPr>
                <w:rFonts w:ascii="Arial" w:eastAsia="SimHei"/>
                <w:b/>
                <w:bCs/>
                <w:color w:val="1A5276"/>
                <w:sz w:val="80"/>
                <w:szCs w:val="80"/>
              </w:rPr>
              <w:t xml:space="preserve">Design</w:t>
            </w:r>
          </w:p>
          <w:p>
            <w:pPr>
              <w:spacing w:after="800"/>
              <w:ind w:left="1200"/>
            </w:pPr>
            <w:r>
              <w:rPr>
                <w:rFonts w:ascii="Arial" w:eastAsia="Microsoft YaHei"/>
                <w:color w:val="606060"/>
                <w:sz w:val="24"/>
                <w:szCs w:val="24"/>
              </w:rPr>
              <w:t xml:space="preserve">For the Hospital IT and Information Security Community</w:t>
            </w:r>
          </w:p>
          <w:p>
            <w:pPr>
              <w:pBdr>
                <w:left w:val="single" w:color="2E86C1" w:sz="8" w:space="12"/>
              </w:pBdr>
              <w:spacing w:after="80"/>
              <w:ind w:left="1400"/>
            </w:pPr>
            <w:r>
              <w:rPr>
                <w:rFonts w:ascii="Arial" w:eastAsia="Microsoft YaHei"/>
                <w:color w:val="707070"/>
                <w:sz w:val="24"/>
                <w:szCs w:val="24"/>
              </w:rPr>
              <w:t xml:space="preserve">Prepared for: [Hospital Name] IT, Security and Integration teams</w:t>
            </w:r>
          </w:p>
          <w:p>
            <w:pPr>
              <w:pBdr>
                <w:left w:val="single" w:color="2E86C1" w:sz="8" w:space="12"/>
              </w:pBdr>
              <w:spacing w:after="80"/>
              <w:ind w:left="1400"/>
            </w:pPr>
            <w:r>
              <w:rPr>
                <w:rFonts w:ascii="Arial" w:eastAsia="Microsoft YaHei"/>
                <w:color w:val="707070"/>
                <w:sz w:val="24"/>
                <w:szCs w:val="24"/>
              </w:rPr>
              <w:t xml:space="preserve">Scope: Network, compute, security, integration, backup/DR, endpoints, monitoring</w:t>
            </w:r>
          </w:p>
          <w:p>
            <w:pPr>
              <w:pBdr>
                <w:left w:val="single" w:color="2E86C1" w:sz="8" w:space="12"/>
              </w:pBdr>
              <w:spacing w:after="80"/>
              <w:ind w:left="1400"/>
            </w:pPr>
            <w:r>
              <w:rPr>
                <w:rFonts w:ascii="Arial" w:eastAsia="Microsoft YaHei"/>
                <w:color w:val="707070"/>
                <w:sz w:val="24"/>
                <w:szCs w:val="24"/>
              </w:rPr>
              <w:t xml:space="preserve">Status: Version 0.1 draft for review — [Date]</w:t>
            </w:r>
          </w:p>
          <w:p>
            <w:pPr>
              <w:pBdr>
                <w:left w:val="single" w:color="2E86C1" w:sz="8" w:space="12"/>
              </w:pBdr>
              <w:spacing w:after="80"/>
              <w:ind w:left="1400"/>
            </w:pPr>
            <w:r>
              <w:rPr>
                <w:rFonts w:ascii="Arial" w:eastAsia="Microsoft YaHei"/>
                <w:color w:val="707070"/>
                <w:sz w:val="24"/>
                <w:szCs w:val="24"/>
              </w:rPr>
              <w:t xml:space="preserve">Classification: Internal — Technical</w:t>
            </w:r>
          </w:p>
          <w:p>
            <w:pPr>
              <w:spacing w:before="3588"/>
            </w:pPr>
          </w:p>
          <w:p>
            <w:pPr>
              <w:pBdr>
                <w:top w:val="single" w:color="2E86C1" w:sz="2" w:space="8"/>
              </w:pBdr>
              <w:spacing w:before="200"/>
              <w:ind w:left="1200" w:right="800"/>
            </w:pPr>
            <w:r>
              <w:rPr>
                <w:rFonts w:ascii="Arial"/>
                <w:color w:val="A0A0A0"/>
                <w:sz w:val="16"/>
                <w:szCs w:val="16"/>
              </w:rPr>
              <w:t xml:space="preserve">Provar — assurance layer for hospital AI</w:t>
            </w:r>
            <w:r>
              <w:t xml:space="preserve">                                        </w:t>
            </w:r>
            <w:r>
              <w:rPr>
                <w:rFonts w:ascii="Arial"/>
                <w:color w:val="A0A0A0"/>
                <w:sz w:val="16"/>
                <w:szCs w:val="16"/>
              </w:rPr>
              <w:t xml:space="preserve">[Hospital Name]</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1A5276"/>
          <w:sz w:val="32"/>
          <w:szCs w:val="32"/>
        </w:rPr>
        <w:t xml:space="preserve">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Scope, Audience and Design Principles</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Reference Architecture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3.1 Logical layers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3.2 Component inventory</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4. Network Design</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4.1 Zones and segmentation</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4.2 Firewall policy and traffic matrix</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4.3 Transport security and latency budgets</w:t>
            </w:r>
            <w:r>
              <w:tab/>
            </w:r>
            <w:r>
              <w:fldChar w:fldCharType="begin"/>
            </w:r>
            <w:r>
              <w:instrText xml:space="preserve"> PAGEREF _Toc100008 \h </w:instrText>
            </w:r>
            <w:r>
              <w:fldChar w:fldCharType="separate"/>
            </w:r>
            <w:r>
              <w:t>4</w:t>
            </w:r>
            <w:r>
              <w:fldChar w:fldCharType="end"/>
            </w:r>
          </w:hyperlink>
        </w:p>
        <w:p>
          <w:pPr>
            <w:pStyle w:val="9"/>
            <w:tabs>
              <w:tab w:val="right" w:leader="dot" w:pos="9026"/>
            </w:tabs>
            <w:spacing w:before="120" w:after="60"/>
          </w:pPr>
          <w:hyperlink w:anchor="_Toc100009" w:history="1">
            <w:r>
              <w:rPr>
                <w:rStyle w:val="Hyperlink"/>
              </w:rPr>
              <w:t>5. Compute and Storage</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5.1 Sizing method, not invented numbers</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5.2 Storage, retention and data flows</w:t>
            </w:r>
            <w:r>
              <w:tab/>
            </w:r>
            <w:r>
              <w:fldChar w:fldCharType="begin"/>
            </w:r>
            <w:r>
              <w:instrText xml:space="preserve"> PAGEREF _Toc100011 \h </w:instrText>
            </w:r>
            <w:r>
              <w:fldChar w:fldCharType="separate"/>
            </w:r>
            <w:r>
              <w:t>5</w:t>
            </w:r>
            <w:r>
              <w:fldChar w:fldCharType="end"/>
            </w:r>
          </w:hyperlink>
        </w:p>
        <w:p>
          <w:pPr>
            <w:pStyle w:val="9"/>
            <w:tabs>
              <w:tab w:val="right" w:leader="dot" w:pos="9026"/>
            </w:tabs>
            <w:spacing w:before="120" w:after="60"/>
          </w:pPr>
          <w:hyperlink w:anchor="_Toc100012" w:history="1">
            <w:r>
              <w:rPr>
                <w:rStyle w:val="Hyperlink"/>
              </w:rPr>
              <w:t>6. Integration Design</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6.1 Patterns and standards</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6.2 Error handling, backpressure and timeouts</w:t>
            </w:r>
            <w:r>
              <w:tab/>
            </w:r>
            <w:r>
              <w:fldChar w:fldCharType="begin"/>
            </w:r>
            <w:r>
              <w:instrText xml:space="preserve"> PAGEREF _Toc100014 \h </w:instrText>
            </w:r>
            <w:r>
              <w:fldChar w:fldCharType="separate"/>
            </w:r>
            <w:r>
              <w:t>6</w:t>
            </w:r>
            <w:r>
              <w:fldChar w:fldCharType="end"/>
            </w:r>
          </w:hyperlink>
        </w:p>
        <w:p>
          <w:pPr>
            <w:pStyle w:val="9"/>
            <w:tabs>
              <w:tab w:val="right" w:leader="dot" w:pos="9026"/>
            </w:tabs>
            <w:spacing w:before="120" w:after="60"/>
          </w:pPr>
          <w:hyperlink w:anchor="_Toc100015" w:history="1">
            <w:r>
              <w:rPr>
                <w:rStyle w:val="Hyperlink"/>
              </w:rPr>
              <w:t>7. Security Architecture</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7.1 Identity, authorisation and secrets</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7.2 De-identification pipeline controls</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7.3 Audit chain and logging</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7.4 Threat model summary and standards mapping</w:t>
            </w:r>
            <w:r>
              <w:tab/>
            </w:r>
            <w:r>
              <w:fldChar w:fldCharType="begin"/>
            </w:r>
            <w:r>
              <w:instrText xml:space="preserve"> PAGEREF _Toc100019 \h </w:instrText>
            </w:r>
            <w:r>
              <w:fldChar w:fldCharType="separate"/>
            </w:r>
            <w:r>
              <w:t>7</w:t>
            </w:r>
            <w:r>
              <w:fldChar w:fldCharType="end"/>
            </w:r>
          </w:hyperlink>
        </w:p>
        <w:p>
          <w:pPr>
            <w:pStyle w:val="9"/>
            <w:tabs>
              <w:tab w:val="right" w:leader="dot" w:pos="9026"/>
            </w:tabs>
            <w:spacing w:before="120" w:after="60"/>
          </w:pPr>
          <w:hyperlink w:anchor="_Toc100020" w:history="1">
            <w:r>
              <w:rPr>
                <w:rStyle w:val="Hyperlink"/>
              </w:rPr>
              <w:t>8. Backup, Recovery and Disaster Recovery</w:t>
            </w:r>
            <w:r>
              <w:tab/>
            </w:r>
            <w:r>
              <w:fldChar w:fldCharType="begin"/>
            </w:r>
            <w:r>
              <w:instrText xml:space="preserve"> PAGEREF _Toc100020 \h </w:instrText>
            </w:r>
            <w:r>
              <w:fldChar w:fldCharType="separate"/>
            </w:r>
            <w:r>
              <w:t>7</w:t>
            </w:r>
            <w:r>
              <w:fldChar w:fldCharType="end"/>
            </w:r>
          </w:hyperlink>
        </w:p>
        <w:p>
          <w:pPr>
            <w:pStyle w:val="9"/>
            <w:tabs>
              <w:tab w:val="right" w:leader="dot" w:pos="9026"/>
            </w:tabs>
            <w:spacing w:before="120" w:after="60"/>
          </w:pPr>
          <w:hyperlink w:anchor="_Toc100021" w:history="1">
            <w:r>
              <w:rPr>
                <w:rStyle w:val="Hyperlink"/>
              </w:rPr>
              <w:t>9. Endpoint Strategy</w:t>
            </w:r>
            <w:r>
              <w:tab/>
            </w:r>
            <w:r>
              <w:fldChar w:fldCharType="begin"/>
            </w:r>
            <w:r>
              <w:instrText xml:space="preserve"> PAGEREF _Toc100021 \h </w:instrText>
            </w:r>
            <w:r>
              <w:fldChar w:fldCharType="separate"/>
            </w:r>
            <w:r>
              <w:t>8</w:t>
            </w:r>
            <w:r>
              <w:fldChar w:fldCharType="end"/>
            </w:r>
          </w:hyperlink>
        </w:p>
        <w:p>
          <w:pPr>
            <w:pStyle w:val="9"/>
            <w:tabs>
              <w:tab w:val="right" w:leader="dot" w:pos="9026"/>
            </w:tabs>
            <w:spacing w:before="120" w:after="60"/>
          </w:pPr>
          <w:hyperlink w:anchor="_Toc100022" w:history="1">
            <w:r>
              <w:rPr>
                <w:rStyle w:val="Hyperlink"/>
              </w:rPr>
              <w:t>10. Monitoring and Observability</w:t>
            </w:r>
            <w:r>
              <w:tab/>
            </w:r>
            <w:r>
              <w:fldChar w:fldCharType="begin"/>
            </w:r>
            <w:r>
              <w:instrText xml:space="preserve"> PAGEREF _Toc100022 \h </w:instrText>
            </w:r>
            <w:r>
              <w:fldChar w:fldCharType="separate"/>
            </w:r>
            <w:r>
              <w:t>9</w:t>
            </w:r>
            <w:r>
              <w:fldChar w:fldCharType="end"/>
            </w:r>
          </w:hyperlink>
        </w:p>
        <w:p>
          <w:pPr>
            <w:pStyle w:val="9"/>
            <w:tabs>
              <w:tab w:val="right" w:leader="dot" w:pos="9026"/>
            </w:tabs>
            <w:spacing w:before="120" w:after="60"/>
          </w:pPr>
          <w:hyperlink w:anchor="_Toc100023" w:history="1">
            <w:r>
              <w:rPr>
                <w:rStyle w:val="Hyperlink"/>
              </w:rPr>
              <w:t>11. Environments, Change Control and Model Release</w:t>
            </w:r>
            <w:r>
              <w:tab/>
            </w:r>
            <w:r>
              <w:fldChar w:fldCharType="begin"/>
            </w:r>
            <w:r>
              <w:instrText xml:space="preserve"> PAGEREF _Toc100023 \h </w:instrText>
            </w:r>
            <w:r>
              <w:fldChar w:fldCharType="separate"/>
            </w:r>
            <w:r>
              <w:t>9</w:t>
            </w:r>
            <w:r>
              <w:fldChar w:fldCharType="end"/>
            </w:r>
          </w:hyperlink>
        </w:p>
        <w:p>
          <w:pPr>
            <w:pStyle w:val="9"/>
            <w:tabs>
              <w:tab w:val="right" w:leader="dot" w:pos="9026"/>
            </w:tabs>
            <w:spacing w:before="120" w:after="60"/>
          </w:pPr>
          <w:hyperlink w:anchor="_Toc100024" w:history="1">
            <w:r>
              <w:rPr>
                <w:rStyle w:val="Hyperlink"/>
              </w:rPr>
              <w:t>12. IT-Specific Tests</w:t>
            </w:r>
            <w:r>
              <w:tab/>
            </w:r>
            <w:r>
              <w:fldChar w:fldCharType="begin"/>
            </w:r>
            <w:r>
              <w:instrText xml:space="preserve"> PAGEREF _Toc100024 \h </w:instrText>
            </w:r>
            <w:r>
              <w:fldChar w:fldCharType="separate"/>
            </w:r>
            <w:r>
              <w:t>10</w:t>
            </w:r>
            <w:r>
              <w:fldChar w:fldCharType="end"/>
            </w:r>
          </w:hyperlink>
        </w:p>
        <w:p>
          <w:pPr>
            <w:pStyle w:val="9"/>
            <w:tabs>
              <w:tab w:val="right" w:leader="dot" w:pos="9026"/>
            </w:tabs>
            <w:spacing w:before="120" w:after="60"/>
          </w:pPr>
          <w:hyperlink w:anchor="_Toc100025" w:history="1">
            <w:r>
              <w:rPr>
                <w:rStyle w:val="Hyperlink"/>
              </w:rPr>
              <w:t>13. Readiness Declaration and Sign-off</w:t>
            </w:r>
            <w:r>
              <w:tab/>
            </w:r>
            <w:r>
              <w:fldChar w:fldCharType="begin"/>
            </w:r>
            <w:r>
              <w:instrText xml:space="preserve"> PAGEREF _Toc100025 \h </w:instrText>
            </w:r>
            <w:r>
              <w:fldChar w:fldCharType="separate"/>
            </w:r>
            <w:r>
              <w:t>10</w:t>
            </w:r>
            <w:r>
              <w:fldChar w:fldCharType="end"/>
            </w:r>
          </w:hyperlink>
        </w:p>
        <w:p>
          <w:pPr>
            <w:pStyle w:val="9"/>
            <w:tabs>
              <w:tab w:val="right" w:leader="dot" w:pos="9026"/>
            </w:tabs>
            <w:spacing w:before="120" w:after="60"/>
          </w:pPr>
          <w:hyperlink w:anchor="_Toc100026" w:history="1">
            <w:r>
              <w:rPr>
                <w:rStyle w:val="Hyperlink"/>
              </w:rPr>
              <w:t>14. Assumptions, Unknowns and Open Questions</w:t>
            </w:r>
            <w:r>
              <w:tab/>
            </w:r>
            <w:r>
              <w:fldChar w:fldCharType="begin"/>
            </w:r>
            <w:r>
              <w:instrText xml:space="preserve"> PAGEREF _Toc100026 \h </w:instrText>
            </w:r>
            <w:r>
              <w:fldChar w:fldCharType="separate"/>
            </w:r>
            <w:r>
              <w:t>11</w:t>
            </w:r>
            <w:r>
              <w:fldChar w:fldCharType="end"/>
            </w:r>
          </w:hyperlink>
        </w:p>
        <w:p>
          <w:pPr>
            <w:pStyle w:val="9"/>
            <w:tabs>
              <w:tab w:val="right" w:leader="dot" w:pos="9026"/>
            </w:tabs>
            <w:spacing w:before="120" w:after="60"/>
          </w:pPr>
          <w:hyperlink w:anchor="_Toc100027" w:history="1">
            <w:r>
              <w:rPr>
                <w:rStyle w:val="Hyperlink"/>
              </w:rPr>
              <w:t>Document Control</w:t>
            </w:r>
            <w:r>
              <w:tab/>
            </w:r>
            <w:r>
              <w:fldChar w:fldCharType="begin"/>
            </w:r>
            <w:r>
              <w:instrText xml:space="preserve"> PAGEREF _Toc100027 \h </w:instrText>
            </w:r>
            <w:r>
              <w:fldChar w:fldCharType="separate"/>
            </w:r>
            <w:r>
              <w:t>11</w:t>
            </w:r>
            <w:r>
              <w:fldChar w:fldCharType="end"/>
            </w:r>
          </w:hyperlink>
        </w:p>
        <w:p>
          <w:r>
            <w:fldChar w:fldCharType="end"/>
          </w:r>
        </w:p>
      </w:sdtContent>
    </w:sdt>
    <w:p>
      <w:pPr>
        <w:spacing w:before="200"/>
      </w:pPr>
      <w:r>
        <w:rPr>
          <w:rFonts w:ascii="Times New Roman" w:eastAsia="Times New Roman"/>
          <w:i/>
          <w:iCs/>
          <w:color w:val="888888"/>
          <w:sz w:val="18"/>
          <w:szCs w:val="18"/>
        </w:rPr>
        <w:t xml:space="preserve">Note: This Table of Contents is generated via field codes. To ensure page number accuracy after editing, please right-click the TOC and select "Update Field."</w:t>
      </w:r>
      <w:r>
        <w:br w:type="page"/>
      </w:r>
    </w:p>
    <w:p>
      <w:pPr>
        <w:sectPr>
          <w:footerReference w:type="default" r:id="rId6"/>
          <w:type w:val="nextPage"/>
          <w:pgSz w:w="11906" w:h="16838" w:orient="portrait"/>
          <w:pgMar w:top="1440" w:right="1417" w:bottom="1440" w:left="1701" w:header="708" w:footer="708" w:gutter="0"/>
          <w:pgNumType w:start="1" w:fmt="upperRoman"/>
          <w:docGrid w:linePitch="360"/>
        </w:sectPr>
      </w:pPr>
    </w:p>
    <w:p>
      <w:pPr>
        <w:pStyle w:val="Heading1"/>
        <w:keepNext/>
        <w:spacing w:after="160" w:before="360" w:line="312"/>
        <w:jc w:val="center"/>
      </w:pPr>
      <w:bookmarkStart w:id="100000" w:name="_Toc100000"/>
      <w:r>
        <w:rPr>
          <w:rFonts w:ascii="Times New Roman" w:eastAsia="SimHei"/>
          <w:b/>
          <w:bCs/>
          <w:color w:val="1A5276"/>
          <w:sz w:val="32"/>
          <w:szCs w:val="32"/>
        </w:rPr>
        <w:t xml:space="preserve">1. Executive Summary</w:t>
      </w:r>
      <w:bookmarkEnd w:id="100000"/>
    </w:p>
    <w:p>
      <w:pPr>
        <w:keepNext w:val="false"/>
        <w:spacing w:after="120" w:line="312"/>
        <w:jc w:val="left"/>
      </w:pPr>
      <w:r>
        <w:rPr>
          <w:rFonts w:ascii="Times New Roman" w:eastAsia="Times New Roman"/>
          <w:b w:val="false"/>
          <w:bCs w:val="false"/>
          <w:i w:val="false"/>
          <w:iCs w:val="false"/>
          <w:color w:val="000000"/>
          <w:sz w:val="24"/>
          <w:szCs w:val="24"/>
        </w:rPr>
        <w:t xml:space="preserve">This document defines the technical readiness baseline and the infrastructure design for hosting and assuring hospital AI services at [Hospital Name]. It covers network architecture, compute and storage, integration with clinical systems, security architecture, backup and disaster recovery, endpoints, monitoring, environment and change management, and the IT-specific tests that must pass before any clinical pilot is declared ready. It is written by and for the IT community; clinical interpretation of the same programme is in the CCOO Brief and the Board Assurance Paper.</w:t>
      </w:r>
    </w:p>
    <w:p>
      <w:pPr>
        <w:keepNext w:val="false"/>
        <w:spacing w:after="120" w:line="312"/>
        <w:jc w:val="left"/>
      </w:pPr>
      <w:r>
        <w:rPr>
          <w:rFonts w:ascii="Times New Roman" w:eastAsia="Times New Roman"/>
          <w:b w:val="false"/>
          <w:bCs w:val="false"/>
          <w:i w:val="false"/>
          <w:iCs w:val="false"/>
          <w:color w:val="000000"/>
          <w:sz w:val="24"/>
          <w:szCs w:val="24"/>
        </w:rPr>
        <w:t xml:space="preserve">The design principle that shapes everything else: clinical systems remain the source of truth and the AI estate is an append-only set of advisory services around them. AI services must be independently deployable, independently rollbackable, and independently killable without touching the EHR. Every component ships with telemetry, every interface has a fallback, and every model has a versioned, re-testable release record. Where this document says must, the item is a gate condition; where it says should, a deviation requires a recorded decision [Best practice].</w:t>
      </w:r>
    </w:p>
    <w:p>
      <w:pPr>
        <w:keepNext w:val="false"/>
        <w:spacing w:after="120" w:line="312"/>
        <w:jc w:val="left"/>
      </w:pPr>
      <w:r>
        <w:rPr>
          <w:rFonts w:ascii="Times New Roman" w:eastAsia="Times New Roman"/>
          <w:b w:val="false"/>
          <w:bCs w:val="false"/>
          <w:i w:val="false"/>
          <w:iCs w:val="false"/>
          <w:color w:val="000000"/>
          <w:sz w:val="24"/>
          <w:szCs w:val="24"/>
        </w:rPr>
        <w:t xml:space="preserve">A note on the reference stack used in examples. Component names such as OpenEMR, Medplum (FHIR server), OpenHIM (interoperability layer), vLLM (model serving), BioMistral-7B (open-weight clinical language model), Presidio/medspaCy (de-identification) and ONNX Runtime (imaging inference) appear throughout as the hospital's current reference implementation [Local Assumption]. The design is intentionally portable: any component can be replaced by an equivalent that satisfies the same interface and the same gate tests. Nothing in this document is an endorsement, and no licensing or intended-use claim is repeated from vendors; licences and intended-use statements must be verified per component [To be confirmed].</w:t>
      </w:r>
    </w:p>
    <w:p>
      <w:pPr>
        <w:pStyle w:val="Heading1"/>
        <w:keepNext/>
        <w:spacing w:after="160" w:before="360" w:line="312"/>
        <w:jc w:val="center"/>
      </w:pPr>
      <w:bookmarkStart w:id="100001" w:name="_Toc100001"/>
      <w:r>
        <w:rPr>
          <w:rFonts w:ascii="Times New Roman" w:eastAsia="SimHei"/>
          <w:b/>
          <w:bCs/>
          <w:color w:val="1A5276"/>
          <w:sz w:val="32"/>
          <w:szCs w:val="32"/>
        </w:rPr>
        <w:t xml:space="preserve">2. Scope, Audience and Design Principles</w:t>
      </w:r>
      <w:bookmarkEnd w:id="100001"/>
    </w:p>
    <w:p>
      <w:pPr>
        <w:keepNext w:val="false"/>
        <w:spacing w:after="120" w:line="312"/>
        <w:jc w:val="left"/>
      </w:pPr>
      <w:r>
        <w:rPr>
          <w:rFonts w:ascii="Times New Roman" w:eastAsia="Times New Roman"/>
          <w:b w:val="false"/>
          <w:bCs w:val="false"/>
          <w:i w:val="false"/>
          <w:iCs w:val="false"/>
          <w:color w:val="000000"/>
          <w:sz w:val="24"/>
          <w:szCs w:val="24"/>
        </w:rPr>
        <w:t xml:space="preserve">In scope: the AI services platform (inference, retrieval, de-identification, assurance probes, evidence storage), its integration with the EHR and PACS/echo systems, the network and security perimeter around it, and the operational practices (monitoring, backup, change control) that keep it running. Out of scope: PACS replacement, general hospital data-centre strategy, and any non-AI analytics estate; those follow existing hospital IT strategy [Local Assumption].</w:t>
      </w:r>
    </w:p>
    <w:p>
      <w:pPr>
        <w:keepNext/>
        <w:spacing w:after="80" w:before="200" w:line="312"/>
        <w:jc w:val="left"/>
      </w:pPr>
      <w:r>
        <w:rPr>
          <w:rFonts w:ascii="Times New Roman" w:eastAsia="Times New Roman"/>
          <w:b/>
          <w:bCs/>
          <w:color w:val="000000"/>
          <w:sz w:val="21"/>
          <w:szCs w:val="21"/>
        </w:rPr>
        <w:t xml:space="preserve">Table 2.1 - Design principles and their practical consequences</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2285"/>
        <w:gridCol w:w="3867"/>
        <w:gridCol w:w="2636"/>
      </w:tblGrid>
      <w:tr>
        <w:trPr>
          <w:cantSplit/>
          <w:tblHeader/>
        </w:trPr>
        <w:tc>
          <w:tcPr>
            <w:tcW w:type="pct" w:w="13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Principle</w:t>
            </w:r>
          </w:p>
        </w:tc>
        <w:tc>
          <w:tcPr>
            <w:tcW w:type="pct" w:w="22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Practical consequence</w:t>
            </w:r>
          </w:p>
        </w:tc>
        <w:tc>
          <w:tcPr>
            <w:tcW w:type="pct" w:w="15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Primary test that enforces it</w:t>
            </w:r>
          </w:p>
        </w:tc>
      </w:tr>
      <w:tr>
        <w:trPr>
          <w:cantSplit/>
        </w:trPr>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Human-in-command by architecture</w:t>
            </w:r>
          </w:p>
        </w:tc>
        <w:tc>
          <w:tcPr>
            <w:tcW w:type="pct" w:w="2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No AI service holds write authority to orders, notes or prescriptions; outputs land as advisory artifacts with provenance.</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Integration test: write-authority matrix deny test</w:t>
            </w:r>
          </w:p>
        </w:tc>
      </w:tr>
      <w:tr>
        <w:trPr>
          <w:cantSplit/>
        </w:trPr>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Loose coupling via standards</w:t>
            </w:r>
          </w:p>
        </w:tc>
        <w:tc>
          <w:tcPr>
            <w:tcW w:type="pct" w:w="2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HL7 FHIR R4 APIs and CDS Hooks contracts; no point-to-point database links from AI services to clinical databases.</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Interface inventory audit; network flow review</w:t>
            </w:r>
          </w:p>
        </w:tc>
      </w:tr>
      <w:tr>
        <w:trPr>
          <w:cantSplit/>
        </w:trPr>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Fail visible, fail safe</w:t>
            </w:r>
          </w:p>
        </w:tc>
        <w:tc>
          <w:tcPr>
            <w:tcW w:type="pct" w:w="2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Every AI dependency degrades to the manual workflow with a user-visible state; no silent fallbacks, no silent caches.</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Failover drill per workflow</w:t>
            </w:r>
          </w:p>
        </w:tc>
      </w:tr>
      <w:tr>
        <w:trPr>
          <w:cantSplit/>
        </w:trPr>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Everything measurable</w:t>
            </w:r>
          </w:p>
        </w:tc>
        <w:tc>
          <w:tcPr>
            <w:tcW w:type="pct" w:w="2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Structured logs, metrics and traces for every request; token-level accounting for language models; latency budgets per interface.</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Observability checklist at G1</w:t>
            </w:r>
          </w:p>
        </w:tc>
      </w:tr>
      <w:tr>
        <w:trPr>
          <w:cantSplit/>
        </w:trPr>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Privacy by design</w:t>
            </w:r>
          </w:p>
        </w:tc>
        <w:tc>
          <w:tcPr>
            <w:tcW w:type="pct" w:w="2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Identified data stays in the clinical zone; AI services consume de-identified or minimum-necessary data; probes verify leakage.</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De-id probe suite; flow audit</w:t>
            </w:r>
          </w:p>
        </w:tc>
      </w:tr>
      <w:tr>
        <w:trPr>
          <w:cantSplit/>
        </w:trPr>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Reproducible releases</w:t>
            </w:r>
          </w:p>
        </w:tc>
        <w:tc>
          <w:tcPr>
            <w:tcW w:type="pct" w:w="2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Model + prompt + index + config are versioned as one release unit; every gate decision maps to a release hash.</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Release registry audit</w:t>
            </w:r>
          </w:p>
        </w:tc>
      </w:tr>
      <w:tr>
        <w:trPr>
          <w:cantSplit/>
        </w:trPr>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Least privilege, segmented zones</w:t>
            </w:r>
          </w:p>
        </w:tc>
        <w:tc>
          <w:tcPr>
            <w:tcW w:type="pct" w:w="2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AI services run in a dedicated zone; only brokered interfaces cross; service accounts are single-purpose.</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Firewall matrix audit; pen test</w:t>
            </w:r>
          </w:p>
        </w:tc>
      </w:tr>
    </w:tbl>
    <w:p>
      <w:pPr>
        <w:spacing w:after="200" w:before="80" w:line="312"/>
        <w:jc w:val="left"/>
      </w:pPr>
      <w:r>
        <w:rPr>
          <w:rFonts w:ascii="Times New Roman" w:eastAsia="Times New Roman"/>
          <w:i/>
          <w:iCs/>
          <w:color w:val="595959"/>
          <w:sz w:val="18"/>
          <w:szCs w:val="18"/>
        </w:rPr>
        <w:t xml:space="preserve">These principles are [Best practice] distilled from NIST AI RMF 1.0 (2023), ISO/IEC 42001:2023 and IEC 80001-1:2010 [Standard]; the mapping table in Section 7 makes the correspondence explicit.</w:t>
      </w:r>
    </w:p>
    <w:p>
      <w:pPr>
        <w:pStyle w:val="Heading1"/>
        <w:keepNext/>
        <w:spacing w:after="160" w:before="360" w:line="312"/>
        <w:jc w:val="center"/>
      </w:pPr>
      <w:bookmarkStart w:id="100002" w:name="_Toc100002"/>
      <w:r>
        <w:rPr>
          <w:rFonts w:ascii="Times New Roman" w:eastAsia="SimHei"/>
          <w:b/>
          <w:bCs/>
          <w:color w:val="1A5276"/>
          <w:sz w:val="32"/>
          <w:szCs w:val="32"/>
        </w:rPr>
        <w:t xml:space="preserve">3. Reference Architecture</w:t>
      </w:r>
      <w:bookmarkEnd w:id="100002"/>
    </w:p>
    <w:p>
      <w:pPr>
        <w:pStyle w:val="Heading2"/>
        <w:keepNext/>
        <w:spacing w:after="120" w:before="240" w:line="312"/>
      </w:pPr>
      <w:bookmarkStart w:id="100003" w:name="_Toc100003"/>
      <w:r>
        <w:rPr>
          <w:rFonts w:ascii="Times New Roman" w:eastAsia="SimHei"/>
          <w:b/>
          <w:bCs/>
          <w:color w:val="1A5276"/>
          <w:sz w:val="30"/>
          <w:szCs w:val="30"/>
        </w:rPr>
        <w:t xml:space="preserve">3.1 Logical layers</w:t>
      </w:r>
      <w:bookmarkEnd w:id="100003"/>
    </w:p>
    <w:p>
      <w:pPr>
        <w:keepNext w:val="false"/>
        <w:spacing w:after="120" w:line="312"/>
        <w:jc w:val="left"/>
      </w:pPr>
      <w:r>
        <w:rPr>
          <w:rFonts w:ascii="Times New Roman" w:eastAsia="Times New Roman"/>
          <w:b w:val="false"/>
          <w:bCs w:val="false"/>
          <w:i w:val="false"/>
          <w:iCs w:val="false"/>
          <w:color w:val="000000"/>
          <w:sz w:val="24"/>
          <w:szCs w:val="24"/>
        </w:rPr>
        <w:t xml:space="preserve">The estate separates into six logical layers. The clinical source layer is the existing EHR (reference implementation: OpenEMR) and imaging/echo systems; they remain untouched masters of record. The interoperability layer (reference: Medplum FHIR R4 server and OpenHIM-mediated channels) brokers every exchange between clinical systems and AI services, enforcing authentication, transformation and audit at the boundary. The intelligence layer hosts model serving (reference: vLLM for the BioMistral-7B class language model, ONNX Runtime for the EF estimation model) behind a request broker that enforces rate limits and tenancy. The knowledge layer holds the retrieval index and knowledge bases with citation metadata, built only from approved corpora. The safety layer runs de-identification (reference: Presidio/medspaCy) and policy enforcement on every flow that leaves the clinical zone. The assurance layer - the probe runner and evidence store - sits alongside all layers, exercising them and recording results; it has read access to telemetry and test endpoints, never write access to clinical data.</w:t>
      </w:r>
    </w:p>
    <w:p>
      <w:pPr>
        <w:keepNext w:val="false"/>
        <w:spacing w:after="120" w:line="312"/>
        <w:jc w:val="left"/>
      </w:pPr>
      <w:r>
        <w:rPr>
          <w:rFonts w:ascii="Times New Roman" w:eastAsia="Times New Roman"/>
          <w:b w:val="false"/>
          <w:bCs w:val="false"/>
          <w:i w:val="false"/>
          <w:iCs w:val="false"/>
          <w:color w:val="000000"/>
          <w:sz w:val="24"/>
          <w:szCs w:val="24"/>
        </w:rPr>
        <w:t xml:space="preserve">Two rules complete the picture. First, the assurance layer tests the system the way an attacker and a regulator would: through published interfaces only, black-box, with corpora stored under version control; this is what makes evidence portable across vendors and versions. Second, every layer emits signed, hash-chained audit events to the central audit service, so the evidence pack factory can reconstruct any decision trail without trusting any single component's word [Best practice].</w:t>
      </w:r>
    </w:p>
    <w:p>
      <w:pPr>
        <w:pStyle w:val="Heading2"/>
        <w:keepNext/>
        <w:spacing w:after="120" w:before="240" w:line="312"/>
      </w:pPr>
      <w:bookmarkStart w:id="100004" w:name="_Toc100004"/>
      <w:r>
        <w:rPr>
          <w:rFonts w:ascii="Times New Roman" w:eastAsia="SimHei"/>
          <w:b/>
          <w:bCs/>
          <w:color w:val="1A5276"/>
          <w:sz w:val="30"/>
          <w:szCs w:val="30"/>
        </w:rPr>
        <w:t xml:space="preserve">3.2 Component inventory</w:t>
      </w:r>
      <w:bookmarkEnd w:id="100004"/>
    </w:p>
    <w:p>
      <w:pPr>
        <w:keepNext/>
        <w:spacing w:after="80" w:before="200" w:line="312"/>
        <w:jc w:val="left"/>
      </w:pPr>
      <w:r>
        <w:rPr>
          <w:rFonts w:ascii="Times New Roman" w:eastAsia="Times New Roman"/>
          <w:b/>
          <w:bCs/>
          <w:color w:val="000000"/>
          <w:sz w:val="21"/>
          <w:szCs w:val="21"/>
        </w:rPr>
        <w:t xml:space="preserve">Table 3.1 - Component inventory (reference implementation; all replaceable)</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1582"/>
        <w:gridCol w:w="1933"/>
        <w:gridCol w:w="2636"/>
        <w:gridCol w:w="1318"/>
        <w:gridCol w:w="1318"/>
      </w:tblGrid>
      <w:tr>
        <w:trPr>
          <w:cantSplit/>
          <w:tblHeader/>
        </w:trPr>
        <w:tc>
          <w:tcPr>
            <w:tcW w:type="pct" w:w="9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Layer</w:t>
            </w:r>
          </w:p>
        </w:tc>
        <w:tc>
          <w:tcPr>
            <w:tcW w:type="pct" w:w="11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Component (reference)</w:t>
            </w:r>
          </w:p>
        </w:tc>
        <w:tc>
          <w:tcPr>
            <w:tcW w:type="pct" w:w="15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Role</w:t>
            </w:r>
          </w:p>
        </w:tc>
        <w:tc>
          <w:tcPr>
            <w:tcW w:type="pct" w:w="75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Zone</w:t>
            </w:r>
          </w:p>
        </w:tc>
        <w:tc>
          <w:tcPr>
            <w:tcW w:type="pct" w:w="75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Criticality</w:t>
            </w:r>
          </w:p>
        </w:tc>
      </w:tr>
      <w:tr>
        <w:trPr>
          <w:cantSplit/>
        </w:trPr>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Clinical source</w:t>
            </w:r>
          </w:p>
        </w:tc>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OpenEMR EHR [Local Assumption]</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System of record; CDS Hooks client</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Clinical</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Existing service</w:t>
            </w:r>
          </w:p>
        </w:tc>
      </w:tr>
      <w:tr>
        <w:trPr>
          <w:cantSplit/>
        </w:trPr>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Clinical source</w:t>
            </w:r>
          </w:p>
        </w:tc>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Echo/PACS systems [Vendor]</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Image acquisition and storage</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Clinical</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Existing service</w:t>
            </w:r>
          </w:p>
        </w:tc>
      </w:tr>
      <w:tr>
        <w:trPr>
          <w:cantSplit/>
        </w:trPr>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Interoperability</w:t>
            </w:r>
          </w:p>
        </w:tc>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Medplum FHIR R4 server [Local Assumption]</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Resource API, subscriptions, identity mapping</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Integration</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High</w:t>
            </w:r>
          </w:p>
        </w:tc>
      </w:tr>
      <w:tr>
        <w:trPr>
          <w:cantSplit/>
        </w:trPr>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Interoperability</w:t>
            </w:r>
          </w:p>
        </w:tc>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OpenHIM [Local Assumption]</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Mediation, routing, protocol translation, audit</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Integration</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High</w:t>
            </w:r>
          </w:p>
        </w:tc>
      </w:tr>
      <w:tr>
        <w:trPr>
          <w:cantSplit/>
        </w:trPr>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Intelligence</w:t>
            </w:r>
          </w:p>
        </w:tc>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vLLM serving BioMistral-7B-class model [Local Assumption]</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Language model inference for retrieval-assisted drafting</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AI</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High</w:t>
            </w:r>
          </w:p>
        </w:tc>
      </w:tr>
      <w:tr>
        <w:trPr>
          <w:cantSplit/>
        </w:trPr>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Intelligence</w:t>
            </w:r>
          </w:p>
        </w:tc>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ONNX Runtime INT8 U-Net + EF pipeline [Local Assumption]</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Echo EF estimation</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AI</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High</w:t>
            </w:r>
          </w:p>
        </w:tc>
      </w:tr>
      <w:tr>
        <w:trPr>
          <w:cantSplit/>
        </w:trPr>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Knowledge</w:t>
            </w:r>
          </w:p>
        </w:tc>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Retrieval index + approved corpora</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Citation-forced retrieval; NOT_COVERED policy</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AI</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High</w:t>
            </w:r>
          </w:p>
        </w:tc>
      </w:tr>
      <w:tr>
        <w:trPr>
          <w:cantSplit/>
        </w:trPr>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Safety</w:t>
            </w:r>
          </w:p>
        </w:tc>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Presidio + medspaCy de-identification [Local Assumption]</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Identifier detection/redaction for secondary use</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AI</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Critical</w:t>
            </w:r>
          </w:p>
        </w:tc>
      </w:tr>
      <w:tr>
        <w:trPr>
          <w:cantSplit/>
        </w:trPr>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Assurance</w:t>
            </w:r>
          </w:p>
        </w:tc>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Probe runner + evidence pack factory (Provar)</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Black-box testing, monitoring, evidence packs</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AI (isolated)</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Medium</w:t>
            </w:r>
          </w:p>
        </w:tc>
      </w:tr>
      <w:tr>
        <w:trPr>
          <w:cantSplit/>
        </w:trPr>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Cross-cutting</w:t>
            </w:r>
          </w:p>
        </w:tc>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Hash-chained audit service</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Tamper-evident event log</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Management</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Critical</w:t>
            </w:r>
          </w:p>
        </w:tc>
      </w:tr>
      <w:tr>
        <w:trPr>
          <w:cantSplit/>
        </w:trPr>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Cross-cutting</w:t>
            </w:r>
          </w:p>
        </w:tc>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Secrets management, SIEM, backup</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Security and recoverability</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Management</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Critical</w:t>
            </w:r>
          </w:p>
        </w:tc>
      </w:tr>
    </w:tbl>
    <w:p>
      <w:pPr>
        <w:spacing w:after="200" w:before="80" w:line="312"/>
        <w:jc w:val="left"/>
      </w:pPr>
      <w:r>
        <w:rPr>
          <w:rFonts w:ascii="Times New Roman" w:eastAsia="Times New Roman"/>
          <w:i/>
          <w:iCs/>
          <w:color w:val="595959"/>
          <w:sz w:val="18"/>
          <w:szCs w:val="18"/>
        </w:rPr>
        <w:t xml:space="preserve">Licences, model cards and intended-use statements per component must be collected into the release registry before gate G1 [To be confirmed].</w:t>
      </w:r>
    </w:p>
    <w:p>
      <w:pPr>
        <w:pStyle w:val="Heading1"/>
        <w:keepNext/>
        <w:spacing w:after="160" w:before="360" w:line="312"/>
        <w:jc w:val="center"/>
      </w:pPr>
      <w:bookmarkStart w:id="100005" w:name="_Toc100005"/>
      <w:r>
        <w:rPr>
          <w:rFonts w:ascii="Times New Roman" w:eastAsia="SimHei"/>
          <w:b/>
          <w:bCs/>
          <w:color w:val="1A5276"/>
          <w:sz w:val="32"/>
          <w:szCs w:val="32"/>
        </w:rPr>
        <w:t xml:space="preserve">4. Network Design</w:t>
      </w:r>
      <w:bookmarkEnd w:id="100005"/>
    </w:p>
    <w:p>
      <w:pPr>
        <w:pStyle w:val="Heading2"/>
        <w:keepNext/>
        <w:spacing w:after="120" w:before="240" w:line="312"/>
      </w:pPr>
      <w:bookmarkStart w:id="100006" w:name="_Toc100006"/>
      <w:r>
        <w:rPr>
          <w:rFonts w:ascii="Times New Roman" w:eastAsia="SimHei"/>
          <w:b/>
          <w:bCs/>
          <w:color w:val="1A5276"/>
          <w:sz w:val="30"/>
          <w:szCs w:val="30"/>
        </w:rPr>
        <w:t xml:space="preserve">4.1 Zones and segmentation</w:t>
      </w:r>
      <w:bookmarkEnd w:id="100006"/>
    </w:p>
    <w:p>
      <w:pPr>
        <w:keepNext w:val="false"/>
        <w:spacing w:after="120" w:line="312"/>
        <w:jc w:val="left"/>
      </w:pPr>
      <w:r>
        <w:rPr>
          <w:rFonts w:ascii="Times New Roman" w:eastAsia="Times New Roman"/>
          <w:b w:val="false"/>
          <w:bCs w:val="false"/>
          <w:i w:val="false"/>
          <w:iCs w:val="false"/>
          <w:color w:val="000000"/>
          <w:sz w:val="24"/>
          <w:szCs w:val="24"/>
        </w:rPr>
        <w:t xml:space="preserve">The design uses five security zones with deny-by-default inter-zone rules. The clinical zone hosts the EHR, PACS and echo systems and is never directly reachable from AI services; all exchanges pass through the integration zone. The AI zone hosts inference, retrieval, de-identification and assurance services; it has no inbound routes from the internet and no direct routes into the clinical zone. The integration zone is the only path between them. The management zone hosts identity, secrets, monitoring, SIEM and backup infrastructure. The DMZ exists for vendor support tunnels and, if unavoidable, hosted components; its traffic is inspected, recorded and time-boxed.</w:t>
      </w:r>
    </w:p>
    <w:p>
      <w:pPr>
        <w:keepNext/>
        <w:spacing w:after="80" w:before="200" w:line="312"/>
        <w:jc w:val="left"/>
      </w:pPr>
      <w:r>
        <w:rPr>
          <w:rFonts w:ascii="Times New Roman" w:eastAsia="Times New Roman"/>
          <w:b/>
          <w:bCs/>
          <w:color w:val="000000"/>
          <w:sz w:val="21"/>
          <w:szCs w:val="21"/>
        </w:rPr>
        <w:t xml:space="preserve">Table 4.1 - Zone summary</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1406"/>
        <w:gridCol w:w="2988"/>
        <w:gridCol w:w="2197"/>
        <w:gridCol w:w="2197"/>
      </w:tblGrid>
      <w:tr>
        <w:trPr>
          <w:cantSplit/>
          <w:tblHeader/>
        </w:trPr>
        <w:tc>
          <w:tcPr>
            <w:tcW w:type="pct" w:w="8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Zone</w:t>
            </w:r>
          </w:p>
        </w:tc>
        <w:tc>
          <w:tcPr>
            <w:tcW w:type="pct" w:w="17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Contents</w:t>
            </w:r>
          </w:p>
        </w:tc>
        <w:tc>
          <w:tcPr>
            <w:tcW w:type="pct" w:w="125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Inbound allowed from</w:t>
            </w:r>
          </w:p>
        </w:tc>
        <w:tc>
          <w:tcPr>
            <w:tcW w:type="pct" w:w="125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Outbound allowed to</w:t>
            </w:r>
          </w:p>
        </w:tc>
      </w:tr>
      <w:tr>
        <w:trPr>
          <w:cantSplit/>
        </w:trPr>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Clinical</w:t>
            </w:r>
          </w:p>
        </w:tc>
        <w:tc>
          <w:tcPr>
            <w:tcW w:type="pct" w:w="1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EHR, PACS/echo</w:t>
            </w:r>
          </w:p>
        </w:tc>
        <w:tc>
          <w:tcPr>
            <w:tcW w:type="pct" w:w="12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Clinical clients; integration zone (CDS Hooks/FHIR callbacks)</w:t>
            </w:r>
          </w:p>
        </w:tc>
        <w:tc>
          <w:tcPr>
            <w:tcW w:type="pct" w:w="12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Integration zone</w:t>
            </w:r>
          </w:p>
        </w:tc>
      </w:tr>
      <w:tr>
        <w:trPr>
          <w:cantSplit/>
        </w:trPr>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Integration</w:t>
            </w:r>
          </w:p>
        </w:tc>
        <w:tc>
          <w:tcPr>
            <w:tcW w:type="pct" w:w="1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FHIR server, OpenHIM</w:t>
            </w:r>
          </w:p>
        </w:tc>
        <w:tc>
          <w:tcPr>
            <w:tcW w:type="pct" w:w="12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Clinical and AI zones on brokered ports only</w:t>
            </w:r>
          </w:p>
        </w:tc>
        <w:tc>
          <w:tcPr>
            <w:tcW w:type="pct" w:w="12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Clinical and AI zones on brokered ports</w:t>
            </w:r>
          </w:p>
        </w:tc>
      </w:tr>
      <w:tr>
        <w:trPr>
          <w:cantSplit/>
        </w:trPr>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AI</w:t>
            </w:r>
          </w:p>
        </w:tc>
        <w:tc>
          <w:tcPr>
            <w:tcW w:type="pct" w:w="1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Model serving, index, de-id, probe runner</w:t>
            </w:r>
          </w:p>
        </w:tc>
        <w:tc>
          <w:tcPr>
            <w:tcW w:type="pct" w:w="12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Integration zone only</w:t>
            </w:r>
          </w:p>
        </w:tc>
        <w:tc>
          <w:tcPr>
            <w:tcW w:type="pct" w:w="12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Integration zone; management (telemetry)</w:t>
            </w:r>
          </w:p>
        </w:tc>
      </w:tr>
      <w:tr>
        <w:trPr>
          <w:cantSplit/>
        </w:trPr>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Management</w:t>
            </w:r>
          </w:p>
        </w:tc>
        <w:tc>
          <w:tcPr>
            <w:tcW w:type="pct" w:w="1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Identity, secrets, monitoring, SIEM, backup, update servers</w:t>
            </w:r>
          </w:p>
        </w:tc>
        <w:tc>
          <w:tcPr>
            <w:tcW w:type="pct" w:w="12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Management clients; agent connections from other zones</w:t>
            </w:r>
          </w:p>
        </w:tc>
        <w:tc>
          <w:tcPr>
            <w:tcW w:type="pct" w:w="12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All zones (management protocols, logged)</w:t>
            </w:r>
          </w:p>
        </w:tc>
      </w:tr>
      <w:tr>
        <w:trPr>
          <w:cantSplit/>
        </w:trPr>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DMZ</w:t>
            </w:r>
          </w:p>
        </w:tc>
        <w:tc>
          <w:tcPr>
            <w:tcW w:type="pct" w:w="1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Vendor support gateway</w:t>
            </w:r>
          </w:p>
        </w:tc>
        <w:tc>
          <w:tcPr>
            <w:tcW w:type="pct" w:w="12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Internet on published, inspected endpoints only</w:t>
            </w:r>
          </w:p>
        </w:tc>
        <w:tc>
          <w:tcPr>
            <w:tcW w:type="pct" w:w="12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Specific integration-zone endpoints per ticket</w:t>
            </w:r>
          </w:p>
        </w:tc>
      </w:tr>
    </w:tbl>
    <w:p>
      <w:pPr>
        <w:spacing w:after="200" w:before="80" w:line="312"/>
        <w:jc w:val="left"/>
      </w:pPr>
      <w:r>
        <w:rPr>
          <w:rFonts w:ascii="Times New Roman" w:eastAsia="Times New Roman"/>
          <w:i/>
          <w:iCs/>
          <w:color w:val="595959"/>
          <w:sz w:val="18"/>
          <w:szCs w:val="18"/>
        </w:rPr>
        <w:t xml:space="preserve">Zone IP plans, VLAN/VRF identifiers and existing firewall capacity are [To be confirmed] by network engineering against the current campus design.</w:t>
      </w:r>
    </w:p>
    <w:p>
      <w:pPr>
        <w:pStyle w:val="Heading2"/>
        <w:keepNext/>
        <w:spacing w:after="120" w:before="240" w:line="312"/>
      </w:pPr>
      <w:bookmarkStart w:id="100007" w:name="_Toc100007"/>
      <w:r>
        <w:rPr>
          <w:rFonts w:ascii="Times New Roman" w:eastAsia="SimHei"/>
          <w:b/>
          <w:bCs/>
          <w:color w:val="1A5276"/>
          <w:sz w:val="30"/>
          <w:szCs w:val="30"/>
        </w:rPr>
        <w:t xml:space="preserve">4.2 Firewall policy and traffic matrix</w:t>
      </w:r>
      <w:bookmarkEnd w:id="100007"/>
    </w:p>
    <w:p>
      <w:pPr>
        <w:keepNext/>
        <w:spacing w:after="80" w:before="200" w:line="312"/>
        <w:jc w:val="left"/>
      </w:pPr>
      <w:r>
        <w:rPr>
          <w:rFonts w:ascii="Times New Roman" w:eastAsia="Times New Roman"/>
          <w:b/>
          <w:bCs/>
          <w:color w:val="000000"/>
          <w:sz w:val="21"/>
          <w:szCs w:val="21"/>
        </w:rPr>
        <w:t xml:space="preserve">Table 4.2 - Inter-zone policy matrix (deny-by-default; only explicit allows listed)</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1406"/>
        <w:gridCol w:w="1406"/>
        <w:gridCol w:w="2636"/>
        <w:gridCol w:w="3339"/>
      </w:tblGrid>
      <w:tr>
        <w:trPr>
          <w:cantSplit/>
          <w:tblHeader/>
        </w:trPr>
        <w:tc>
          <w:tcPr>
            <w:tcW w:type="pct" w:w="8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From</w:t>
            </w:r>
          </w:p>
        </w:tc>
        <w:tc>
          <w:tcPr>
            <w:tcW w:type="pct" w:w="8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To</w:t>
            </w:r>
          </w:p>
        </w:tc>
        <w:tc>
          <w:tcPr>
            <w:tcW w:type="pct" w:w="15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Purpose</w:t>
            </w:r>
          </w:p>
        </w:tc>
        <w:tc>
          <w:tcPr>
            <w:tcW w:type="pct" w:w="19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Constraints</w:t>
            </w:r>
          </w:p>
        </w:tc>
      </w:tr>
      <w:tr>
        <w:trPr>
          <w:cantSplit/>
        </w:trPr>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Clinical</w:t>
            </w:r>
          </w:p>
        </w:tc>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Integration</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FHIR requests, CDS Hooks card calls, subscriptions</w:t>
            </w:r>
          </w:p>
        </w:tc>
        <w:tc>
          <w:tcPr>
            <w:tcW w:type="pct" w:w="1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mTLS; service accounts per use case; logged</w:t>
            </w:r>
          </w:p>
        </w:tc>
      </w:tr>
      <w:tr>
        <w:trPr>
          <w:cantSplit/>
        </w:trPr>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Integration</w:t>
            </w:r>
          </w:p>
        </w:tc>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Clinical</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Card responses, write-back of advisory artifacts via controlled endpoints</w:t>
            </w:r>
          </w:p>
        </w:tc>
        <w:tc>
          <w:tcPr>
            <w:tcW w:type="pct" w:w="1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mTLS; write-authority matrix enforced in app layer</w:t>
            </w:r>
          </w:p>
        </w:tc>
      </w:tr>
      <w:tr>
        <w:trPr>
          <w:cantSplit/>
        </w:trPr>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Integration</w:t>
            </w:r>
          </w:p>
        </w:tc>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AI</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Inference requests with de-identified or minimum-necessary payloads</w:t>
            </w:r>
          </w:p>
        </w:tc>
        <w:tc>
          <w:tcPr>
            <w:tcW w:type="pct" w:w="1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mTLS; schema-validated; no free-text identified payloads</w:t>
            </w:r>
          </w:p>
        </w:tc>
      </w:tr>
      <w:tr>
        <w:trPr>
          <w:cantSplit/>
        </w:trPr>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AI</w:t>
            </w:r>
          </w:p>
        </w:tc>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Integration</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Citation resolution lookups against approved corpora mirrors</w:t>
            </w:r>
          </w:p>
        </w:tc>
        <w:tc>
          <w:tcPr>
            <w:tcW w:type="pct" w:w="1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Read-only; egress allow-list by FQDN</w:t>
            </w:r>
          </w:p>
        </w:tc>
      </w:tr>
      <w:tr>
        <w:trPr>
          <w:cantSplit/>
        </w:trPr>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AI</w:t>
            </w:r>
          </w:p>
        </w:tc>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Management</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Metrics, logs, traces, audit chain appends</w:t>
            </w:r>
          </w:p>
        </w:tc>
        <w:tc>
          <w:tcPr>
            <w:tcW w:type="pct" w:w="1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Agent TLS; append-only for audit</w:t>
            </w:r>
          </w:p>
        </w:tc>
      </w:tr>
      <w:tr>
        <w:trPr>
          <w:cantSplit/>
        </w:trPr>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Management</w:t>
            </w:r>
          </w:p>
        </w:tc>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All</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Monitoring agents, backup agents, patching, secrets delivery</w:t>
            </w:r>
          </w:p>
        </w:tc>
        <w:tc>
          <w:tcPr>
            <w:tcW w:type="pct" w:w="1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Management protocols only; changes ticketed</w:t>
            </w:r>
          </w:p>
        </w:tc>
      </w:tr>
      <w:tr>
        <w:trPr>
          <w:cantSplit/>
        </w:trPr>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DMZ</w:t>
            </w:r>
          </w:p>
        </w:tc>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Integration</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Vendor support sessions</w:t>
            </w:r>
          </w:p>
        </w:tc>
        <w:tc>
          <w:tcPr>
            <w:tcW w:type="pct" w:w="1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Time-boxed firewall rule per ticket; session recorded; no direct DB access</w:t>
            </w:r>
          </w:p>
        </w:tc>
      </w:tr>
      <w:tr>
        <w:trPr>
          <w:cantSplit/>
        </w:trPr>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Internet</w:t>
            </w:r>
          </w:p>
        </w:tc>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DMZ</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Vendor VPN endpoints</w:t>
            </w:r>
          </w:p>
        </w:tc>
        <w:tc>
          <w:tcPr>
            <w:tcW w:type="pct" w:w="1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Inspected; geo-fenced where feasible [Local Assumption]</w:t>
            </w:r>
          </w:p>
        </w:tc>
      </w:tr>
    </w:tbl>
    <w:p>
      <w:pPr>
        <w:spacing w:after="200" w:before="80" w:line="312"/>
        <w:jc w:val="left"/>
      </w:pPr>
      <w:r>
        <w:rPr>
          <w:rFonts w:ascii="Times New Roman" w:eastAsia="Times New Roman"/>
          <w:i/>
          <w:iCs/>
          <w:color w:val="595959"/>
          <w:sz w:val="18"/>
          <w:szCs w:val="18"/>
        </w:rPr>
        <w:t xml:space="preserve">Explicitly denied by design: AI zone to clinical zone; AI zone to internet (model/weight downloads happen via a controlled egress proxy in management with content checks and licence logging); any zone to clinical databases directly.</w:t>
      </w:r>
    </w:p>
    <w:p>
      <w:pPr>
        <w:pStyle w:val="Heading2"/>
        <w:keepNext/>
        <w:spacing w:after="120" w:before="240" w:line="312"/>
      </w:pPr>
      <w:bookmarkStart w:id="100008" w:name="_Toc100008"/>
      <w:r>
        <w:rPr>
          <w:rFonts w:ascii="Times New Roman" w:eastAsia="SimHei"/>
          <w:b/>
          <w:bCs/>
          <w:color w:val="1A5276"/>
          <w:sz w:val="30"/>
          <w:szCs w:val="30"/>
        </w:rPr>
        <w:t xml:space="preserve">4.3 Transport security and latency budgets</w:t>
      </w:r>
      <w:bookmarkEnd w:id="100008"/>
    </w:p>
    <w:p>
      <w:pPr>
        <w:keepNext w:val="false"/>
        <w:spacing w:after="120" w:line="312"/>
        <w:jc w:val="left"/>
      </w:pPr>
      <w:r>
        <w:rPr>
          <w:rFonts w:ascii="Times New Roman" w:eastAsia="Times New Roman"/>
          <w:b w:val="false"/>
          <w:bCs w:val="false"/>
          <w:i w:val="false"/>
          <w:iCs w:val="false"/>
          <w:color w:val="000000"/>
          <w:sz w:val="24"/>
          <w:szCs w:val="24"/>
        </w:rPr>
        <w:t xml:space="preserve">All service-to-service traffic uses TLS 1.2 or higher, preferring TLS 1.3, with mutual TLS on the integration paths; certificates issue from the hospital PKI with short lifetimes and automated rotation [Best practice]. Clinical-hour latency budgets, to be validated against current EHR experience [Baseline], are: CDS Hooks card round-trip within the EHR page-load budget [Target: p95 under 2 seconds, to be confirmed]; RAG draft generation [Target: first token under 2 seconds, full draft under 15 seconds, to be confirmed]; EF inference per study [Target: under 60 seconds queue-to-result, to be confirmed]. Budgets are placeholders because they must be set against measured clinician tolerance and current page-load baselines, not vendor claims.</w:t>
      </w:r>
    </w:p>
    <w:p>
      <w:pPr>
        <w:pStyle w:val="Heading1"/>
        <w:keepNext/>
        <w:spacing w:after="160" w:before="360" w:line="312"/>
        <w:jc w:val="center"/>
      </w:pPr>
      <w:bookmarkStart w:id="100009" w:name="_Toc100009"/>
      <w:r>
        <w:rPr>
          <w:rFonts w:ascii="Times New Roman" w:eastAsia="SimHei"/>
          <w:b/>
          <w:bCs/>
          <w:color w:val="1A5276"/>
          <w:sz w:val="32"/>
          <w:szCs w:val="32"/>
        </w:rPr>
        <w:t xml:space="preserve">5. Compute and Storage</w:t>
      </w:r>
      <w:bookmarkEnd w:id="100009"/>
    </w:p>
    <w:p>
      <w:pPr>
        <w:pStyle w:val="Heading2"/>
        <w:keepNext/>
        <w:spacing w:after="120" w:before="240" w:line="312"/>
      </w:pPr>
      <w:bookmarkStart w:id="100010" w:name="_Toc100010"/>
      <w:r>
        <w:rPr>
          <w:rFonts w:ascii="Times New Roman" w:eastAsia="SimHei"/>
          <w:b/>
          <w:bCs/>
          <w:color w:val="1A5276"/>
          <w:sz w:val="30"/>
          <w:szCs w:val="30"/>
        </w:rPr>
        <w:t xml:space="preserve">5.1 Sizing method, not invented numbers</w:t>
      </w:r>
      <w:bookmarkEnd w:id="100010"/>
    </w:p>
    <w:p>
      <w:pPr>
        <w:keepNext w:val="false"/>
        <w:spacing w:after="120" w:line="312"/>
        <w:jc w:val="left"/>
      </w:pPr>
      <w:r>
        <w:rPr>
          <w:rFonts w:ascii="Times New Roman" w:eastAsia="Times New Roman"/>
          <w:b w:val="false"/>
          <w:bCs w:val="false"/>
          <w:i w:val="false"/>
          <w:iCs w:val="false"/>
          <w:color w:val="000000"/>
          <w:sz w:val="24"/>
          <w:szCs w:val="24"/>
        </w:rPr>
        <w:t xml:space="preserve">This document deliberately does not state GPU counts. Sizing follows a measured method: characterise the workload (expected concurrent pilot users [Estimate: 20-50, to be confirmed], requests per user per hour, prompt and context sizes), benchmark the candidate model and serving stack on the candidate hardware, then apply the concurrency target with headroom and a documented queueing policy. The sizing study runs during environment build and its results - hardware, version, batch policy, achieved throughput and latency percentiles - are attached to the G1 evidence pack. Any later change to model, quantisation, context length or batch policy invalidates the study and triggers re-benchmarking [Best practice].</w:t>
      </w:r>
    </w:p>
    <w:p>
      <w:pPr>
        <w:keepNext/>
        <w:spacing w:after="80" w:before="200" w:line="312"/>
        <w:jc w:val="left"/>
      </w:pPr>
      <w:r>
        <w:rPr>
          <w:rFonts w:ascii="Times New Roman" w:eastAsia="Times New Roman"/>
          <w:b/>
          <w:bCs/>
          <w:color w:val="000000"/>
          <w:sz w:val="21"/>
          <w:szCs w:val="21"/>
        </w:rPr>
        <w:t xml:space="preserve">Table 5.1 - Compute components and sizing status</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1933"/>
        <w:gridCol w:w="2988"/>
        <w:gridCol w:w="1933"/>
        <w:gridCol w:w="1933"/>
      </w:tblGrid>
      <w:tr>
        <w:trPr>
          <w:cantSplit/>
          <w:tblHeader/>
        </w:trPr>
        <w:tc>
          <w:tcPr>
            <w:tcW w:type="pct" w:w="11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Component</w:t>
            </w:r>
          </w:p>
        </w:tc>
        <w:tc>
          <w:tcPr>
            <w:tcW w:type="pct" w:w="17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Sizing approach</w:t>
            </w:r>
          </w:p>
        </w:tc>
        <w:tc>
          <w:tcPr>
            <w:tcW w:type="pct" w:w="11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Sizing owner</w:t>
            </w:r>
          </w:p>
        </w:tc>
        <w:tc>
          <w:tcPr>
            <w:tcW w:type="pct" w:w="11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Status</w:t>
            </w:r>
          </w:p>
        </w:tc>
      </w:tr>
      <w:tr>
        <w:trPr>
          <w:cantSplit/>
        </w:trPr>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Language model serving (vLLM class)</w:t>
            </w:r>
          </w:p>
        </w:tc>
        <w:tc>
          <w:tcPr>
            <w:tcW w:type="pct" w:w="1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Load test at pilot concurrency; p95 first-token and completion latency vs budgets; GPU memory including KV cache at target context</w:t>
            </w:r>
          </w:p>
        </w:tc>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Platform engineering</w:t>
            </w:r>
          </w:p>
        </w:tc>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[To be benchmarked at build]</w:t>
            </w:r>
          </w:p>
        </w:tc>
      </w:tr>
      <w:tr>
        <w:trPr>
          <w:cantSplit/>
        </w:trPr>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Echo EF inference (ONNX INT8)</w:t>
            </w:r>
          </w:p>
        </w:tc>
        <w:tc>
          <w:tcPr>
            <w:tcW w:type="pct" w:w="1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Throughput per GPU from synthetic studies; queue depth policy for daily echo volume [Baseline volume to be confirmed]</w:t>
            </w:r>
          </w:p>
        </w:tc>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Imaging IT + cardiology</w:t>
            </w:r>
          </w:p>
        </w:tc>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[To be benchmarked]</w:t>
            </w:r>
          </w:p>
        </w:tc>
      </w:tr>
      <w:tr>
        <w:trPr>
          <w:cantSplit/>
        </w:trPr>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De-identification pipeline</w:t>
            </w:r>
          </w:p>
        </w:tc>
        <w:tc>
          <w:tcPr>
            <w:tcW w:type="pct" w:w="1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Throughput per document size mix; sizing from [Baseline] daily text volume with 2x burst</w:t>
            </w:r>
          </w:p>
        </w:tc>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Data platform</w:t>
            </w:r>
          </w:p>
        </w:tc>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[To be benchmarked]</w:t>
            </w:r>
          </w:p>
        </w:tc>
      </w:tr>
      <w:tr>
        <w:trPr>
          <w:cantSplit/>
        </w:trPr>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Probe runner</w:t>
            </w:r>
          </w:p>
        </w:tc>
        <w:tc>
          <w:tcPr>
            <w:tcW w:type="pct" w:w="1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Runs off-peak; sized for full suite in a maintenance window [Target window to be agreed]</w:t>
            </w:r>
          </w:p>
        </w:tc>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Assurance lead</w:t>
            </w:r>
          </w:p>
        </w:tc>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[To be benchmarked]</w:t>
            </w:r>
          </w:p>
        </w:tc>
      </w:tr>
    </w:tbl>
    <w:p>
      <w:pPr>
        <w:spacing w:after="200" w:before="80" w:line="312"/>
        <w:jc w:val="left"/>
      </w:pPr>
      <w:r>
        <w:rPr>
          <w:rFonts w:ascii="Times New Roman" w:eastAsia="Times New Roman"/>
          <w:i/>
          <w:iCs/>
          <w:color w:val="595959"/>
          <w:sz w:val="18"/>
          <w:szCs w:val="18"/>
        </w:rPr>
        <w:t xml:space="preserve">No GPU quantities appear here by design; the benchmark report is the deliverable. Environments require a production-class test environment - a laptop is not a sizing oracle.</w:t>
      </w:r>
    </w:p>
    <w:p>
      <w:pPr>
        <w:pStyle w:val="Heading2"/>
        <w:keepNext/>
        <w:spacing w:after="120" w:before="240" w:line="312"/>
      </w:pPr>
      <w:bookmarkStart w:id="100011" w:name="_Toc100011"/>
      <w:r>
        <w:rPr>
          <w:rFonts w:ascii="Times New Roman" w:eastAsia="SimHei"/>
          <w:b/>
          <w:bCs/>
          <w:color w:val="1A5276"/>
          <w:sz w:val="30"/>
          <w:szCs w:val="30"/>
        </w:rPr>
        <w:t xml:space="preserve">5.2 Storage, retention and data flows</w:t>
      </w:r>
      <w:bookmarkEnd w:id="100011"/>
    </w:p>
    <w:p>
      <w:pPr>
        <w:keepNext w:val="false"/>
        <w:spacing w:after="120" w:line="312"/>
        <w:jc w:val="left"/>
      </w:pPr>
      <w:r>
        <w:rPr>
          <w:rFonts w:ascii="Times New Roman" w:eastAsia="Times New Roman"/>
          <w:b w:val="false"/>
          <w:bCs w:val="false"/>
          <w:i w:val="false"/>
          <w:iCs w:val="false"/>
          <w:color w:val="000000"/>
          <w:sz w:val="24"/>
          <w:szCs w:val="24"/>
        </w:rPr>
        <w:t xml:space="preserve">Storage separates by data class with different controls: identified clinical data remains in existing clinical storage under existing policy; the AI zone stores only de-identified or minimum-necessary derived data (embeddings, indices, redacted text, inference outputs) under programme retention rules; evidence packs and audit chains are retention-classed as governance records [retention period per hospital policy, To be confirmed]. Model weights, corpora and indices are versioned artifacts in the release registry with integrity hashes; prompt templates are configuration items like any other code. Backups follow Section 8; encryption at rest applies to all AI-zone storage with hospital-managed keys [Standard practice; key custody To be confirmed].</w:t>
      </w:r>
    </w:p>
    <w:p>
      <w:pPr>
        <w:pStyle w:val="Heading1"/>
        <w:keepNext/>
        <w:spacing w:after="160" w:before="360" w:line="312"/>
        <w:jc w:val="center"/>
      </w:pPr>
      <w:bookmarkStart w:id="100012" w:name="_Toc100012"/>
      <w:r>
        <w:rPr>
          <w:rFonts w:ascii="Times New Roman" w:eastAsia="SimHei"/>
          <w:b/>
          <w:bCs/>
          <w:color w:val="1A5276"/>
          <w:sz w:val="32"/>
          <w:szCs w:val="32"/>
        </w:rPr>
        <w:t xml:space="preserve">6. Integration Design</w:t>
      </w:r>
      <w:bookmarkEnd w:id="100012"/>
    </w:p>
    <w:p>
      <w:pPr>
        <w:pStyle w:val="Heading2"/>
        <w:keepNext/>
        <w:spacing w:after="120" w:before="240" w:line="312"/>
      </w:pPr>
      <w:bookmarkStart w:id="100013" w:name="_Toc100013"/>
      <w:r>
        <w:rPr>
          <w:rFonts w:ascii="Times New Roman" w:eastAsia="SimHei"/>
          <w:b/>
          <w:bCs/>
          <w:color w:val="1A5276"/>
          <w:sz w:val="30"/>
          <w:szCs w:val="30"/>
        </w:rPr>
        <w:t xml:space="preserve">6.1 Patterns and standards</w:t>
      </w:r>
      <w:bookmarkEnd w:id="100013"/>
    </w:p>
    <w:p>
      <w:pPr>
        <w:keepNext w:val="false"/>
        <w:spacing w:after="120" w:line="312"/>
        <w:jc w:val="left"/>
      </w:pPr>
      <w:r>
        <w:rPr>
          <w:rFonts w:ascii="Times New Roman" w:eastAsia="Times New Roman"/>
          <w:b w:val="false"/>
          <w:bCs w:val="false"/>
          <w:i w:val="false"/>
          <w:iCs w:val="false"/>
          <w:color w:val="000000"/>
          <w:sz w:val="24"/>
          <w:szCs w:val="24"/>
        </w:rPr>
        <w:t xml:space="preserve">Integration uses HL7 FHIR R4 resources and operations as the primary contract [Standard], SMART App Launch for authorisation where user context is required [Standard], and CDS Hooks for EHR-embedded advisory cards, with patient-view as the first hook [Standard]. HL7 v2 feeds, where legacy flows exist, terminate in the interoperability layer (OpenHIM reference) and are translated there; no AI service parses v2 directly. Every advisory artifact entering the record does so through controlled write-back endpoints that stamp provenance (model version, prompt version, confidence, citations, human verifier) [Best practice].</w:t>
      </w:r>
    </w:p>
    <w:p>
      <w:pPr>
        <w:keepNext/>
        <w:spacing w:after="80" w:before="200" w:line="312"/>
        <w:jc w:val="left"/>
      </w:pPr>
      <w:r>
        <w:rPr>
          <w:rFonts w:ascii="Times New Roman" w:eastAsia="Times New Roman"/>
          <w:b/>
          <w:bCs/>
          <w:color w:val="000000"/>
          <w:sz w:val="21"/>
          <w:szCs w:val="21"/>
        </w:rPr>
        <w:t xml:space="preserve">Table 6.1 - Interface inventory (initial set)</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1406"/>
        <w:gridCol w:w="1758"/>
        <w:gridCol w:w="1933"/>
        <w:gridCol w:w="1758"/>
        <w:gridCol w:w="1933"/>
      </w:tblGrid>
      <w:tr>
        <w:trPr>
          <w:cantSplit/>
          <w:tblHeader/>
        </w:trPr>
        <w:tc>
          <w:tcPr>
            <w:tcW w:type="pct" w:w="8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Interface</w:t>
            </w:r>
          </w:p>
        </w:tc>
        <w:tc>
          <w:tcPr>
            <w:tcW w:type="pct" w:w="10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Pattern</w:t>
            </w:r>
          </w:p>
        </w:tc>
        <w:tc>
          <w:tcPr>
            <w:tcW w:type="pct" w:w="11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Producer to consumer</w:t>
            </w:r>
          </w:p>
        </w:tc>
        <w:tc>
          <w:tcPr>
            <w:tcW w:type="pct" w:w="10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Payload class</w:t>
            </w:r>
          </w:p>
        </w:tc>
        <w:tc>
          <w:tcPr>
            <w:tcW w:type="pct" w:w="11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Fallback behaviour</w:t>
            </w:r>
          </w:p>
        </w:tc>
      </w:tr>
      <w:tr>
        <w:trPr>
          <w:cantSplit/>
        </w:trPr>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CDS Hooks patient-view card</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CDS Hooks [Standard]</w:t>
            </w:r>
          </w:p>
        </w:tc>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AI service to EHR</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Advisory summary + citations; no PHI beyond context</w:t>
            </w:r>
          </w:p>
        </w:tc>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Card suppressed; workflow unchanged; alert raised</w:t>
            </w:r>
          </w:p>
        </w:tc>
      </w:tr>
      <w:tr>
        <w:trPr>
          <w:cantSplit/>
        </w:trPr>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RAG drafting session</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HTTPS API</w:t>
            </w:r>
          </w:p>
        </w:tc>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EHR sidebar app to AI service</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De-identified query + retrieved citations</w:t>
            </w:r>
          </w:p>
        </w:tc>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Feature flag off; manual workflow</w:t>
            </w:r>
          </w:p>
        </w:tc>
      </w:tr>
      <w:tr>
        <w:trPr>
          <w:cantSplit/>
        </w:trPr>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NOT_COVERED response</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Same API</w:t>
            </w:r>
          </w:p>
        </w:tc>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AI service to EHR</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Refusal + reason code</w:t>
            </w:r>
          </w:p>
        </w:tc>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n/a - refusal is the designed output</w:t>
            </w:r>
          </w:p>
        </w:tc>
      </w:tr>
      <w:tr>
        <w:trPr>
          <w:cantSplit/>
        </w:trPr>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De-identification job</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Async queue</w:t>
            </w:r>
          </w:p>
        </w:tc>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Data platform to safety layer</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Batch text; job manifest</w:t>
            </w:r>
          </w:p>
        </w:tc>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Job held; no downstream release</w:t>
            </w:r>
          </w:p>
        </w:tc>
      </w:tr>
      <w:tr>
        <w:trPr>
          <w:cantSplit/>
        </w:trPr>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EF estimation</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Async queue</w:t>
            </w:r>
          </w:p>
        </w:tc>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Echo modality/worklist to AI service</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Study reference; images remain in PACS</w:t>
            </w:r>
          </w:p>
        </w:tc>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Study processed manually; queue alarm</w:t>
            </w:r>
          </w:p>
        </w:tc>
      </w:tr>
      <w:tr>
        <w:trPr>
          <w:cantSplit/>
        </w:trPr>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Audit chain appends</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Event stream</w:t>
            </w:r>
          </w:p>
        </w:tc>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All services to audit service</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Signed events</w:t>
            </w:r>
          </w:p>
        </w:tc>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Local spool; chain gap alarm</w:t>
            </w:r>
          </w:p>
        </w:tc>
      </w:tr>
    </w:tbl>
    <w:p>
      <w:pPr>
        <w:spacing w:after="200" w:before="80" w:line="312"/>
        <w:jc w:val="left"/>
      </w:pPr>
      <w:r>
        <w:rPr>
          <w:rFonts w:ascii="Times New Roman" w:eastAsia="Times New Roman"/>
          <w:i/>
          <w:iCs/>
          <w:color w:val="595959"/>
          <w:sz w:val="18"/>
          <w:szCs w:val="18"/>
        </w:rPr>
        <w:t xml:space="preserve">Each interface has an owner, a schema version and a test in the regression pack; the inventory is the contract of record [Best practice].</w:t>
      </w:r>
    </w:p>
    <w:p>
      <w:pPr>
        <w:pStyle w:val="Heading2"/>
        <w:keepNext/>
        <w:spacing w:after="120" w:before="240" w:line="312"/>
      </w:pPr>
      <w:bookmarkStart w:id="100014" w:name="_Toc100014"/>
      <w:r>
        <w:rPr>
          <w:rFonts w:ascii="Times New Roman" w:eastAsia="SimHei"/>
          <w:b/>
          <w:bCs/>
          <w:color w:val="1A5276"/>
          <w:sz w:val="30"/>
          <w:szCs w:val="30"/>
        </w:rPr>
        <w:t xml:space="preserve">6.2 Error handling, backpressure and timeouts</w:t>
      </w:r>
      <w:bookmarkEnd w:id="100014"/>
    </w:p>
    <w:p>
      <w:pPr>
        <w:keepNext w:val="false"/>
        <w:spacing w:after="120" w:line="312"/>
        <w:jc w:val="left"/>
      </w:pPr>
      <w:r>
        <w:rPr>
          <w:rFonts w:ascii="Times New Roman" w:eastAsia="Times New Roman"/>
          <w:b w:val="false"/>
          <w:bCs w:val="false"/>
          <w:i w:val="false"/>
          <w:iCs w:val="false"/>
          <w:color w:val="000000"/>
          <w:sz w:val="24"/>
          <w:szCs w:val="24"/>
        </w:rPr>
        <w:t xml:space="preserve">The estate follows shared failure semantics: timeouts are explicit per interface and shorter than user patience; retries are idempotent with exponential backoff and jitter; queues apply bounded backpressure and shed load to the manual path rather than ballooning latency; circuit breakers open after sustained failure and close only on health checks. Every degradation emits a user-visible state (card absent, banner shown, queue status published) because silent degradation is treated as a safety defect, not a convenience [Best practice]. Dashboard alerting hooks these states directly, so IT sees the degradation before the first phone call.</w:t>
      </w:r>
    </w:p>
    <w:p>
      <w:pPr>
        <w:pStyle w:val="Heading1"/>
        <w:keepNext/>
        <w:spacing w:after="160" w:before="360" w:line="312"/>
        <w:jc w:val="center"/>
      </w:pPr>
      <w:bookmarkStart w:id="100015" w:name="_Toc100015"/>
      <w:r>
        <w:rPr>
          <w:rFonts w:ascii="Times New Roman" w:eastAsia="SimHei"/>
          <w:b/>
          <w:bCs/>
          <w:color w:val="1A5276"/>
          <w:sz w:val="32"/>
          <w:szCs w:val="32"/>
        </w:rPr>
        <w:t xml:space="preserve">7. Security Architecture</w:t>
      </w:r>
      <w:bookmarkEnd w:id="100015"/>
    </w:p>
    <w:p>
      <w:pPr>
        <w:pStyle w:val="Heading2"/>
        <w:keepNext/>
        <w:spacing w:after="120" w:before="240" w:line="312"/>
      </w:pPr>
      <w:bookmarkStart w:id="100016" w:name="_Toc100016"/>
      <w:r>
        <w:rPr>
          <w:rFonts w:ascii="Times New Roman" w:eastAsia="SimHei"/>
          <w:b/>
          <w:bCs/>
          <w:color w:val="1A5276"/>
          <w:sz w:val="30"/>
          <w:szCs w:val="30"/>
        </w:rPr>
        <w:t xml:space="preserve">7.1 Identity, authorisation and secrets</w:t>
      </w:r>
      <w:bookmarkEnd w:id="100016"/>
    </w:p>
    <w:p>
      <w:pPr>
        <w:keepNext w:val="false"/>
        <w:spacing w:after="120" w:line="312"/>
        <w:jc w:val="left"/>
      </w:pPr>
      <w:r>
        <w:rPr>
          <w:rFonts w:ascii="Times New Roman" w:eastAsia="Times New Roman"/>
          <w:b w:val="false"/>
          <w:bCs w:val="false"/>
          <w:i w:val="false"/>
          <w:iCs w:val="false"/>
          <w:color w:val="000000"/>
          <w:sz w:val="24"/>
          <w:szCs w:val="24"/>
        </w:rPr>
        <w:t xml:space="preserve">All services authenticate with workload identities; all user-facing features inherit hospital single sign-on with multi-factor authentication per existing policy; authorisation follows role-based access with least privilege, and the AI estate adds an attribute layer for use-case scoping (a user sees cards only for workflows their role is enrolled in) [Best practice]. Service accounts are single-purpose, short-secret, and rotated from the secrets platform; no static credentials in code, images or prompts. Break-glass access follows existing hospital procedure and is alarmed. Prompt-injection hardening treats retrieved content and user text as untrusted input: system instructions are separated from data, tool calls require allow-listed scopes, and the assurance corpora include injection and refusal-trap families run at every release [Best practice, aligned with NIST AI RMF GenAI profile 2024].</w:t>
      </w:r>
    </w:p>
    <w:p>
      <w:pPr>
        <w:pStyle w:val="Heading2"/>
        <w:keepNext/>
        <w:spacing w:after="120" w:before="240" w:line="312"/>
      </w:pPr>
      <w:bookmarkStart w:id="100017" w:name="_Toc100017"/>
      <w:r>
        <w:rPr>
          <w:rFonts w:ascii="Times New Roman" w:eastAsia="SimHei"/>
          <w:b/>
          <w:bCs/>
          <w:color w:val="1A5276"/>
          <w:sz w:val="30"/>
          <w:szCs w:val="30"/>
        </w:rPr>
        <w:t xml:space="preserve">7.2 De-identification pipeline controls</w:t>
      </w:r>
      <w:bookmarkEnd w:id="100017"/>
    </w:p>
    <w:p>
      <w:pPr>
        <w:keepNext w:val="false"/>
        <w:spacing w:after="120" w:line="312"/>
        <w:jc w:val="left"/>
      </w:pPr>
      <w:r>
        <w:rPr>
          <w:rFonts w:ascii="Times New Roman" w:eastAsia="Times New Roman"/>
          <w:b w:val="false"/>
          <w:bCs w:val="false"/>
          <w:i w:val="false"/>
          <w:iCs w:val="false"/>
          <w:color w:val="000000"/>
          <w:sz w:val="24"/>
          <w:szCs w:val="24"/>
        </w:rPr>
        <w:t xml:space="preserve">De-identification is engineered as a pipeline with measurable quality, not a checkbox. Controls: layered detection (rule/regex, NLP models, dictionary and context rules); a quarantine path for low-confidence documents; a leakage probe suite with planted identifiers run on every release and quarterly on full volume; human double-review sampling with a documented target recall on the probe suite [Target to be set at G1]; and a kill switch that halts outbound secondary-use flows when probes or audits breach thresholds. The pipeline reports its per-release recall/precision on probes into the evidence pack; honest numbers here are the price of honest downstream analytics [Best practice].</w:t>
      </w:r>
    </w:p>
    <w:p>
      <w:pPr>
        <w:pStyle w:val="Heading2"/>
        <w:keepNext/>
        <w:spacing w:after="120" w:before="240" w:line="312"/>
      </w:pPr>
      <w:bookmarkStart w:id="100018" w:name="_Toc100018"/>
      <w:r>
        <w:rPr>
          <w:rFonts w:ascii="Times New Roman" w:eastAsia="SimHei"/>
          <w:b/>
          <w:bCs/>
          <w:color w:val="1A5276"/>
          <w:sz w:val="30"/>
          <w:szCs w:val="30"/>
        </w:rPr>
        <w:t xml:space="preserve">7.3 Audit chain and logging</w:t>
      </w:r>
      <w:bookmarkEnd w:id="100018"/>
    </w:p>
    <w:p>
      <w:pPr>
        <w:keepNext w:val="false"/>
        <w:spacing w:after="120" w:line="312"/>
        <w:jc w:val="left"/>
      </w:pPr>
      <w:r>
        <w:rPr>
          <w:rFonts w:ascii="Times New Roman" w:eastAsia="Times New Roman"/>
          <w:b w:val="false"/>
          <w:bCs w:val="false"/>
          <w:i w:val="false"/>
          <w:iCs w:val="false"/>
          <w:color w:val="000000"/>
          <w:sz w:val="24"/>
          <w:szCs w:val="24"/>
        </w:rPr>
        <w:t xml:space="preserve">Security-relevant and clinical-provenance events flow to the central audit service and are appended to a hash chain: each record carries the hash of its predecessor, and periodic anchoring makes silent tampering detectable [Best practice]. Events cover authentication anomalies, authorisation failures, interface errors, model releases and rollbacks, probe runs, evidence pack issuance, de-identification outcomes and stop-rule executions. Logs are centralised, time-synchronised, access-controlled and retained per policy [To be confirmed]. The SIEM ingests AI-estate events with detection rules for anomalous egress, repeated refusal-bypass attempts (a known shadow-pattern), and privileged access outside change windows.</w:t>
      </w:r>
    </w:p>
    <w:p>
      <w:pPr>
        <w:pStyle w:val="Heading2"/>
        <w:keepNext/>
        <w:spacing w:after="120" w:before="240" w:line="312"/>
      </w:pPr>
      <w:bookmarkStart w:id="100019" w:name="_Toc100019"/>
      <w:r>
        <w:rPr>
          <w:rFonts w:ascii="Times New Roman" w:eastAsia="SimHei"/>
          <w:b/>
          <w:bCs/>
          <w:color w:val="1A5276"/>
          <w:sz w:val="30"/>
          <w:szCs w:val="30"/>
        </w:rPr>
        <w:t xml:space="preserve">7.4 Threat model summary and standards mapping</w:t>
      </w:r>
      <w:bookmarkEnd w:id="100019"/>
    </w:p>
    <w:p>
      <w:pPr>
        <w:keepNext/>
        <w:spacing w:after="80" w:before="200" w:line="312"/>
        <w:jc w:val="left"/>
      </w:pPr>
      <w:r>
        <w:rPr>
          <w:rFonts w:ascii="Times New Roman" w:eastAsia="Times New Roman"/>
          <w:b/>
          <w:bCs/>
          <w:color w:val="000000"/>
          <w:sz w:val="21"/>
          <w:szCs w:val="21"/>
        </w:rPr>
        <w:t xml:space="preserve">Table 7.1 - STRIDE-derived threat summary for the AI estate</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1406"/>
        <w:gridCol w:w="2988"/>
        <w:gridCol w:w="2636"/>
        <w:gridCol w:w="1758"/>
      </w:tblGrid>
      <w:tr>
        <w:trPr>
          <w:cantSplit/>
          <w:tblHeader/>
        </w:trPr>
        <w:tc>
          <w:tcPr>
            <w:tcW w:type="pct" w:w="8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Threat class</w:t>
            </w:r>
          </w:p>
        </w:tc>
        <w:tc>
          <w:tcPr>
            <w:tcW w:type="pct" w:w="17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Representative scenario</w:t>
            </w:r>
          </w:p>
        </w:tc>
        <w:tc>
          <w:tcPr>
            <w:tcW w:type="pct" w:w="15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Primary controls</w:t>
            </w:r>
          </w:p>
        </w:tc>
        <w:tc>
          <w:tcPr>
            <w:tcW w:type="pct" w:w="10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Residual risk owner</w:t>
            </w:r>
          </w:p>
        </w:tc>
      </w:tr>
      <w:tr>
        <w:trPr>
          <w:cantSplit/>
        </w:trPr>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Spoofing</w:t>
            </w:r>
          </w:p>
        </w:tc>
        <w:tc>
          <w:tcPr>
            <w:tcW w:type="pct" w:w="1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Rogue client calls inference API; stolen service credential</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mTLS; workload identity; short-lived secrets</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CISO</w:t>
            </w:r>
          </w:p>
        </w:tc>
      </w:tr>
      <w:tr>
        <w:trPr>
          <w:cantSplit/>
        </w:trPr>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Tampering</w:t>
            </w:r>
          </w:p>
        </w:tc>
        <w:tc>
          <w:tcPr>
            <w:tcW w:type="pct" w:w="1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Altered model artifact or corpus; poisoned index update</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Signed artifacts; integrity hashes; change-controlled release registry</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CIO</w:t>
            </w:r>
          </w:p>
        </w:tc>
      </w:tr>
      <w:tr>
        <w:trPr>
          <w:cantSplit/>
        </w:trPr>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Repudiation</w:t>
            </w:r>
          </w:p>
        </w:tc>
        <w:tc>
          <w:tcPr>
            <w:tcW w:type="pct" w:w="1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Dispute over who/what produced a clinical artifact</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Provenance stamping; hash-chained audit</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CMIO</w:t>
            </w:r>
          </w:p>
        </w:tc>
      </w:tr>
      <w:tr>
        <w:trPr>
          <w:cantSplit/>
        </w:trPr>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Information disclosure</w:t>
            </w:r>
          </w:p>
        </w:tc>
        <w:tc>
          <w:tcPr>
            <w:tcW w:type="pct" w:w="1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Identifier leakage through de-id; prompt content exfiltration</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Layered de-id + probes; egress allow-list; DLP-style inspection</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DPO</w:t>
            </w:r>
          </w:p>
        </w:tc>
      </w:tr>
      <w:tr>
        <w:trPr>
          <w:cantSplit/>
        </w:trPr>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Denial of service</w:t>
            </w:r>
          </w:p>
        </w:tc>
        <w:tc>
          <w:tcPr>
            <w:tcW w:type="pct" w:w="1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Runaway batch saturates inference; clinic-wide latency collapse</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Quotas; backpressure; circuit breakers; separate pilot/production pools</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CIO</w:t>
            </w:r>
          </w:p>
        </w:tc>
      </w:tr>
      <w:tr>
        <w:trPr>
          <w:cantSplit/>
        </w:trPr>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Elevation of privilege</w:t>
            </w:r>
          </w:p>
        </w:tc>
        <w:tc>
          <w:tcPr>
            <w:tcW w:type="pct" w:w="1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Prompt injection triggers unauthorised tool use</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Tool allow-lists; scope separation; injection corpus gates</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CISO</w:t>
            </w:r>
          </w:p>
        </w:tc>
      </w:tr>
    </w:tbl>
    <w:p>
      <w:pPr>
        <w:spacing w:after="200" w:before="80" w:line="312"/>
        <w:jc w:val="left"/>
      </w:pPr>
      <w:r>
        <w:rPr>
          <w:rFonts w:ascii="Times New Roman" w:eastAsia="Times New Roman"/>
          <w:i/>
          <w:iCs/>
          <w:color w:val="595959"/>
          <w:sz w:val="18"/>
          <w:szCs w:val="18"/>
        </w:rPr>
        <w:t xml:space="preserve">A full threat model workshop (per system) precedes G1; this summary fixes the vocabulary and the owners [Best practice].</w:t>
      </w:r>
    </w:p>
    <w:p>
      <w:pPr>
        <w:keepNext/>
        <w:spacing w:after="80" w:before="200" w:line="312"/>
        <w:jc w:val="left"/>
      </w:pPr>
      <w:r>
        <w:rPr>
          <w:rFonts w:ascii="Times New Roman" w:eastAsia="Times New Roman"/>
          <w:b/>
          <w:bCs/>
          <w:color w:val="000000"/>
          <w:sz w:val="21"/>
          <w:szCs w:val="21"/>
        </w:rPr>
        <w:t xml:space="preserve">Table 7.2 - Standards mapping for the AI estate</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2285"/>
        <w:gridCol w:w="3691"/>
        <w:gridCol w:w="2812"/>
      </w:tblGrid>
      <w:tr>
        <w:trPr>
          <w:cantSplit/>
          <w:tblHeader/>
        </w:trPr>
        <w:tc>
          <w:tcPr>
            <w:tcW w:type="pct" w:w="13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Standard [Standard]</w:t>
            </w:r>
          </w:p>
        </w:tc>
        <w:tc>
          <w:tcPr>
            <w:tcW w:type="pct" w:w="21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What it governs here</w:t>
            </w:r>
          </w:p>
        </w:tc>
        <w:tc>
          <w:tcPr>
            <w:tcW w:type="pct" w:w="16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Primary artefact that evidences alignment</w:t>
            </w:r>
          </w:p>
        </w:tc>
      </w:tr>
      <w:tr>
        <w:trPr>
          <w:cantSplit/>
        </w:trPr>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ISO/IEC 42001:2023 (AIMS)</w:t>
            </w:r>
          </w:p>
        </w:tc>
        <w:tc>
          <w:tcPr>
            <w:tcW w:type="pct" w:w="2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Management system for AI: roles, lifecycle, impact assessment</w:t>
            </w:r>
          </w:p>
        </w:tc>
        <w:tc>
          <w:tcPr>
            <w:tcW w:type="pct" w:w="16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AI governance manual; committee minutes; impact assessments</w:t>
            </w:r>
          </w:p>
        </w:tc>
      </w:tr>
      <w:tr>
        <w:trPr>
          <w:cantSplit/>
        </w:trPr>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ISO 14971 (risk management)</w:t>
            </w:r>
          </w:p>
        </w:tc>
        <w:tc>
          <w:tcPr>
            <w:tcW w:type="pct" w:w="2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Hazard identification and control for clinical AI use cases</w:t>
            </w:r>
          </w:p>
        </w:tc>
        <w:tc>
          <w:tcPr>
            <w:tcW w:type="pct" w:w="16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Per-use-case safety case and risk table</w:t>
            </w:r>
          </w:p>
        </w:tc>
      </w:tr>
      <w:tr>
        <w:trPr>
          <w:cantSplit/>
        </w:trPr>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ISO 27001:2022 (ISMS)</w:t>
            </w:r>
          </w:p>
        </w:tc>
        <w:tc>
          <w:tcPr>
            <w:tcW w:type="pct" w:w="2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Information security controls for the platform</w:t>
            </w:r>
          </w:p>
        </w:tc>
        <w:tc>
          <w:tcPr>
            <w:tcW w:type="pct" w:w="16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Statement of Applicability additions; pen-test reports</w:t>
            </w:r>
          </w:p>
        </w:tc>
      </w:tr>
      <w:tr>
        <w:trPr>
          <w:cantSplit/>
        </w:trPr>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IEC 62304 / IEC 82304-1</w:t>
            </w:r>
          </w:p>
        </w:tc>
        <w:tc>
          <w:tcPr>
            <w:tcW w:type="pct" w:w="2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Software lifecycle for health software where in scope</w:t>
            </w:r>
          </w:p>
        </w:tc>
        <w:tc>
          <w:tcPr>
            <w:tcW w:type="pct" w:w="16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Lifecycle records per software item [scope per counsel]</w:t>
            </w:r>
          </w:p>
        </w:tc>
      </w:tr>
      <w:tr>
        <w:trPr>
          <w:cantSplit/>
        </w:trPr>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IEC 80001-1:2010</w:t>
            </w:r>
          </w:p>
        </w:tc>
        <w:tc>
          <w:tcPr>
            <w:tcW w:type="pct" w:w="2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Safety, effectiveness and security of medical IT networks</w:t>
            </w:r>
          </w:p>
        </w:tc>
        <w:tc>
          <w:tcPr>
            <w:tcW w:type="pct" w:w="16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Network risk file; zone/matrix documentation (Section 4)</w:t>
            </w:r>
          </w:p>
        </w:tc>
      </w:tr>
      <w:tr>
        <w:trPr>
          <w:cantSplit/>
        </w:trPr>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NIST AI RMF 1.0 (2023) + GenAI Profile (2024)</w:t>
            </w:r>
          </w:p>
        </w:tc>
        <w:tc>
          <w:tcPr>
            <w:tcW w:type="pct" w:w="2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Trustworthiness dimensions: validity, safety, privacy, security, resilience, explainability, fairness</w:t>
            </w:r>
          </w:p>
        </w:tc>
        <w:tc>
          <w:tcPr>
            <w:tcW w:type="pct" w:w="16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Measure mappings in evidence pack templates</w:t>
            </w:r>
          </w:p>
        </w:tc>
      </w:tr>
      <w:tr>
        <w:trPr>
          <w:cantSplit/>
        </w:trPr>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HL7 FHIR R4; CDS Hooks; SMART App Launch</w:t>
            </w:r>
          </w:p>
        </w:tc>
        <w:tc>
          <w:tcPr>
            <w:tcW w:type="pct" w:w="2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Interoperability contracts</w:t>
            </w:r>
          </w:p>
        </w:tc>
        <w:tc>
          <w:tcPr>
            <w:tcW w:type="pct" w:w="16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Interface inventory and conformance tests</w:t>
            </w:r>
          </w:p>
        </w:tc>
      </w:tr>
    </w:tbl>
    <w:p>
      <w:pPr>
        <w:spacing w:after="200" w:before="80" w:line="312"/>
        <w:jc w:val="left"/>
      </w:pPr>
      <w:r>
        <w:rPr>
          <w:rFonts w:ascii="Times New Roman" w:eastAsia="Times New Roman"/>
          <w:i/>
          <w:iCs/>
          <w:color w:val="595959"/>
          <w:sz w:val="18"/>
          <w:szCs w:val="18"/>
        </w:rPr>
        <w:t xml:space="preserve">Mapping states alignment intent; certification claims require accredited assessment and are out of scope of this document [To be confirmed per strategy].</w:t>
      </w:r>
    </w:p>
    <w:p>
      <w:pPr>
        <w:pStyle w:val="Heading1"/>
        <w:keepNext/>
        <w:spacing w:after="160" w:before="360" w:line="312"/>
        <w:jc w:val="center"/>
      </w:pPr>
      <w:bookmarkStart w:id="100020" w:name="_Toc100020"/>
      <w:r>
        <w:rPr>
          <w:rFonts w:ascii="Times New Roman" w:eastAsia="SimHei"/>
          <w:b/>
          <w:bCs/>
          <w:color w:val="1A5276"/>
          <w:sz w:val="32"/>
          <w:szCs w:val="32"/>
        </w:rPr>
        <w:t xml:space="preserve">8. Backup, Recovery and Disaster Recovery</w:t>
      </w:r>
      <w:bookmarkEnd w:id="100020"/>
    </w:p>
    <w:p>
      <w:pPr>
        <w:keepNext w:val="false"/>
        <w:spacing w:after="120" w:line="312"/>
        <w:jc w:val="left"/>
      </w:pPr>
      <w:r>
        <w:rPr>
          <w:rFonts w:ascii="Times New Roman" w:eastAsia="Times New Roman"/>
          <w:b w:val="false"/>
          <w:bCs w:val="false"/>
          <w:i w:val="false"/>
          <w:iCs w:val="false"/>
          <w:color w:val="000000"/>
          <w:sz w:val="24"/>
          <w:szCs w:val="24"/>
        </w:rPr>
        <w:t xml:space="preserve">Recovery objectives are stated per service class and validated by test, never assumed: clinical-adjacent AI services (CDS cards, EF pipeline) target RTO [Target, e.g., under 4 hours] and RPO [Target, e.g., 15 minutes]; analytics-leaning services (RAG drafting, secondary-use pipelines) target RTO [Target, e.g., next business day] and RPO [Target, e.g., 24 hours]. All values are placeholders until the business impact analysis is done with clinical stakeholders [To be confirmed]. The governing principle is that AI service loss must never escalate to a clinical safety event because the manual fallback is always available and rehearsed (see CCOO Brief, Section 6, fallback drills).</w:t>
      </w:r>
    </w:p>
    <w:p>
      <w:pPr>
        <w:keepNext/>
        <w:spacing w:after="80" w:before="200" w:line="312"/>
        <w:jc w:val="left"/>
      </w:pPr>
      <w:r>
        <w:rPr>
          <w:rFonts w:ascii="Times New Roman" w:eastAsia="Times New Roman"/>
          <w:b/>
          <w:bCs/>
          <w:color w:val="000000"/>
          <w:sz w:val="21"/>
          <w:szCs w:val="21"/>
        </w:rPr>
        <w:t xml:space="preserve">Table 8.1 - Backup and recovery matrix</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1758"/>
        <w:gridCol w:w="2285"/>
        <w:gridCol w:w="1582"/>
        <w:gridCol w:w="1582"/>
        <w:gridCol w:w="1582"/>
      </w:tblGrid>
      <w:tr>
        <w:trPr>
          <w:cantSplit/>
          <w:tblHeader/>
        </w:trPr>
        <w:tc>
          <w:tcPr>
            <w:tcW w:type="pct" w:w="10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Asset class</w:t>
            </w:r>
          </w:p>
        </w:tc>
        <w:tc>
          <w:tcPr>
            <w:tcW w:type="pct" w:w="13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Backup approach</w:t>
            </w:r>
          </w:p>
        </w:tc>
        <w:tc>
          <w:tcPr>
            <w:tcW w:type="pct" w:w="9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RPO*</w:t>
            </w:r>
          </w:p>
        </w:tc>
        <w:tc>
          <w:tcPr>
            <w:tcW w:type="pct" w:w="9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RTO*</w:t>
            </w:r>
          </w:p>
        </w:tc>
        <w:tc>
          <w:tcPr>
            <w:tcW w:type="pct" w:w="9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Restore test cadence</w:t>
            </w:r>
          </w:p>
        </w:tc>
      </w:tr>
      <w:tr>
        <w:trPr>
          <w:cantSplit/>
        </w:trPr>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Model artifacts + registry</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Immutable versioned copies; integrity hash verified on restore</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Per release (0 loss)</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[Target]</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Quarterly</w:t>
            </w:r>
          </w:p>
        </w:tc>
      </w:tr>
      <w:tr>
        <w:trPr>
          <w:cantSplit/>
        </w:trPr>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Retrieval index + corpora</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Rebuildable from sources; snapshots for speed</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[Target]</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[Target]</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Quarterly (rebuild proof)</w:t>
            </w:r>
          </w:p>
        </w:tc>
      </w:tr>
      <w:tr>
        <w:trPr>
          <w:cantSplit/>
        </w:trPr>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Evidence packs + audit chain</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Append-only replication; anchoring verify on restore</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~0</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[Target]</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Quarterly verify</w:t>
            </w:r>
          </w:p>
        </w:tc>
      </w:tr>
      <w:tr>
        <w:trPr>
          <w:cantSplit/>
        </w:trPr>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De-id configuration + dictionaries</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Config-as-code in version control; secrets excluded</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Per commit</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[Target]</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Semi-annual</w:t>
            </w:r>
          </w:p>
        </w:tc>
      </w:tr>
      <w:tr>
        <w:trPr>
          <w:cantSplit/>
        </w:trPr>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Inference infrastructure</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IaC re-provisioning + golden images</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n/a</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[Target]</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Semi-annual (clean-room build)</w:t>
            </w:r>
          </w:p>
        </w:tc>
      </w:tr>
    </w:tbl>
    <w:p>
      <w:pPr>
        <w:spacing w:after="200" w:before="80" w:line="312"/>
        <w:jc w:val="left"/>
      </w:pPr>
      <w:r>
        <w:rPr>
          <w:rFonts w:ascii="Times New Roman" w:eastAsia="Times New Roman"/>
          <w:i/>
          <w:iCs/>
          <w:color w:val="595959"/>
          <w:sz w:val="18"/>
          <w:szCs w:val="18"/>
        </w:rPr>
        <w:t xml:space="preserve">*Recovery objectives are placeholders pending the business impact analysis with clinical stakeholders. Restore tests are real restores into a sandbox, with timings recorded into the evidence pack; a backup never validated is a rumour, not a control [Best practice].</w:t>
      </w:r>
    </w:p>
    <w:p>
      <w:pPr>
        <w:keepNext w:val="false"/>
        <w:spacing w:after="120" w:line="312"/>
        <w:jc w:val="left"/>
      </w:pPr>
      <w:r>
        <w:rPr>
          <w:rFonts w:ascii="Times New Roman" w:eastAsia="Times New Roman"/>
          <w:b w:val="false"/>
          <w:bCs w:val="false"/>
          <w:i w:val="false"/>
          <w:iCs w:val="false"/>
          <w:color w:val="000000"/>
          <w:sz w:val="24"/>
          <w:szCs w:val="24"/>
        </w:rPr>
        <w:t xml:space="preserve">Disaster recovery distinguishes infrastructure loss (re-provision in the secondary environment from IaC and artifacts) from vendor/cloud-region loss (contractual DR position per vendor [To be confirmed]) from data corruption (restore to last verified-good release set, then replay). The DR runbook is exercised semi-annually, includes the clinical communication tree, and its result is a standing item in the G4 steady-state evidence pack. Recovery of the AI estate never depends on recovering the EHR first, and clinical care never depends on recovering the AI estate first; the dependency graph is documented and tested in the same exercise.</w:t>
      </w:r>
    </w:p>
    <w:p>
      <w:pPr>
        <w:pStyle w:val="Heading1"/>
        <w:keepNext/>
        <w:spacing w:after="160" w:before="360" w:line="312"/>
        <w:jc w:val="center"/>
      </w:pPr>
      <w:bookmarkStart w:id="100021" w:name="_Toc100021"/>
      <w:r>
        <w:rPr>
          <w:rFonts w:ascii="Times New Roman" w:eastAsia="SimHei"/>
          <w:b/>
          <w:bCs/>
          <w:color w:val="1A5276"/>
          <w:sz w:val="32"/>
          <w:szCs w:val="32"/>
        </w:rPr>
        <w:t xml:space="preserve">9. Endpoint Strategy</w:t>
      </w:r>
      <w:bookmarkEnd w:id="100021"/>
    </w:p>
    <w:p>
      <w:pPr>
        <w:keepNext w:val="false"/>
        <w:spacing w:after="120" w:line="312"/>
        <w:jc w:val="left"/>
      </w:pPr>
      <w:r>
        <w:rPr>
          <w:rFonts w:ascii="Times New Roman" w:eastAsia="Times New Roman"/>
          <w:b w:val="false"/>
          <w:bCs w:val="false"/>
          <w:i w:val="false"/>
          <w:iCs w:val="false"/>
          <w:color w:val="000000"/>
          <w:sz w:val="24"/>
          <w:szCs w:val="24"/>
        </w:rPr>
        <w:t xml:space="preserve">AI features surface inside existing clinical endpoints, not through new hardware. Supported endpoints are: hospital-managed workstations running the current approved browser build used by the EHR; thin clients/VDI where already in use, with GPU-accelerated rendering explicitly out of scope because all inference is server-side; and, where policy allows, managed mobile devices for read-only views [Local Assumption per device policy]. Personal devices are not supported surfaces for AI features, and the shadow-AI policy in the CCOO Brief applies to them; the technical complement is network-level detection of unsanctioned AI service usage from hospital networks [Best practice].</w:t>
      </w:r>
    </w:p>
    <w:p>
      <w:pPr>
        <w:keepNext w:val="false"/>
        <w:spacing w:after="120" w:line="312"/>
        <w:jc w:val="left"/>
      </w:pPr>
      <w:r>
        <w:rPr>
          <w:rFonts w:ascii="Times New Roman" w:eastAsia="Times New Roman"/>
          <w:b w:val="false"/>
          <w:bCs w:val="false"/>
          <w:i w:val="false"/>
          <w:iCs w:val="false"/>
          <w:color w:val="000000"/>
          <w:sz w:val="24"/>
          <w:szCs w:val="24"/>
        </w:rPr>
        <w:t xml:space="preserve">Endpoint behaviour rules keep failure visible and sessions safe: cards render within the EHR page and never pop over clinical content; a card that cannot load renders nothing (with an icon and log entry), never an error storm; session timeouts follow existing clinical policy, balancing security with ward realities [Baseline to confirm]; clipboard and export from AI surfaces follow existing PHI handling rules. Kiosk and shared-workstation complexities (roaming profiles, session reuse, cached context) are handled by the existing EHR client strategy rather than bespoke AI behaviour, so the AI estate adds no new endpoint-side state [Best practice].</w:t>
      </w:r>
    </w:p>
    <w:p>
      <w:pPr>
        <w:keepNext w:val="false"/>
        <w:spacing w:after="120" w:line="312"/>
        <w:jc w:val="left"/>
      </w:pPr>
      <w:r>
        <w:rPr>
          <w:rFonts w:ascii="Times New Roman" w:eastAsia="Times New Roman"/>
          <w:b w:val="false"/>
          <w:bCs w:val="false"/>
          <w:i w:val="false"/>
          <w:iCs w:val="false"/>
          <w:color w:val="000000"/>
          <w:sz w:val="24"/>
          <w:szCs w:val="24"/>
        </w:rPr>
        <w:t xml:space="preserve">Accessibility and language are readiness items, not afterthoughts: contrast, keyboard navigation and screen-reader semantics follow existing accessibility standards adopted by the hospital [To be confirmed which standard]; multilingual behaviour of the language model is a probe-gated feature because fairness/consistency corpora include language variants, and any gap is disclosed in the evidence pack rather than discovered at the bedside.</w:t>
      </w:r>
    </w:p>
    <w:p>
      <w:pPr>
        <w:pStyle w:val="Heading1"/>
        <w:keepNext/>
        <w:spacing w:after="160" w:before="360" w:line="312"/>
        <w:jc w:val="center"/>
      </w:pPr>
      <w:bookmarkStart w:id="100022" w:name="_Toc100022"/>
      <w:r>
        <w:rPr>
          <w:rFonts w:ascii="Times New Roman" w:eastAsia="SimHei"/>
          <w:b/>
          <w:bCs/>
          <w:color w:val="1A5276"/>
          <w:sz w:val="32"/>
          <w:szCs w:val="32"/>
        </w:rPr>
        <w:t xml:space="preserve">10. Monitoring and Observability</w:t>
      </w:r>
      <w:bookmarkEnd w:id="100022"/>
    </w:p>
    <w:p>
      <w:pPr>
        <w:keepNext w:val="false"/>
        <w:spacing w:after="120" w:line="312"/>
        <w:jc w:val="left"/>
      </w:pPr>
      <w:r>
        <w:rPr>
          <w:rFonts w:ascii="Times New Roman" w:eastAsia="Times New Roman"/>
          <w:b w:val="false"/>
          <w:bCs w:val="false"/>
          <w:i w:val="false"/>
          <w:iCs w:val="false"/>
          <w:color w:val="000000"/>
          <w:sz w:val="24"/>
          <w:szCs w:val="24"/>
        </w:rPr>
        <w:t xml:space="preserve">Observability covers three planes. The infrastructure plane watches the usual: CPU/GPU utilisation, memory, queue depths, disk, certificate expiry, replication lag. The service plane watches per-interface golden signals: latency percentiles, error rate, throughput, saturation, with SLOs agreed per interface [Targets to be confirmed at G1]. The model plane is AI-specific and non-negotiable for gates: input drift (schema, vocabulary, source-mix), output health (refusal rates, citation validity, refusal precision sampling), latency by model version, and probe-suite scores over time. The model plane exists so that the question 'did the model get worse after X?' has a data answer within minutes, not a meeting answer within weeks [Best practice].</w:t>
      </w:r>
    </w:p>
    <w:p>
      <w:pPr>
        <w:keepNext/>
        <w:spacing w:after="80" w:before="200" w:line="312"/>
        <w:jc w:val="left"/>
      </w:pPr>
      <w:r>
        <w:rPr>
          <w:rFonts w:ascii="Times New Roman" w:eastAsia="Times New Roman"/>
          <w:b/>
          <w:bCs/>
          <w:color w:val="000000"/>
          <w:sz w:val="21"/>
          <w:szCs w:val="21"/>
        </w:rPr>
        <w:t xml:space="preserve">Table 10.1 - Alert severities and response expectations</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1230"/>
        <w:gridCol w:w="3515"/>
        <w:gridCol w:w="2285"/>
        <w:gridCol w:w="1758"/>
      </w:tblGrid>
      <w:tr>
        <w:trPr>
          <w:cantSplit/>
          <w:tblHeader/>
        </w:trPr>
        <w:tc>
          <w:tcPr>
            <w:tcW w:type="pct" w:w="7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Severity</w:t>
            </w:r>
          </w:p>
        </w:tc>
        <w:tc>
          <w:tcPr>
            <w:tcW w:type="pct" w:w="20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Trigger examples</w:t>
            </w:r>
          </w:p>
        </w:tc>
        <w:tc>
          <w:tcPr>
            <w:tcW w:type="pct" w:w="13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Response expectation</w:t>
            </w:r>
          </w:p>
        </w:tc>
        <w:tc>
          <w:tcPr>
            <w:tcW w:type="pct" w:w="10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Escalation</w:t>
            </w:r>
          </w:p>
        </w:tc>
      </w:tr>
      <w:tr>
        <w:trPr>
          <w:cantSplit/>
        </w:trPr>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S1</w:t>
            </w:r>
          </w:p>
        </w:tc>
        <w:tc>
          <w:tcPr>
            <w:tcW w:type="pct" w:w="2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Confirmed privacy leak; suspected AI-related serious safety event; clinical interface down</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Immediate; stop-rule evaluation; on-call + clinical safety officer</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Committee within [24h]; Board per R-rules</w:t>
            </w:r>
          </w:p>
        </w:tc>
      </w:tr>
      <w:tr>
        <w:trPr>
          <w:cantSplit/>
        </w:trPr>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S2</w:t>
            </w:r>
          </w:p>
        </w:tc>
        <w:tc>
          <w:tcPr>
            <w:tcW w:type="pct" w:w="2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Latency SLO breach in clinical hours; refusal-rate anomaly; drift alarm</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[Target: 1 business hour] acknowledgement; workaround verified</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Service owner; committee dashboard</w:t>
            </w:r>
          </w:p>
        </w:tc>
      </w:tr>
      <w:tr>
        <w:trPr>
          <w:cantSplit/>
        </w:trPr>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S3</w:t>
            </w:r>
          </w:p>
        </w:tc>
        <w:tc>
          <w:tcPr>
            <w:tcW w:type="pct" w:w="2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Off-peak SLO breach; queue backpressure; probe suite minor regressions</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Next business day; ticket with owner</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Weekly ops review</w:t>
            </w:r>
          </w:p>
        </w:tc>
      </w:tr>
      <w:tr>
        <w:trPr>
          <w:cantSplit/>
        </w:trPr>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S4</w:t>
            </w:r>
          </w:p>
        </w:tc>
        <w:tc>
          <w:tcPr>
            <w:tcW w:type="pct" w:w="2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Trend warnings; capacity forecasts; certificate renewals</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Planned work</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Backlog</w:t>
            </w:r>
          </w:p>
        </w:tc>
      </w:tr>
    </w:tbl>
    <w:p>
      <w:pPr>
        <w:spacing w:after="200" w:before="80" w:line="312"/>
        <w:jc w:val="left"/>
      </w:pPr>
      <w:r>
        <w:rPr>
          <w:rFonts w:ascii="Times New Roman" w:eastAsia="Times New Roman"/>
          <w:i/>
          <w:iCs/>
          <w:color w:val="595959"/>
          <w:sz w:val="18"/>
          <w:szCs w:val="18"/>
        </w:rPr>
        <w:t xml:space="preserve">Alert routing, on-call rotas and maintenance windows follow existing IT operations policy [Local Assumption]; AI-estate alerts land in the same system, not a parallel one.</w:t>
      </w:r>
    </w:p>
    <w:p>
      <w:pPr>
        <w:keepNext w:val="false"/>
        <w:spacing w:after="120" w:line="312"/>
        <w:jc w:val="left"/>
      </w:pPr>
      <w:r>
        <w:rPr>
          <w:rFonts w:ascii="Times New Roman" w:eastAsia="Times New Roman"/>
          <w:b w:val="false"/>
          <w:bCs w:val="false"/>
          <w:i w:val="false"/>
          <w:iCs w:val="false"/>
          <w:color w:val="000000"/>
          <w:sz w:val="24"/>
          <w:szCs w:val="24"/>
        </w:rPr>
        <w:t xml:space="preserve">Dashboards are layered to match audiences: an operations board for IT (SLOs, queues, errors), a model health board for the assurance function (drift, refusal health, probe scores, release timeline overlays), and the governance dashboard for CCOO/committee defined in the CCOO Brief. All three read from the same telemetry store so numbers cannot disagree between audiences [Best practice]. Log and trace retention, sampling rates and PII scrubbing in telemetry follow the data governance policy; telemetry must never become a side channel for identified data into the AI zone [Standard: PDPA-aligned practice].</w:t>
      </w:r>
    </w:p>
    <w:p>
      <w:pPr>
        <w:pStyle w:val="Heading1"/>
        <w:keepNext/>
        <w:spacing w:after="160" w:before="360" w:line="312"/>
        <w:jc w:val="center"/>
      </w:pPr>
      <w:bookmarkStart w:id="100023" w:name="_Toc100023"/>
      <w:r>
        <w:rPr>
          <w:rFonts w:ascii="Times New Roman" w:eastAsia="SimHei"/>
          <w:b/>
          <w:bCs/>
          <w:color w:val="1A5276"/>
          <w:sz w:val="32"/>
          <w:szCs w:val="32"/>
        </w:rPr>
        <w:t xml:space="preserve">11. Environments, Change Control and Model Release</w:t>
      </w:r>
      <w:bookmarkEnd w:id="100023"/>
    </w:p>
    <w:p>
      <w:pPr>
        <w:keepNext w:val="false"/>
        <w:spacing w:after="120" w:line="312"/>
        <w:jc w:val="left"/>
      </w:pPr>
      <w:r>
        <w:rPr>
          <w:rFonts w:ascii="Times New Roman" w:eastAsia="Times New Roman"/>
          <w:b w:val="false"/>
          <w:bCs w:val="false"/>
          <w:i w:val="false"/>
          <w:iCs w:val="false"/>
          <w:color w:val="000000"/>
          <w:sz w:val="24"/>
          <w:szCs w:val="24"/>
        </w:rPr>
        <w:t xml:space="preserve">The environment line is: development (sandbox, synthetic data only), test (integration with mocked clinical systems and recorded traffic), staging (production-like, de-identified or synthetic data, full probe suite runs here), and production. Synthetic and de-identified data rules are enforced per environment with technical controls, and the probe corpora live in version control with the same rigour as code. Infrastructure is code; environments are re-buildable; configuration drift is detected, not negotiated [Best practice].</w:t>
      </w:r>
    </w:p>
    <w:p>
      <w:pPr>
        <w:keepNext w:val="false"/>
        <w:spacing w:after="120" w:line="312"/>
        <w:jc w:val="left"/>
      </w:pPr>
      <w:r>
        <w:rPr>
          <w:rFonts w:ascii="Times New Roman" w:eastAsia="Times New Roman"/>
          <w:b w:val="false"/>
          <w:bCs w:val="false"/>
          <w:i w:val="false"/>
          <w:iCs w:val="false"/>
          <w:color w:val="000000"/>
          <w:sz w:val="24"/>
          <w:szCs w:val="24"/>
        </w:rPr>
        <w:t xml:space="preserve">Model releases are the estate's special change class. A release unit binds model weights, quantisation, serving version, prompt templates, retrieval index version, policy configuration and probe results under one signed hash; deployment follows the existing change calendar with clinical communication, and rollback is the pre-built previous release unit, tested in staging as part of release. Blue/green or shadow-mode deployment is used where the interface allows it; a release that cannot articulate its rollback is a release that does not ship. Emergency changes follow existing emergency procedure with retrospective review at the next committee meeting [Best practice, aligned with IEC 62304 lifecycle thinking where in scope].</w:t>
      </w:r>
    </w:p>
    <w:p>
      <w:pPr>
        <w:keepNext w:val="false"/>
        <w:spacing w:after="120" w:line="312"/>
        <w:jc w:val="left"/>
      </w:pPr>
      <w:r>
        <w:rPr>
          <w:rFonts w:ascii="Times New Roman" w:eastAsia="Times New Roman"/>
          <w:b w:val="false"/>
          <w:bCs w:val="false"/>
          <w:i w:val="false"/>
          <w:iCs w:val="false"/>
          <w:color w:val="000000"/>
          <w:sz w:val="24"/>
          <w:szCs w:val="24"/>
        </w:rPr>
        <w:t xml:space="preserve">Planned-change and postmortem discipline connects this document to the assurance programme: every planned change names the probe suites it will re-run; every S1/S2 incident gets the structured postmortem defined in the Board paper; and postmortem corrective actions are tracked to closure in the same register as clinical audit actions. The IT community should treat the evidence pack not as overhead but as the release notes that regulators, auditors and future engineers will actually read.</w:t>
      </w:r>
    </w:p>
    <w:p>
      <w:pPr>
        <w:pStyle w:val="Heading1"/>
        <w:keepNext/>
        <w:spacing w:after="160" w:before="360" w:line="312"/>
        <w:jc w:val="center"/>
      </w:pPr>
      <w:bookmarkStart w:id="100024" w:name="_Toc100024"/>
      <w:r>
        <w:rPr>
          <w:rFonts w:ascii="Times New Roman" w:eastAsia="SimHei"/>
          <w:b/>
          <w:bCs/>
          <w:color w:val="1A5276"/>
          <w:sz w:val="32"/>
          <w:szCs w:val="32"/>
        </w:rPr>
        <w:t xml:space="preserve">12. IT-Specific Tests</w:t>
      </w:r>
      <w:bookmarkEnd w:id="100024"/>
    </w:p>
    <w:p>
      <w:pPr>
        <w:keepNext w:val="false"/>
        <w:spacing w:after="120" w:line="312"/>
        <w:jc w:val="left"/>
      </w:pPr>
      <w:r>
        <w:rPr>
          <w:rFonts w:ascii="Times New Roman" w:eastAsia="Times New Roman"/>
          <w:b w:val="false"/>
          <w:bCs w:val="false"/>
          <w:i w:val="false"/>
          <w:iCs w:val="false"/>
          <w:color w:val="000000"/>
          <w:sz w:val="24"/>
          <w:szCs w:val="24"/>
        </w:rPr>
        <w:t xml:space="preserve">The following tests are gate conditions: they run in staging against production-equivalent configuration, their results attach to the G1/G2 evidence packs, and they re-run on every material change. Where a test cannot yet run, the honest state is recorded as not-passed; readiness declarations with silent gaps are treated as findings by internal audit.</w:t>
      </w:r>
    </w:p>
    <w:p>
      <w:pPr>
        <w:keepNext/>
        <w:spacing w:after="80" w:before="200" w:line="312"/>
        <w:jc w:val="left"/>
      </w:pPr>
      <w:r>
        <w:rPr>
          <w:rFonts w:ascii="Times New Roman" w:eastAsia="Times New Roman"/>
          <w:b/>
          <w:bCs/>
          <w:color w:val="000000"/>
          <w:sz w:val="21"/>
          <w:szCs w:val="21"/>
        </w:rPr>
        <w:t xml:space="preserve">Table 12.1 - IT readiness test catalogue</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1142"/>
        <w:gridCol w:w="1230"/>
        <w:gridCol w:w="1670"/>
        <w:gridCol w:w="1142"/>
        <w:gridCol w:w="1230"/>
        <w:gridCol w:w="1142"/>
        <w:gridCol w:w="1230"/>
      </w:tblGrid>
      <w:tr>
        <w:trPr>
          <w:cantSplit/>
          <w:tblHeader/>
        </w:trPr>
        <w:tc>
          <w:tcPr>
            <w:tcW w:type="pct" w:w="65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Test</w:t>
            </w:r>
          </w:p>
        </w:tc>
        <w:tc>
          <w:tcPr>
            <w:tcW w:type="pct" w:w="7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Type</w:t>
            </w:r>
          </w:p>
        </w:tc>
        <w:tc>
          <w:tcPr>
            <w:tcW w:type="pct" w:w="95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Measurement method (summary)</w:t>
            </w:r>
          </w:p>
        </w:tc>
        <w:tc>
          <w:tcPr>
            <w:tcW w:type="pct" w:w="65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Baseline</w:t>
            </w:r>
          </w:p>
        </w:tc>
        <w:tc>
          <w:tcPr>
            <w:tcW w:type="pct" w:w="7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Target</w:t>
            </w:r>
          </w:p>
        </w:tc>
        <w:tc>
          <w:tcPr>
            <w:tcW w:type="pct" w:w="65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Owner</w:t>
            </w:r>
          </w:p>
        </w:tc>
        <w:tc>
          <w:tcPr>
            <w:tcW w:type="pct" w:w="7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Cadence</w:t>
            </w:r>
          </w:p>
        </w:tc>
      </w:tr>
      <w:tr>
        <w:trPr>
          <w:cantSplit/>
        </w:trPr>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Load and latency</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Performance</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Production-shaped load at [1x, 2x] pilot concurrency; percentile latencies per interface</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[Last result / not yet run]</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p95 within budgets (Section 4.3)</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Platform team</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Each release + annual</w:t>
            </w:r>
          </w:p>
        </w:tc>
      </w:tr>
      <w:tr>
        <w:trPr>
          <w:cantSplit/>
        </w:trPr>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Sustained/soak</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Performance</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24-72h soak; memory growth, queue drift, GPU thermals</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[Last result / not yet run]</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No unbounded growth; SLOs held</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Platform team</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Before G2</w:t>
            </w:r>
          </w:p>
        </w:tc>
      </w:tr>
      <w:tr>
        <w:trPr>
          <w:cantSplit/>
        </w:trPr>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Interface conformance</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Integration</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Contract tests for each Table 6.1 interface incl. negative cases</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[Last result / not yet run]</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100% pass</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Integration team</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Each release</w:t>
            </w:r>
          </w:p>
        </w:tc>
      </w:tr>
      <w:tr>
        <w:trPr>
          <w:cantSplit/>
        </w:trPr>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Write-authority denial</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Security/Integration</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Attempt out-of-scope writes from AI zone via all paths</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[Last result / not yet run]</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100% denied + alarmed</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Security team</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Each release</w:t>
            </w:r>
          </w:p>
        </w:tc>
      </w:tr>
      <w:tr>
        <w:trPr>
          <w:cantSplit/>
        </w:trPr>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Failover drill</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Resilience</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Kill primary components; verify fallback states per Table 6.1 and timing</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[Last result / not yet run]</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Manual path within [Target]</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IT operations</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Semi-annual + pre-G2</w:t>
            </w:r>
          </w:p>
        </w:tc>
      </w:tr>
      <w:tr>
        <w:trPr>
          <w:cantSplit/>
        </w:trPr>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DR clean-room build</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Resilience</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Full environment build from IaC + artifacts in sandbox; restore verification</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[Last result / not yet run]</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RTO/RPO met (Section 8)</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IT operations</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Semi-annual</w:t>
            </w:r>
          </w:p>
        </w:tc>
      </w:tr>
      <w:tr>
        <w:trPr>
          <w:cantSplit/>
        </w:trPr>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De-id leakage probes</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Privacy</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Planted-identifier corpus through pipeline incl. adversarial formats</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[Last result / not yet run]</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Recall &gt;= [Target]; zero confirmed leaks</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Privacy/assurance</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Each release + quarterly</w:t>
            </w:r>
          </w:p>
        </w:tc>
      </w:tr>
      <w:tr>
        <w:trPr>
          <w:cantSplit/>
        </w:trPr>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Injection/refusal traps</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AI security</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Run assurance corpora families through services</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[Last result / not yet run]</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No policy bypass; refusals correct</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Assurance team</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Each release</w:t>
            </w:r>
          </w:p>
        </w:tc>
      </w:tr>
      <w:tr>
        <w:trPr>
          <w:cantSplit/>
        </w:trPr>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Fairness/consistency probes</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AI quality</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Demographic/linguistic variant corpora; consistency scoring</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[Last result / not yet run]</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Within gate thresholds</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Assurance team</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Each release</w:t>
            </w:r>
          </w:p>
        </w:tc>
      </w:tr>
      <w:tr>
        <w:trPr>
          <w:cantSplit/>
        </w:trPr>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Penetration test</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Security</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Independent CREST-equivalent test of the AI zone and integration paths [Vendor]</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[Last result / not yet run]</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No criticals; highs remediated</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Security + [Vendor]</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Annual + post-architecture change</w:t>
            </w:r>
          </w:p>
        </w:tc>
      </w:tr>
      <w:tr>
        <w:trPr>
          <w:cantSplit/>
        </w:trPr>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Audit chain verification</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Integrity</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Recompute chain hashes; tamper simulation; anchoring check</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[Last result / not yet run]</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Verification passes; tamper detected</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Assurance team</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Quarterly</w:t>
            </w:r>
          </w:p>
        </w:tc>
      </w:tr>
      <w:tr>
        <w:trPr>
          <w:cantSplit/>
        </w:trPr>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Telemetry PHI scrub check</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Privacy</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Sample logs/traces for identifier patterns</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[Last result / not yet run]</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Zero findings</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Privacy team</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Quarterly</w:t>
            </w:r>
          </w:p>
        </w:tc>
      </w:tr>
      <w:tr>
        <w:trPr>
          <w:cantSplit/>
        </w:trPr>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Certificate/secret rotation</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Security</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Automated rotation dry-run incl. break-glass</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[Last result / not yet run]</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Rotation within policy windows</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Security team</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Quarterly</w:t>
            </w:r>
          </w:p>
        </w:tc>
      </w:tr>
      <w:tr>
        <w:trPr>
          <w:cantSplit/>
        </w:trPr>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Endpoint rendering matrix</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Compatibility</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Cards and surfaces on the approved browser/VDI matrix</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[Last result / not yet run]</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No functional regressions</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IT operations</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Each release</w:t>
            </w:r>
          </w:p>
        </w:tc>
      </w:tr>
    </w:tbl>
    <w:p>
      <w:pPr>
        <w:spacing w:after="200" w:before="80" w:line="312"/>
        <w:jc w:val="left"/>
      </w:pPr>
      <w:r>
        <w:rPr>
          <w:rFonts w:ascii="Times New Roman" w:eastAsia="Times New Roman"/>
          <w:i/>
          <w:iCs/>
          <w:color w:val="595959"/>
          <w:sz w:val="18"/>
          <w:szCs w:val="18"/>
        </w:rPr>
        <w:t xml:space="preserve">Test targets shown as [Target] are frozen at gate G1 and may only be raised afterward; lowering any safety or privacy target requires committee resolution with recorded rationale [Best practice]. The Baseline column records the current honest state (typically “not yet run” before G1); it is never left blank - an unknown result is recorded as unknown, not assumed to be a pass.</w:t>
      </w:r>
    </w:p>
    <w:p>
      <w:pPr>
        <w:pStyle w:val="Heading1"/>
        <w:keepNext/>
        <w:spacing w:after="160" w:before="360" w:line="312"/>
        <w:jc w:val="center"/>
      </w:pPr>
      <w:bookmarkStart w:id="100025" w:name="_Toc100025"/>
      <w:r>
        <w:rPr>
          <w:rFonts w:ascii="Times New Roman" w:eastAsia="SimHei"/>
          <w:b/>
          <w:bCs/>
          <w:color w:val="1A5276"/>
          <w:sz w:val="32"/>
          <w:szCs w:val="32"/>
        </w:rPr>
        <w:t xml:space="preserve">13. Readiness Declaration and Sign-off</w:t>
      </w:r>
      <w:bookmarkEnd w:id="100025"/>
    </w:p>
    <w:p>
      <w:pPr>
        <w:keepNext w:val="false"/>
        <w:spacing w:after="120" w:line="312"/>
        <w:jc w:val="left"/>
      </w:pPr>
      <w:r>
        <w:rPr>
          <w:rFonts w:ascii="Times New Roman" w:eastAsia="Times New Roman"/>
          <w:b w:val="false"/>
          <w:bCs w:val="false"/>
          <w:i w:val="false"/>
          <w:iCs w:val="false"/>
          <w:color w:val="000000"/>
          <w:sz w:val="24"/>
          <w:szCs w:val="24"/>
        </w:rPr>
        <w:t xml:space="preserve">The readiness declaration is the IT community's formal statement that the platform is fit for a clinical pilot. It is signed when every item below is either complete or explicitly waived in writing by the named authority; partial readiness is a valid, useful state - what it must never be is undocumented.</w:t>
      </w:r>
    </w:p>
    <w:p>
      <w:pPr>
        <w:keepNext/>
        <w:spacing w:after="80" w:before="200" w:line="312"/>
        <w:jc w:val="left"/>
      </w:pPr>
      <w:r>
        <w:rPr>
          <w:rFonts w:ascii="Times New Roman" w:eastAsia="Times New Roman"/>
          <w:b/>
          <w:bCs/>
          <w:color w:val="000000"/>
          <w:sz w:val="21"/>
          <w:szCs w:val="21"/>
        </w:rPr>
        <w:t xml:space="preserve">Table 13.1 - Readiness declaration checklist</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703"/>
        <w:gridCol w:w="3867"/>
        <w:gridCol w:w="2109"/>
        <w:gridCol w:w="2109"/>
      </w:tblGrid>
      <w:tr>
        <w:trPr>
          <w:cantSplit/>
          <w:tblHeader/>
        </w:trPr>
        <w:tc>
          <w:tcPr>
            <w:tcW w:type="pct" w:w="4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w:t>
            </w:r>
          </w:p>
        </w:tc>
        <w:tc>
          <w:tcPr>
            <w:tcW w:type="pct" w:w="22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Item</w:t>
            </w:r>
          </w:p>
        </w:tc>
        <w:tc>
          <w:tcPr>
            <w:tcW w:type="pct" w:w="12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Evidence artefact</w:t>
            </w:r>
          </w:p>
        </w:tc>
        <w:tc>
          <w:tcPr>
            <w:tcW w:type="pct" w:w="12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Sign-off role</w:t>
            </w:r>
          </w:p>
        </w:tc>
      </w:tr>
      <w:tr>
        <w:trPr>
          <w:cantSplit/>
        </w:trPr>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1</w:t>
            </w:r>
          </w:p>
        </w:tc>
        <w:tc>
          <w:tcPr>
            <w:tcW w:type="pct" w:w="2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Zones, firewall matrix and flows implemented as designed; exceptions ticketed</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Network risk file; firewall export</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Network lead</w:t>
            </w:r>
          </w:p>
        </w:tc>
      </w:tr>
      <w:tr>
        <w:trPr>
          <w:cantSplit/>
        </w:trPr>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2</w:t>
            </w:r>
          </w:p>
        </w:tc>
        <w:tc>
          <w:tcPr>
            <w:tcW w:type="pct" w:w="2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Interfaces live per inventory; conformance tests green</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Test report</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Integration lead</w:t>
            </w:r>
          </w:p>
        </w:tc>
      </w:tr>
      <w:tr>
        <w:trPr>
          <w:cantSplit/>
        </w:trPr>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3</w:t>
            </w:r>
          </w:p>
        </w:tc>
        <w:tc>
          <w:tcPr>
            <w:tcW w:type="pct" w:w="2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Compute sized by benchmark; capacity plan approved</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Benchmark report</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Platform lead</w:t>
            </w:r>
          </w:p>
        </w:tc>
      </w:tr>
      <w:tr>
        <w:trPr>
          <w:cantSplit/>
        </w:trPr>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4</w:t>
            </w:r>
          </w:p>
        </w:tc>
        <w:tc>
          <w:tcPr>
            <w:tcW w:type="pct" w:w="2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Security controls deployed; pen test criticals closed</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Pen test report; remediation log</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CISO</w:t>
            </w:r>
          </w:p>
        </w:tc>
      </w:tr>
      <w:tr>
        <w:trPr>
          <w:cantSplit/>
        </w:trPr>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5</w:t>
            </w:r>
          </w:p>
        </w:tc>
        <w:tc>
          <w:tcPr>
            <w:tcW w:type="pct" w:w="2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De-id pipeline validated; probes green</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Probe report</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DPO + data platform</w:t>
            </w:r>
          </w:p>
        </w:tc>
      </w:tr>
      <w:tr>
        <w:trPr>
          <w:cantSplit/>
        </w:trPr>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6</w:t>
            </w:r>
          </w:p>
        </w:tc>
        <w:tc>
          <w:tcPr>
            <w:tcW w:type="pct" w:w="2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Backup/DR implemented; restore and clean-room tests passed</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DR test report</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Infrastructure lead</w:t>
            </w:r>
          </w:p>
        </w:tc>
      </w:tr>
      <w:tr>
        <w:trPr>
          <w:cantSplit/>
        </w:trPr>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7</w:t>
            </w:r>
          </w:p>
        </w:tc>
        <w:tc>
          <w:tcPr>
            <w:tcW w:type="pct" w:w="2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Monitoring/alerting live; SLOs agreed; on-call rota set</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Ops handbook extract</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IT operations manager</w:t>
            </w:r>
          </w:p>
        </w:tc>
      </w:tr>
      <w:tr>
        <w:trPr>
          <w:cantSplit/>
        </w:trPr>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8</w:t>
            </w:r>
          </w:p>
        </w:tc>
        <w:tc>
          <w:tcPr>
            <w:tcW w:type="pct" w:w="2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Release registry operational; rollback rehearsed</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Registry extract; drill log</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Platform lead</w:t>
            </w:r>
          </w:p>
        </w:tc>
      </w:tr>
      <w:tr>
        <w:trPr>
          <w:cantSplit/>
        </w:trPr>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9</w:t>
            </w:r>
          </w:p>
        </w:tc>
        <w:tc>
          <w:tcPr>
            <w:tcW w:type="pct" w:w="2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Endpoint matrix verified</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Compatibility report</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Endpoint lead</w:t>
            </w:r>
          </w:p>
        </w:tc>
      </w:tr>
      <w:tr>
        <w:trPr>
          <w:cantSplit/>
        </w:trPr>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10</w:t>
            </w:r>
          </w:p>
        </w:tc>
        <w:tc>
          <w:tcPr>
            <w:tcW w:type="pct" w:w="2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Runbooks written: degradation, stop-rule execution, rollback, DR</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Runbook set</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Service owner</w:t>
            </w:r>
          </w:p>
        </w:tc>
      </w:tr>
    </w:tbl>
    <w:p>
      <w:pPr>
        <w:spacing w:after="200" w:before="80" w:line="312"/>
        <w:jc w:val="left"/>
      </w:pPr>
      <w:r>
        <w:rPr>
          <w:rFonts w:ascii="Times New Roman" w:eastAsia="Times New Roman"/>
          <w:i/>
          <w:iCs/>
          <w:color w:val="595959"/>
          <w:sz w:val="18"/>
          <w:szCs w:val="18"/>
        </w:rPr>
        <w:t xml:space="preserve">Signatures: [Name, role, date] placeholders retained for completion. The declaration feeds gate G1 evidence and expires with the evidence pack.</w:t>
      </w:r>
    </w:p>
    <w:p>
      <w:pPr>
        <w:pStyle w:val="Heading1"/>
        <w:keepNext/>
        <w:spacing w:after="160" w:before="360" w:line="312"/>
        <w:jc w:val="center"/>
      </w:pPr>
      <w:bookmarkStart w:id="100026" w:name="_Toc100026"/>
      <w:r>
        <w:rPr>
          <w:rFonts w:ascii="Times New Roman" w:eastAsia="SimHei"/>
          <w:b/>
          <w:bCs/>
          <w:color w:val="1A5276"/>
          <w:sz w:val="32"/>
          <w:szCs w:val="32"/>
        </w:rPr>
        <w:t xml:space="preserve">14. Assumptions, Unknowns and Open Questions</w:t>
      </w:r>
      <w:bookmarkEnd w:id="100026"/>
    </w:p>
    <w:p>
      <w:pPr>
        <w:keepNext w:val="false"/>
        <w:spacing w:after="120" w:line="312"/>
        <w:jc w:val="left"/>
      </w:pPr>
      <w:r>
        <w:rPr>
          <w:rFonts w:ascii="Times New Roman" w:eastAsia="Times New Roman"/>
          <w:b w:val="false"/>
          <w:bCs w:val="false"/>
          <w:i w:val="false"/>
          <w:iCs w:val="false"/>
          <w:color w:val="000000"/>
          <w:sz w:val="24"/>
          <w:szCs w:val="24"/>
        </w:rPr>
        <w:t xml:space="preserve">Material assumptions carried by this document: the reference stack components are available under licences that permit hospital use at the intended scale [To be confirmed per component]; existing network capacity can absorb the AI estate's inter-zone traffic without clinical impact [Local Assumption to verify]; the hospital can provide a production-class staging environment [Local Assumption]; and identity/SSO infrastructure can issue workload identities at the required granularity [Local Assumption]. Each assumption has a verification step in Table 12.1 or the G1 checklist; an assumption that cannot be verified becomes a risk in the register, not a footnote.</w:t>
      </w:r>
    </w:p>
    <w:p>
      <w:pPr>
        <w:keepNext w:val="false"/>
        <w:spacing w:after="120" w:line="312"/>
        <w:jc w:val="left"/>
      </w:pPr>
      <w:r>
        <w:rPr>
          <w:rFonts w:ascii="Times New Roman" w:eastAsia="Times New Roman"/>
          <w:b w:val="false"/>
          <w:bCs w:val="false"/>
          <w:i w:val="false"/>
          <w:iCs w:val="false"/>
          <w:color w:val="000000"/>
          <w:sz w:val="24"/>
          <w:szCs w:val="24"/>
        </w:rPr>
        <w:t xml:space="preserve">Open questions that require decisions before build completes: cloud versus on-premises placement of inference (driven by data residency analysis and total cost [To be confirmed]); whether vendor support tunnels terminate in the DMZ or a stronger pattern is affordable; the final retention and residency posture for embeddings and derived text; and the hospital's position on model fine-tuning (which changes the release and monitoring surface materially). These are recorded here deliberately: an infrastructure document that hides open questions produces confident surprises later, and confident surprises are the most expensive kind.</w:t>
      </w:r>
    </w:p>
    <w:p>
      <w:pPr>
        <w:keepNext w:val="false"/>
        <w:spacing w:after="120" w:line="312"/>
        <w:jc w:val="left"/>
      </w:pPr>
      <w:r>
        <w:rPr>
          <w:rFonts w:ascii="Times New Roman" w:eastAsia="Times New Roman"/>
          <w:b w:val="false"/>
          <w:bCs w:val="false"/>
          <w:i w:val="false"/>
          <w:iCs w:val="false"/>
          <w:color w:val="000000"/>
          <w:sz w:val="24"/>
          <w:szCs w:val="24"/>
        </w:rPr>
        <w:t xml:space="preserve">Finally, a standing limitation: this design assumes today's attack surface and today's regulations. Both move. The quarterly horizon-scanning item in the governance cycle (Board paper, Section 2) reviews regulatory change; the annual penetration test and the probe-suite refresh review the attack surface; and the architecture itself is reviewed whenever a material component changes. This document is therefore versioned and will age on a schedule - by design, like every evidence pack it helps produce.</w:t>
      </w:r>
    </w:p>
    <w:p>
      <w:pPr>
        <w:pStyle w:val="Heading1"/>
        <w:keepNext/>
        <w:spacing w:after="160" w:before="360" w:line="312"/>
        <w:jc w:val="center"/>
      </w:pPr>
      <w:bookmarkStart w:id="100027" w:name="_Toc100027"/>
      <w:r>
        <w:rPr>
          <w:rFonts w:ascii="Times New Roman" w:eastAsia="SimHei"/>
          <w:b/>
          <w:bCs/>
          <w:color w:val="1A5276"/>
          <w:sz w:val="32"/>
          <w:szCs w:val="32"/>
        </w:rPr>
        <w:t xml:space="preserve">Document Control</w:t>
      </w:r>
      <w:bookmarkEnd w:id="100027"/>
    </w:p>
    <w:p>
      <w:pPr>
        <w:keepNext w:val="false"/>
        <w:spacing w:after="120" w:line="312"/>
        <w:jc w:val="left"/>
      </w:pPr>
      <w:r>
        <w:rPr>
          <w:rFonts w:ascii="Times New Roman" w:eastAsia="Times New Roman"/>
          <w:b w:val="false"/>
          <w:bCs w:val="false"/>
          <w:i w:val="false"/>
          <w:iCs w:val="false"/>
          <w:color w:val="000000"/>
          <w:sz w:val="24"/>
          <w:szCs w:val="24"/>
        </w:rPr>
        <w:t xml:space="preserve">This section records the status, ownership and review discipline of this document. It exists so that the document itself can be governed with the same rigour the programme expects from the AI systems it assessor-assures: every reader can see who owns it, when it was last changed, and when it must next be reviewed. All names, signatures and dates are placeholders until the named roles complete their review at [Hospital Name].</w:t>
      </w:r>
    </w:p>
    <w:p>
      <w:pPr>
        <w:keepNext/>
        <w:spacing w:after="80" w:before="200" w:line="312"/>
        <w:jc w:val="left"/>
      </w:pPr>
      <w:r>
        <w:rPr>
          <w:rFonts w:ascii="Times New Roman" w:eastAsia="Times New Roman"/>
          <w:b/>
          <w:bCs/>
          <w:color w:val="000000"/>
          <w:sz w:val="21"/>
          <w:szCs w:val="21"/>
        </w:rPr>
        <w:t xml:space="preserve">Table D-1. Version history</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1055"/>
        <w:gridCol w:w="1582"/>
        <w:gridCol w:w="2812"/>
        <w:gridCol w:w="3339"/>
      </w:tblGrid>
      <w:tr>
        <w:trPr>
          <w:cantSplit/>
          <w:tblHeader/>
        </w:trPr>
        <w:tc>
          <w:tcPr>
            <w:tcW w:type="pct" w:w="6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Version</w:t>
            </w:r>
          </w:p>
        </w:tc>
        <w:tc>
          <w:tcPr>
            <w:tcW w:type="pct" w:w="9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Date</w:t>
            </w:r>
          </w:p>
        </w:tc>
        <w:tc>
          <w:tcPr>
            <w:tcW w:type="pct" w:w="16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Author</w:t>
            </w:r>
          </w:p>
        </w:tc>
        <w:tc>
          <w:tcPr>
            <w:tcW w:type="pct" w:w="19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Summary of changes</w:t>
            </w:r>
          </w:p>
        </w:tc>
      </w:tr>
      <w:tr>
        <w:trPr>
          <w:cantSplit/>
        </w:trPr>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0.1</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[Date]</w:t>
            </w:r>
          </w:p>
        </w:tc>
        <w:tc>
          <w:tcPr>
            <w:tcW w:type="pct" w:w="16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Provar Programme Office</w:t>
            </w:r>
          </w:p>
        </w:tc>
        <w:tc>
          <w:tcPr>
            <w:tcW w:type="pct" w:w="1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Initial draft issued for stakeholder review and local completion.</w:t>
            </w:r>
          </w:p>
        </w:tc>
      </w:tr>
      <w:tr>
        <w:trPr>
          <w:cantSplit/>
        </w:trPr>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[Next version]</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[Date]</w:t>
            </w:r>
          </w:p>
        </w:tc>
        <w:tc>
          <w:tcPr>
            <w:tcW w:type="pct" w:w="16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[Author]</w:t>
            </w:r>
          </w:p>
        </w:tc>
        <w:tc>
          <w:tcPr>
            <w:tcW w:type="pct" w:w="1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[Planned: insert hospital baselines, confirm owners, close placeholder fields.]</w:t>
            </w:r>
          </w:p>
        </w:tc>
      </w:tr>
    </w:tbl>
    <w:p>
      <w:pPr>
        <w:spacing w:after="200" w:before="80" w:line="312"/>
        <w:jc w:val="left"/>
      </w:pPr>
      <w:r>
        <w:rPr>
          <w:rFonts w:ascii="Times New Roman" w:eastAsia="Times New Roman"/>
          <w:i/>
          <w:iCs/>
          <w:color w:val="595959"/>
          <w:sz w:val="18"/>
          <w:szCs w:val="18"/>
        </w:rPr>
        <w:t xml:space="preserve">Version 0.1 content deliberately uses placeholders rather than invented hospital-specific values; see the section “How to read this document” and the basis tags used throughout.</w:t>
      </w:r>
    </w:p>
    <w:p>
      <w:pPr>
        <w:keepNext/>
        <w:spacing w:after="80" w:before="200" w:line="312"/>
        <w:jc w:val="left"/>
      </w:pPr>
      <w:r>
        <w:rPr>
          <w:rFonts w:ascii="Times New Roman" w:eastAsia="Times New Roman"/>
          <w:b/>
          <w:bCs/>
          <w:color w:val="000000"/>
          <w:sz w:val="21"/>
          <w:szCs w:val="21"/>
        </w:rPr>
        <w:t xml:space="preserve">Table D-2. Review and approval</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2636"/>
        <w:gridCol w:w="2285"/>
        <w:gridCol w:w="2109"/>
        <w:gridCol w:w="1758"/>
      </w:tblGrid>
      <w:tr>
        <w:trPr>
          <w:cantSplit/>
          <w:tblHeader/>
        </w:trPr>
        <w:tc>
          <w:tcPr>
            <w:tcW w:type="pct" w:w="15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Role</w:t>
            </w:r>
          </w:p>
        </w:tc>
        <w:tc>
          <w:tcPr>
            <w:tcW w:type="pct" w:w="13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Name</w:t>
            </w:r>
          </w:p>
        </w:tc>
        <w:tc>
          <w:tcPr>
            <w:tcW w:type="pct" w:w="12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Signature</w:t>
            </w:r>
          </w:p>
        </w:tc>
        <w:tc>
          <w:tcPr>
            <w:tcW w:type="pct" w:w="10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Date</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CIO / IT Director</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[Name]</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[Signature]</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[Date]</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CISO / Information security lead</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[Name]</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[Signature]</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[Date]</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Information governance lead</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[Name]</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[Signature]</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[Date]</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Integration lead</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[Name]</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[Signature]</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[Date]</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Programme director</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[Name]</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[Signature]</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[Date]</w:t>
            </w:r>
          </w:p>
        </w:tc>
      </w:tr>
    </w:tbl>
    <w:p>
      <w:pPr>
        <w:spacing w:after="200" w:before="80" w:line="312"/>
        <w:jc w:val="left"/>
      </w:pPr>
      <w:r>
        <w:rPr>
          <w:rFonts w:ascii="Times New Roman" w:eastAsia="Times New Roman"/>
          <w:i/>
          <w:iCs/>
          <w:color w:val="595959"/>
          <w:sz w:val="18"/>
          <w:szCs w:val="18"/>
        </w:rPr>
        <w:t xml:space="preserve">Sign-off confirms only that the signatory has reviewed the document for their domain; it does not by itself discharge any gate in the go/no-go framework.</w:t>
      </w:r>
    </w:p>
    <w:p>
      <w:pPr>
        <w:keepNext/>
        <w:spacing w:after="80" w:before="200" w:line="312"/>
        <w:jc w:val="left"/>
      </w:pPr>
      <w:r>
        <w:rPr>
          <w:rFonts w:ascii="Times New Roman" w:eastAsia="Times New Roman"/>
          <w:b/>
          <w:bCs/>
          <w:color w:val="000000"/>
          <w:sz w:val="21"/>
          <w:szCs w:val="21"/>
        </w:rPr>
        <w:t xml:space="preserve">Table D-3. Custody and review discipline</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2636"/>
        <w:gridCol w:w="6152"/>
      </w:tblGrid>
      <w:tr>
        <w:trPr>
          <w:cantSplit/>
          <w:tblHeader/>
        </w:trPr>
        <w:tc>
          <w:tcPr>
            <w:tcW w:type="pct" w:w="15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Attribute</w:t>
            </w:r>
          </w:p>
        </w:tc>
        <w:tc>
          <w:tcPr>
            <w:tcW w:type="pct" w:w="35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Value</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Classification</w:t>
            </w:r>
          </w:p>
        </w:tc>
        <w:tc>
          <w:tcPr>
            <w:tcW w:type="pct" w:w="3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Internal — Technical</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Distribution</w:t>
            </w:r>
          </w:p>
        </w:tc>
        <w:tc>
          <w:tcPr>
            <w:tcW w:type="pct" w:w="3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IT, Security and Integration teams; programme board on request</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Storage location</w:t>
            </w:r>
          </w:p>
        </w:tc>
        <w:tc>
          <w:tcPr>
            <w:tcW w:type="pct" w:w="3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[Document management system reference]</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Review cadence</w:t>
            </w:r>
          </w:p>
        </w:tc>
        <w:tc>
          <w:tcPr>
            <w:tcW w:type="pct" w:w="3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Quarterly, and on any material change to scope, vendor or regulation</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Next scheduled review</w:t>
            </w:r>
          </w:p>
        </w:tc>
        <w:tc>
          <w:tcPr>
            <w:tcW w:type="pct" w:w="3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[Date]</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Related documents</w:t>
            </w:r>
          </w:p>
        </w:tc>
        <w:tc>
          <w:tcPr>
            <w:tcW w:type="pct" w:w="3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CCOO Brief; Board Assurance Paper; Cross-Cutting Assurance Dossier (Section 2 infrastructure summary, Appendix A)</w:t>
            </w:r>
          </w:p>
        </w:tc>
      </w:tr>
    </w:tbl>
    <w:p>
      <w:pPr>
        <w:spacing w:after="200" w:before="80" w:line="312"/>
        <w:jc w:val="left"/>
      </w:pPr>
      <w:r>
        <w:rPr>
          <w:rFonts w:ascii="Times New Roman" w:eastAsia="Times New Roman"/>
          <w:i/>
          <w:iCs/>
          <w:color w:val="595959"/>
          <w:sz w:val="18"/>
          <w:szCs w:val="18"/>
        </w:rPr>
        <w:t xml:space="preserve">Classification and distribution are set by [Hospital Name] information governance; the defaults above are structural suggestions, not decisions.</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2" w:sz="2" w:space="4"/>
      </w:pBdr>
      <w:jc w:val="center"/>
    </w:pPr>
    <w:r>
      <w:rPr>
        <w:rFonts w:ascii="Times New Roman" w:eastAsia="Times New Roman"/>
        <w:color w:val="888888"/>
        <w:sz w:val="18"/>
        <w:szCs w:val="18"/>
      </w:rPr>
      <w:t xml:space="preserve">Hospital AI Platform — Technical Readiness and Infrastructure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4"/>
        <w:szCs w:val="24"/>
      </w:rPr>
    </w:rPrDefault>
    <w:pPrDefault>
      <w:pPr>
        <w:spacing w:line="312"/>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A5276"/>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A5276"/>
      <w:sz w:val="30"/>
      <w:szCs w:val="30"/>
    </w:rPr>
  </w:style>
  <w:style w:type="paragraph" w:styleId="Heading3">
    <w:name w:val="Heading 3"/>
    <w:basedOn w:val="Normal"/>
    <w:next w:val="Normal"/>
    <w:qFormat/>
    <w:pPr>
      <w:spacing w:after="100" w:before="200" w:line="312"/>
      <w:outlineLvl w:val="2"/>
    </w:pPr>
    <w:rPr>
      <w:rFonts w:ascii="Times New Roman" w:eastAsia="SimHei"/>
      <w:b/>
      <w:bCs/>
      <w:color w:val="1A5276"/>
      <w:sz w:val="28"/>
      <w:szCs w:val="28"/>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Readiness and Infrastructure Design</dc:title>
  <dc:creator>Provar Programme Office</dc:creator>
  <dc:description>For the Hospital IT and Information Security Community</dc:description>
  <cp:lastModifiedBy>Un-named</cp:lastModifiedBy>
  <cp:revision>1</cp:revision>
  <dcterms:created xsi:type="dcterms:W3CDTF">2026-10-05T04:36:16.418Z</dcterms:created>
  <dcterms:modified xsi:type="dcterms:W3CDTF">2026-10-05T04:36:16.418Z</dcterms:modified>
</cp:coreProperties>
</file>

<file path=docProps/custom.xml><?xml version="1.0" encoding="utf-8"?>
<Properties xmlns="http://schemas.openxmlformats.org/officeDocument/2006/custom-properties" xmlns:vt="http://schemas.openxmlformats.org/officeDocument/2006/docPropsVTypes"/>
</file>