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5F8FC" w:val="clear"/>
            <w:vAlign w:val="top"/>
          </w:tcPr>
          <w:p>
            <w:pPr>
              <w:spacing w:before="4092"/>
            </w:pPr>
          </w:p>
          <w:p>
            <w:pPr>
              <w:pBdr>
                <w:bottom w:val="single" w:color="2E86C1" w:sz="6" w:space="8"/>
              </w:pBdr>
              <w:spacing w:after="500"/>
              <w:ind w:left="1200" w:right="800"/>
            </w:pPr>
            <w:r>
              <w:rPr>
                <w:rFonts w:ascii="Calibri" w:eastAsia="SimHei"/>
                <w:color w:val="2E86C1"/>
                <w:spacing w:val="40"/>
                <w:sz w:val="18"/>
                <w:szCs w:val="18"/>
              </w:rPr>
              <w:t xml:space="preserve">P  R  O  V  A  R     P  R  O  G  R  A  M  M  E</w:t>
            </w:r>
          </w:p>
          <w:p>
            <w:pPr>
              <w:spacing w:after="100" w:line="920" w:lineRule="atLeast"/>
              <w:ind w:left="1200"/>
            </w:pPr>
            <w:r>
              <w:rPr>
                <w:rFonts w:ascii="Arial" w:eastAsia="SimHei"/>
                <w:b/>
                <w:bCs/>
                <w:color w:val="1A5276"/>
                <w:sz w:val="80"/>
                <w:szCs w:val="80"/>
              </w:rPr>
              <w:t xml:space="preserve">Document Quality</w:t>
            </w:r>
          </w:p>
          <w:p>
            <w:pPr>
              <w:spacing w:after="300" w:line="920" w:lineRule="atLeast"/>
              <w:ind w:left="1200"/>
            </w:pPr>
            <w:r>
              <w:rPr>
                <w:rFonts w:ascii="Arial" w:eastAsia="SimHei"/>
                <w:b/>
                <w:bCs/>
                <w:color w:val="1A5276"/>
                <w:sz w:val="80"/>
                <w:szCs w:val="80"/>
              </w:rPr>
              <w:t xml:space="preserve">Verdict Report</w:t>
            </w:r>
          </w:p>
          <w:p>
            <w:pPr>
              <w:spacing w:after="800"/>
              <w:ind w:left="1200"/>
            </w:pPr>
            <w:r>
              <w:rPr>
                <w:rFonts w:ascii="Arial" w:eastAsia="Microsoft YaHei"/>
                <w:color w:val="606060"/>
                <w:sz w:val="24"/>
                <w:szCs w:val="24"/>
              </w:rPr>
              <w:t xml:space="preserve">Assurance Evidence for the Provar Document Set — v0.1-2 Builds, Verified 2026-10-05</w:t>
            </w:r>
          </w:p>
          <w:p>
            <w:pPr>
              <w:pBdr>
                <w:left w:val="single" w:color="2E86C1" w:sz="8" w:space="12"/>
              </w:pBdr>
              <w:spacing w:after="80"/>
              <w:ind w:left="1400"/>
            </w:pPr>
            <w:r>
              <w:rPr>
                <w:rFonts w:ascii="Arial" w:eastAsia="Microsoft YaHei"/>
                <w:color w:val="707070"/>
                <w:sz w:val="24"/>
                <w:szCs w:val="24"/>
              </w:rPr>
              <w:t xml:space="preserve">Prepared for: [Hospital Name] programme leadership and document reviewers</w:t>
            </w:r>
          </w:p>
          <w:p>
            <w:pPr>
              <w:pBdr>
                <w:left w:val="single" w:color="2E86C1" w:sz="8" w:space="12"/>
              </w:pBdr>
              <w:spacing w:after="80"/>
              <w:ind w:left="1400"/>
            </w:pPr>
            <w:r>
              <w:rPr>
                <w:rFonts w:ascii="Arial" w:eastAsia="Microsoft YaHei"/>
                <w:color w:val="707070"/>
                <w:sz w:val="24"/>
                <w:szCs w:val="24"/>
              </w:rPr>
              <w:t xml:space="preserve">Scope: Layout postcheck, content audit and honesty verification of the four assurance documents</w:t>
            </w:r>
          </w:p>
          <w:p>
            <w:pPr>
              <w:pBdr>
                <w:left w:val="single" w:color="2E86C1" w:sz="8" w:space="12"/>
              </w:pBdr>
              <w:spacing w:after="80"/>
              <w:ind w:left="1400"/>
            </w:pPr>
            <w:r>
              <w:rPr>
                <w:rFonts w:ascii="Arial" w:eastAsia="Microsoft YaHei"/>
                <w:color w:val="707070"/>
                <w:sz w:val="24"/>
                <w:szCs w:val="24"/>
              </w:rPr>
              <w:t xml:space="preserve">Status: Version 0.1 — evidence record for the v0.1-2 builds</w:t>
            </w:r>
          </w:p>
          <w:p>
            <w:pPr>
              <w:pBdr>
                <w:left w:val="single" w:color="2E86C1" w:sz="8" w:space="12"/>
              </w:pBdr>
              <w:spacing w:after="80"/>
              <w:ind w:left="1400"/>
            </w:pPr>
            <w:r>
              <w:rPr>
                <w:rFonts w:ascii="Arial" w:eastAsia="Microsoft YaHei"/>
                <w:color w:val="707070"/>
                <w:sz w:val="24"/>
                <w:szCs w:val="24"/>
              </w:rPr>
              <w:t xml:space="preserve">Classification: Internal — Governance</w:t>
            </w:r>
          </w:p>
          <w:p>
            <w:pPr>
              <w:spacing w:before="4092"/>
            </w:pPr>
          </w:p>
          <w:p>
            <w:pPr>
              <w:pBdr>
                <w:top w:val="single" w:color="2E86C1" w:sz="2" w:space="8"/>
              </w:pBdr>
              <w:spacing w:before="200"/>
              <w:ind w:left="1200" w:right="800"/>
            </w:pPr>
            <w:r>
              <w:rPr>
                <w:rFonts w:ascii="Arial"/>
                <w:color w:val="A0A0A0"/>
                <w:sz w:val="16"/>
                <w:szCs w:val="16"/>
              </w:rPr>
              <w:t xml:space="preserve">Provar — assurance layer for hospital AI</w:t>
            </w:r>
            <w:r>
              <w:t xml:space="preserve">                                        </w:t>
            </w:r>
            <w:r>
              <w:rPr>
                <w:rFonts w:ascii="Arial"/>
                <w:color w:val="A0A0A0"/>
                <w:sz w:val="16"/>
                <w:szCs w:val="16"/>
              </w:rPr>
              <w:t xml:space="preserve">[Hospital Name]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5276"/>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Purpose, Scope and Method</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Verdict Summary</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3. Findings and Fixes Applied This Cycle</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Honesty and Accuracy Audit Statement</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Limitations of This Verification</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6. Verification Cadence and Re-verification Triggers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Document Control</w:t>
            </w:r>
            <w:r>
              <w:tab/>
            </w:r>
            <w:r>
              <w:fldChar w:fldCharType="begin"/>
            </w:r>
            <w:r>
              <w:instrText xml:space="preserve"> PAGEREF _Toc100006 \h </w:instrText>
            </w:r>
            <w:r>
              <w:fldChar w:fldCharType="separate"/>
            </w:r>
            <w:r>
              <w:t>4</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jc w:val="center"/>
      </w:pPr>
      <w:bookmarkStart w:id="100000" w:name="_Toc100000"/>
      <w:r>
        <w:rPr>
          <w:rFonts w:ascii="Times New Roman" w:eastAsia="SimHei"/>
          <w:b/>
          <w:bCs/>
          <w:color w:val="1A5276"/>
          <w:sz w:val="32"/>
          <w:szCs w:val="32"/>
        </w:rPr>
        <w:t xml:space="preserve">1. Purpose, Scope and Method</w:t>
      </w:r>
      <w:bookmarkEnd w:id="100000"/>
    </w:p>
    <w:p>
      <w:pPr>
        <w:keepNext w:val="false"/>
        <w:spacing w:after="120" w:line="312"/>
        <w:jc w:val="left"/>
      </w:pPr>
      <w:r>
        <w:rPr>
          <w:rFonts w:ascii="Times New Roman" w:eastAsia="Times New Roman"/>
          <w:b w:val="false"/>
          <w:bCs w:val="false"/>
          <w:i w:val="false"/>
          <w:iCs w:val="false"/>
          <w:color w:val="000000"/>
          <w:sz w:val="24"/>
          <w:szCs w:val="24"/>
        </w:rPr>
        <w:t xml:space="preserve">This report is the quality evidence pack for the four Provar assurance documents: the CCOO Brief, the Board Assurance Paper, the IT Readiness and Infrastructure Design, and the Cross-Cutting Assurance Dossier. A programme that demands quantified evidence from hospital AI systems must be able to produce the same kind of evidence about its own deliverables, and this document is that evidence. It records what was checked, by which mechanism, when, and with what verdict, so that a reviewer who has never seen the build pipeline can reconstruct exactly why the document set was declared fit to circulate on 2026-10-05.</w:t>
      </w:r>
    </w:p>
    <w:p>
      <w:pPr>
        <w:keepNext w:val="false"/>
        <w:spacing w:after="120" w:line="312"/>
        <w:jc w:val="left"/>
      </w:pPr>
      <w:r>
        <w:rPr>
          <w:rFonts w:ascii="Times New Roman" w:eastAsia="Times New Roman"/>
          <w:b w:val="false"/>
          <w:bCs w:val="false"/>
          <w:i w:val="false"/>
          <w:iCs w:val="false"/>
          <w:color w:val="000000"/>
          <w:sz w:val="24"/>
          <w:szCs w:val="24"/>
        </w:rPr>
        <w:t xml:space="preserve">Verification ran in two automated layers, plus one manual sampling layer. The first layer is the layout postcheck, a nine-rule structural check covering blank pages, cover overflow, line-spacing consistency, image behaviour, font fallback, heading-level continuity, shading misuse, table-of-contents integrity and image aspect ratio; it fails loudly on errors and reports warnings that require either a fix or a stated reason. The second layer is a content audit of six rules derived from the programme's honesty specification: presence of explicit placeholders instead of invented hospital facts, use of basis tags, absence of sloppy placeholders, absence of absolute security or safety claims, presence of every required section, and presence of the mandated metric-table column set. The manual layer sampled rendered pages (cover, contents and body) to confirm what the XML checks cannot see. All three layers were executed against the v0.1-2 builds on 2026-10-05.</w:t>
      </w:r>
    </w:p>
    <w:p>
      <w:pPr>
        <w:pStyle w:val="Heading1"/>
        <w:keepNext/>
        <w:spacing w:after="160" w:before="360" w:line="312"/>
        <w:jc w:val="center"/>
      </w:pPr>
      <w:bookmarkStart w:id="100001" w:name="_Toc100001"/>
      <w:r>
        <w:rPr>
          <w:rFonts w:ascii="Times New Roman" w:eastAsia="SimHei"/>
          <w:b/>
          <w:bCs/>
          <w:color w:val="1A5276"/>
          <w:sz w:val="32"/>
          <w:szCs w:val="32"/>
        </w:rPr>
        <w:t xml:space="preserve">2. Verdict Summary</w:t>
      </w:r>
      <w:bookmarkEnd w:id="100001"/>
    </w:p>
    <w:p>
      <w:pPr>
        <w:keepNext w:val="false"/>
        <w:spacing w:after="120" w:line="312"/>
        <w:jc w:val="left"/>
      </w:pPr>
      <w:r>
        <w:rPr>
          <w:rFonts w:ascii="Times New Roman" w:eastAsia="Times New Roman"/>
          <w:b w:val="false"/>
          <w:bCs w:val="false"/>
          <w:i w:val="false"/>
          <w:iCs w:val="false"/>
          <w:color w:val="000000"/>
          <w:sz w:val="24"/>
          <w:szCs w:val="24"/>
        </w:rPr>
        <w:t xml:space="preserve">Both automated layers returned a full pass on every document, and the sampled renders matched the structural results. The table below is the one-look verdict; the per-check detail follows it. No red or amber verdicts remain in either layer at the time of writing, which is the state the programme means when it says the document set is green.</w:t>
      </w:r>
    </w:p>
    <w:p>
      <w:pPr>
        <w:keepNext/>
        <w:spacing w:after="80" w:before="200" w:line="312"/>
        <w:jc w:val="left"/>
      </w:pPr>
      <w:r>
        <w:rPr>
          <w:rFonts w:ascii="Times New Roman" w:eastAsia="Times New Roman"/>
          <w:b/>
          <w:bCs/>
          <w:color w:val="000000"/>
          <w:sz w:val="21"/>
          <w:szCs w:val="21"/>
        </w:rPr>
        <w:t xml:space="preserve">Table 2.1 - Verdict by document (v0.1-2, verified 2026-10-05)</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285"/>
        <w:gridCol w:w="1406"/>
        <w:gridCol w:w="1406"/>
        <w:gridCol w:w="1230"/>
        <w:gridCol w:w="2461"/>
      </w:tblGrid>
      <w:tr>
        <w:trPr>
          <w:cantSplit/>
          <w:tblHeader/>
        </w:trPr>
        <w:tc>
          <w:tcPr>
            <w:tcW w:type="pct" w:w="13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Document</w:t>
            </w:r>
          </w:p>
        </w:tc>
        <w:tc>
          <w:tcPr>
            <w:tcW w:type="pct" w:w="8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Layout postcheck</w:t>
            </w:r>
          </w:p>
        </w:tc>
        <w:tc>
          <w:tcPr>
            <w:tcW w:type="pct" w:w="8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Content audit</w:t>
            </w:r>
          </w:p>
        </w:tc>
        <w:tc>
          <w:tcPr>
            <w:tcW w:type="pct" w:w="7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Overall</w:t>
            </w:r>
          </w:p>
        </w:tc>
        <w:tc>
          <w:tcPr>
            <w:tcW w:type="pct" w:w="14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Size (words / tables / headings)</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CCOO Brief</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9/9 - 0 errors, 0 warnings</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6/6</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w:t>
            </w:r>
          </w:p>
        </w:tc>
        <w:tc>
          <w:tcPr>
            <w:tcW w:type="pct" w:w="1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4,569 / 10 / 14</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Board Assurance Paper</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9/9 - 0 errors, 0 warnings</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6/6</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w:t>
            </w:r>
          </w:p>
        </w:tc>
        <w:tc>
          <w:tcPr>
            <w:tcW w:type="pct" w:w="1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4,094 / 9 / 18</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IT Readiness and Infrastructure Design</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9/9 - 0 errors, 0 warnings</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6/6</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w:t>
            </w:r>
          </w:p>
        </w:tc>
        <w:tc>
          <w:tcPr>
            <w:tcW w:type="pct" w:w="1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5,514 / 16 / 28</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Cross-Cutting Assurance Dossier</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9/9 - 0 errors, 0 warnings</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6/6</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w:t>
            </w:r>
          </w:p>
        </w:tc>
        <w:tc>
          <w:tcPr>
            <w:tcW w:type="pct" w:w="1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13,410 / 14 / 50</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Set total</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36/36</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24/24</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w:t>
            </w:r>
          </w:p>
        </w:tc>
        <w:tc>
          <w:tcPr>
            <w:tcW w:type="pct" w:w="1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27,587 / 49 / 110</w:t>
            </w:r>
          </w:p>
        </w:tc>
      </w:tr>
    </w:tbl>
    <w:p>
      <w:pPr>
        <w:spacing w:after="200" w:before="80" w:line="312"/>
        <w:jc w:val="left"/>
      </w:pPr>
      <w:r>
        <w:rPr>
          <w:rFonts w:ascii="Times New Roman" w:eastAsia="Times New Roman"/>
          <w:i/>
          <w:iCs/>
          <w:color w:val="595959"/>
          <w:sz w:val="18"/>
          <w:szCs w:val="18"/>
        </w:rPr>
        <w:t xml:space="preserve">The machine-readable verdict file underlying this table is scripts/provar/qa_verdicts.json, regenerated on every audit run.</w:t>
      </w:r>
    </w:p>
    <w:p>
      <w:pPr>
        <w:keepNext/>
        <w:spacing w:after="80" w:before="200" w:line="312"/>
        <w:jc w:val="left"/>
      </w:pPr>
      <w:r>
        <w:rPr>
          <w:rFonts w:ascii="Times New Roman" w:eastAsia="Times New Roman"/>
          <w:b/>
          <w:bCs/>
          <w:color w:val="000000"/>
          <w:sz w:val="21"/>
          <w:szCs w:val="21"/>
        </w:rPr>
        <w:t xml:space="preserve">Table 2.2 - Content audit detail (all four documents)</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406"/>
        <w:gridCol w:w="1055"/>
        <w:gridCol w:w="6327"/>
      </w:tblGrid>
      <w:tr>
        <w:trPr>
          <w:cantSplit/>
          <w:tblHeader/>
        </w:trPr>
        <w:tc>
          <w:tcPr>
            <w:tcW w:type="pct" w:w="8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Check</w:t>
            </w:r>
          </w:p>
        </w:tc>
        <w:tc>
          <w:tcPr>
            <w:tcW w:type="pct" w:w="6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Verdict</w:t>
            </w:r>
          </w:p>
        </w:tc>
        <w:tc>
          <w:tcPr>
            <w:tcW w:type="pct" w:w="36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What it confirmed</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V1 Placeholders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 x4</w:t>
            </w:r>
          </w:p>
        </w:tc>
        <w:tc>
          <w:tcPr>
            <w:tcW w:type="pct" w:w="3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68 (CCOO), 35 (Board), 38 (IT) and 75 (Dossier) explicit fields such as [Hospital Name], [Baseline], [Target], [Vendor], [Date] - no invented hospital facts.</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V2 Basis tags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 x4</w:t>
            </w:r>
          </w:p>
        </w:tc>
        <w:tc>
          <w:tcPr>
            <w:tcW w:type="pct" w:w="3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13, 15, 37 and 22 occurrences of [Standard], [Best practice] or [Local Assumption] respectively; claims are traceable to their basis.</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V3 No sloppy placeholders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 x4</w:t>
            </w:r>
          </w:p>
        </w:tc>
        <w:tc>
          <w:tcPr>
            <w:tcW w:type="pct" w:w="3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No TBD, to-be-determined, XXX or Lorem text anywhere in the set.</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V4 No absolute claims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 x4</w:t>
            </w:r>
          </w:p>
        </w:tc>
        <w:tc>
          <w:tcPr>
            <w:tcW w:type="pct" w:w="3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No guaranteed / 100% secure / zero-risk / foolproof statements; security and safety are discussed as residual risk.</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V5 Required sections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 x4</w:t>
            </w:r>
          </w:p>
        </w:tc>
        <w:tc>
          <w:tcPr>
            <w:tcW w:type="pct" w:w="3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Every audience-mandated section present, including Assumptions and Unknowns in each document and the self-audit section in the Dossier.</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V6 Metric table columns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 x4</w:t>
            </w:r>
          </w:p>
        </w:tc>
        <w:tc>
          <w:tcPr>
            <w:tcW w:type="pct" w:w="3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 / Target / Measurement method / Owner / Cadence column sets present, including the upgraded IT test catalogue.</w:t>
            </w:r>
          </w:p>
        </w:tc>
      </w:tr>
    </w:tbl>
    <w:p>
      <w:pPr>
        <w:spacing w:after="200" w:before="80" w:line="312"/>
        <w:jc w:val="left"/>
      </w:pPr>
      <w:r>
        <w:rPr>
          <w:rFonts w:ascii="Times New Roman" w:eastAsia="Times New Roman"/>
          <w:i/>
          <w:iCs/>
          <w:color w:val="595959"/>
          <w:sz w:val="18"/>
          <w:szCs w:val="18"/>
        </w:rPr>
        <w:t xml:space="preserve">Per-check verdicts are uniform across the set; the audit script prints per-document detail in qa_verdicts.json.</w:t>
      </w:r>
    </w:p>
    <w:p>
      <w:pPr>
        <w:pStyle w:val="Heading1"/>
        <w:keepNext/>
        <w:spacing w:after="160" w:before="360" w:line="312"/>
        <w:jc w:val="center"/>
      </w:pPr>
      <w:bookmarkStart w:id="100002" w:name="_Toc100002"/>
      <w:r>
        <w:rPr>
          <w:rFonts w:ascii="Times New Roman" w:eastAsia="SimHei"/>
          <w:b/>
          <w:bCs/>
          <w:color w:val="1A5276"/>
          <w:sz w:val="32"/>
          <w:szCs w:val="32"/>
        </w:rPr>
        <w:t xml:space="preserve">3. Findings and Fixes Applied This Cycle</w:t>
      </w:r>
      <w:bookmarkEnd w:id="100002"/>
    </w:p>
    <w:p>
      <w:pPr>
        <w:keepNext w:val="false"/>
        <w:spacing w:after="120" w:line="312"/>
        <w:jc w:val="left"/>
      </w:pPr>
      <w:r>
        <w:rPr>
          <w:rFonts w:ascii="Times New Roman" w:eastAsia="Times New Roman"/>
          <w:b w:val="false"/>
          <w:bCs w:val="false"/>
          <w:i w:val="false"/>
          <w:iCs w:val="false"/>
          <w:color w:val="000000"/>
          <w:sz w:val="24"/>
          <w:szCs w:val="24"/>
        </w:rPr>
        <w:t xml:space="preserve">The baseline run did not start green, and the path to green is recorded here because the fixes themselves change the documents' substance. Four findings were raised, all addressed in this cycle. First, all four documents carried an empty page-break paragraph immediately after the contents block, flagged as a blank-page risk; the break was merged into the contents refresh-hint paragraph, which preserves the required element order - contents, hint, break - while removing the empty paragraph entirely. Second, the IT readiness test catalogue listed tests with a target and cadence but no baseline or owner, which fell short of the programme's own metric-column mandate; the catalogue was rebuilt with Baseline and Owner columns, every baseline honestly recorded as [Last result / not yet run] rather than assumed to pass, and a note making explicit that an unknown result is recorded as unknown.</w:t>
      </w:r>
    </w:p>
    <w:p>
      <w:pPr>
        <w:keepNext w:val="false"/>
        <w:spacing w:after="120" w:line="312"/>
        <w:jc w:val="left"/>
      </w:pPr>
      <w:r>
        <w:rPr>
          <w:rFonts w:ascii="Times New Roman" w:eastAsia="Times New Roman"/>
          <w:b w:val="false"/>
          <w:bCs w:val="false"/>
          <w:i w:val="false"/>
          <w:iCs w:val="false"/>
          <w:color w:val="000000"/>
          <w:sz w:val="24"/>
          <w:szCs w:val="24"/>
        </w:rPr>
        <w:t xml:space="preserve">Third, the four documents referenced each other's content - gates, catalogues, declarations - but gave a reader no map for moving between them, and no defence against the documents drifting apart as they are edited locally; the Dossier gained Appendix A, Cross-Document Traceability Maps, which routes each assurance question to the sections that answer it in all four documents and routes each evidence artefact to the gate that consumes it. Fourth, the documents had version status lines on their covers but no custody record: no version history, no approval block, no review cadence; every document now closes with a Document Control section - version history, role-based review and approval, and custody discipline - so the set can be governed the way it asks hospital AI to be governed. Each fix was rebuilt and re-verified; the verdicts in Section 2 are post-fix results.</w:t>
      </w:r>
    </w:p>
    <w:p>
      <w:pPr>
        <w:pStyle w:val="Heading1"/>
        <w:keepNext/>
        <w:spacing w:after="160" w:before="360" w:line="312"/>
        <w:jc w:val="center"/>
      </w:pPr>
      <w:bookmarkStart w:id="100003" w:name="_Toc100003"/>
      <w:r>
        <w:rPr>
          <w:rFonts w:ascii="Times New Roman" w:eastAsia="SimHei"/>
          <w:b/>
          <w:bCs/>
          <w:color w:val="1A5276"/>
          <w:sz w:val="32"/>
          <w:szCs w:val="32"/>
        </w:rPr>
        <w:t xml:space="preserve">4. Honesty and Accuracy Audit Statement</w:t>
      </w:r>
      <w:bookmarkEnd w:id="100003"/>
    </w:p>
    <w:p>
      <w:pPr>
        <w:keepNext w:val="false"/>
        <w:spacing w:after="120" w:line="312"/>
        <w:jc w:val="left"/>
      </w:pPr>
      <w:r>
        <w:rPr>
          <w:rFonts w:ascii="Times New Roman" w:eastAsia="Times New Roman"/>
          <w:b w:val="false"/>
          <w:bCs w:val="false"/>
          <w:i w:val="false"/>
          <w:iCs w:val="false"/>
          <w:color w:val="000000"/>
          <w:sz w:val="24"/>
          <w:szCs w:val="24"/>
        </w:rPr>
        <w:t xml:space="preserve">The programme's honesty specification is the constraint that matters most in this document set, because these documents will be read by a hospital's clinical, board and technical leadership and any invented number would poison decisions. The audit therefore verified three things explicitly. First, that hospital-specific facts exist only as named placeholders: 216 explicit placeholder fields across the set, covering hospital name, baselines, targets, vendor identities, dates and named owners. Second, that every claim carries a visible basis: 87 basis tags distinguish known standards from general best practice from local assumptions, so a reader can always tell what is being asserted and on what authority. Third, that the documents do not overclaim: no absolute security, safety or performance language appears anywhere, residual risk is stated rather than implied away, and regulatory statements carry verify-with-counsel qualifications.</w:t>
      </w:r>
    </w:p>
    <w:p>
      <w:pPr>
        <w:keepNext w:val="false"/>
        <w:spacing w:after="120" w:line="312"/>
        <w:jc w:val="left"/>
      </w:pPr>
      <w:r>
        <w:rPr>
          <w:rFonts w:ascii="Times New Roman" w:eastAsia="Times New Roman"/>
          <w:b w:val="false"/>
          <w:bCs w:val="false"/>
          <w:i w:val="false"/>
          <w:iCs w:val="false"/>
          <w:color w:val="000000"/>
          <w:sz w:val="24"/>
          <w:szCs w:val="24"/>
        </w:rPr>
        <w:t xml:space="preserve">Two further honesty properties hold by construction but are worth stating in an audit. The documents separate unknowns from assumptions in dedicated sections - every document closes its argument with an Assumptions, Unknowns and Limitations section before Document Control - and the Dossier contains the mandated self-audit section, Gaps I Almost Missed, which lists eighteen aspects the specification required and honestly records how each is, or is not, disposed of in the set. This report does not certify that those dispositions are correct; it certifies that they exist, are findable, and are stated without hedging or padding.</w:t>
      </w:r>
    </w:p>
    <w:p>
      <w:pPr>
        <w:pStyle w:val="Heading1"/>
        <w:keepNext/>
        <w:spacing w:after="160" w:before="360" w:line="312"/>
        <w:jc w:val="center"/>
      </w:pPr>
      <w:bookmarkStart w:id="100004" w:name="_Toc100004"/>
      <w:r>
        <w:rPr>
          <w:rFonts w:ascii="Times New Roman" w:eastAsia="SimHei"/>
          <w:b/>
          <w:bCs/>
          <w:color w:val="1A5276"/>
          <w:sz w:val="32"/>
          <w:szCs w:val="32"/>
        </w:rPr>
        <w:t xml:space="preserve">5. Limitations of This Verification</w:t>
      </w:r>
      <w:bookmarkEnd w:id="100004"/>
    </w:p>
    <w:p>
      <w:pPr>
        <w:keepNext w:val="false"/>
        <w:spacing w:after="120" w:line="312"/>
        <w:jc w:val="left"/>
      </w:pPr>
      <w:r>
        <w:rPr>
          <w:rFonts w:ascii="Times New Roman" w:eastAsia="Times New Roman"/>
          <w:b w:val="false"/>
          <w:bCs w:val="false"/>
          <w:i w:val="false"/>
          <w:iCs w:val="false"/>
          <w:color w:val="000000"/>
          <w:sz w:val="24"/>
          <w:szCs w:val="24"/>
        </w:rPr>
        <w:t xml:space="preserve">Automated checks prove structure, not truth, and this report would fail its own honesty standard if it implied otherwise. Five limitations bound what a green verdict means here. Placeholder values are unverifiable by definition: until [Hospital Name] inserts real baselines, owners and dates, the documents are templates whose correctness of fact is pending, and the audit certifies only that the slots exist and are honestly marked. Render checking was sampled, not exhaustive: cover, contents and representative body pages were rendered and inspected, not all 100-plus pages. Contents page numbers are field-code placeholders that resolve when a reader updates fields in Word or WPS; the printed numbers in an unopened file are approximations by design. Argument quality - whether a rebuttal actually rebuts, whether a threshold is clinically sensible - is not machine-checkable and remains the responsibility of the named human reviewers in each Document Control section. And the content audit's pattern checks are deliberately conservative: they can catch invented numbers and overclaiming only where those take predictable textual forms.</w:t>
      </w:r>
    </w:p>
    <w:p>
      <w:pPr>
        <w:keepNext w:val="false"/>
        <w:spacing w:after="120" w:line="312"/>
        <w:jc w:val="left"/>
      </w:pPr>
      <w:r>
        <w:rPr>
          <w:rFonts w:ascii="Times New Roman" w:eastAsia="Times New Roman"/>
          <w:b w:val="false"/>
          <w:bCs w:val="false"/>
          <w:i w:val="false"/>
          <w:iCs w:val="false"/>
          <w:color w:val="000000"/>
          <w:sz w:val="24"/>
          <w:szCs w:val="24"/>
        </w:rPr>
        <w:t xml:space="preserve">One limitation is worth naming because it is temporary: the verdicts describe the v0.1-2 builds of 2026-10-05 exactly, and nothing more. The moment any document is edited, regenerated or locally completed, this evidence pack goes stale for that document. That is not a defect; it is how evidence works, and it is why Section 6 defines the re-verification triggers rather than relying on goodwill.</w:t>
      </w:r>
    </w:p>
    <w:p>
      <w:pPr>
        <w:pStyle w:val="Heading1"/>
        <w:keepNext/>
        <w:spacing w:after="160" w:before="360" w:line="312"/>
        <w:jc w:val="center"/>
      </w:pPr>
      <w:bookmarkStart w:id="100005" w:name="_Toc100005"/>
      <w:r>
        <w:rPr>
          <w:rFonts w:ascii="Times New Roman" w:eastAsia="SimHei"/>
          <w:b/>
          <w:bCs/>
          <w:color w:val="1A5276"/>
          <w:sz w:val="32"/>
          <w:szCs w:val="32"/>
        </w:rPr>
        <w:t xml:space="preserve">6. Verification Cadence and Re-verification Triggers</w:t>
      </w:r>
      <w:bookmarkEnd w:id="100005"/>
    </w:p>
    <w:p>
      <w:pPr>
        <w:keepNext w:val="false"/>
        <w:spacing w:after="120" w:line="312"/>
        <w:jc w:val="left"/>
      </w:pPr>
      <w:r>
        <w:rPr>
          <w:rFonts w:ascii="Times New Roman" w:eastAsia="Times New Roman"/>
          <w:b w:val="false"/>
          <w:bCs w:val="false"/>
          <w:i w:val="false"/>
          <w:iCs w:val="false"/>
          <w:color w:val="000000"/>
          <w:sz w:val="24"/>
          <w:szCs w:val="24"/>
        </w:rPr>
        <w:t xml:space="preserve">The verdict in this report is reproducible by design: the layout postcheck and the content audit are scripts in the programme's build pipeline, and rebuilding the document set re-runs them end to end. The standing rule is that no document leaves the programme office without a fresh green run attached - the build script executes the checks after every build and the build fails loudly on any error. Beyond the standing rule, this report must be regenerated on four triggers: any content change to any of the four documents, however small; any regeneration from the source generators, because even an unchanged source can pick up engine differences; any change to the honesty specification itself, which redefines what the audit must check; and the quarterly document control review, which re-runs the audit as part of the custody review recorded in each document's Document Control section.</w:t>
      </w:r>
    </w:p>
    <w:p>
      <w:pPr>
        <w:keepNext w:val="false"/>
        <w:spacing w:after="120" w:line="312"/>
        <w:jc w:val="left"/>
      </w:pPr>
      <w:r>
        <w:rPr>
          <w:rFonts w:ascii="Times New Roman" w:eastAsia="Times New Roman"/>
          <w:b w:val="false"/>
          <w:bCs w:val="false"/>
          <w:i w:val="false"/>
          <w:iCs w:val="false"/>
          <w:color w:val="000000"/>
          <w:sz w:val="24"/>
          <w:szCs w:val="24"/>
        </w:rPr>
        <w:t xml:space="preserve">Ownership follows the same role discipline as the rest of the programme. The QA owner in the programme office runs the audit, files the verdict artefacts - this report and the machine-readable verdict file - and is responsible for the honesty of the audit itself. The programme director signs the report into the document set, and the clinical safety officer reviews any verdict change that touches safety-tagged content. If a future run cannot reach green, the honest state is a red or amber verdict published with its findings, not a suppressed run; a quality gate that hides failures is worse than no gate, and this report exists to make sure that never becomes the programme's habit.</w:t>
      </w:r>
    </w:p>
    <w:p>
      <w:pPr>
        <w:pStyle w:val="Heading1"/>
        <w:keepNext/>
        <w:spacing w:after="160" w:before="360" w:line="312"/>
        <w:jc w:val="center"/>
      </w:pPr>
      <w:bookmarkStart w:id="100006" w:name="_Toc100006"/>
      <w:r>
        <w:rPr>
          <w:rFonts w:ascii="Times New Roman" w:eastAsia="SimHei"/>
          <w:b/>
          <w:bCs/>
          <w:color w:val="1A5276"/>
          <w:sz w:val="32"/>
          <w:szCs w:val="32"/>
        </w:rPr>
        <w:t xml:space="preserve">Document Control</w:t>
      </w:r>
      <w:bookmarkEnd w:id="100006"/>
    </w:p>
    <w:p>
      <w:pPr>
        <w:keepNext w:val="false"/>
        <w:spacing w:after="120" w:line="312"/>
        <w:jc w:val="left"/>
      </w:pPr>
      <w:r>
        <w:rPr>
          <w:rFonts w:ascii="Times New Roman" w:eastAsia="Times New Roman"/>
          <w:b w:val="false"/>
          <w:bCs w:val="false"/>
          <w:i w:val="false"/>
          <w:iCs w:val="false"/>
          <w:color w:val="000000"/>
          <w:sz w:val="24"/>
          <w:szCs w:val="24"/>
        </w:rPr>
        <w:t xml:space="preserve">This section records the status, ownership and review discipline of this document. It exists so that the document itself can be governed with the same rigour the programme expects from the AI systems it assessor-assures: every reader can see who owns it, when it was last changed, and when it must next be reviewed. All names, signatures and dates are placeholders until the named roles complete their review at [Hospital Name].</w:t>
      </w:r>
    </w:p>
    <w:p>
      <w:pPr>
        <w:keepNext/>
        <w:spacing w:after="80" w:before="200" w:line="312"/>
        <w:jc w:val="left"/>
      </w:pPr>
      <w:r>
        <w:rPr>
          <w:rFonts w:ascii="Times New Roman" w:eastAsia="Times New Roman"/>
          <w:b/>
          <w:bCs/>
          <w:color w:val="000000"/>
          <w:sz w:val="21"/>
          <w:szCs w:val="21"/>
        </w:rPr>
        <w:t xml:space="preserve">Table D-1. Version history</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055"/>
        <w:gridCol w:w="1582"/>
        <w:gridCol w:w="2812"/>
        <w:gridCol w:w="3339"/>
      </w:tblGrid>
      <w:tr>
        <w:trPr>
          <w:cantSplit/>
          <w:tblHeader/>
        </w:trPr>
        <w:tc>
          <w:tcPr>
            <w:tcW w:type="pct" w:w="6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Version</w:t>
            </w:r>
          </w:p>
        </w:tc>
        <w:tc>
          <w:tcPr>
            <w:tcW w:type="pct" w:w="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Date</w:t>
            </w:r>
          </w:p>
        </w:tc>
        <w:tc>
          <w:tcPr>
            <w:tcW w:type="pct" w:w="16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Author</w:t>
            </w:r>
          </w:p>
        </w:tc>
        <w:tc>
          <w:tcPr>
            <w:tcW w:type="pct" w:w="1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Summary of changes</w:t>
            </w:r>
          </w:p>
        </w:tc>
      </w:tr>
      <w:tr>
        <w:trPr>
          <w:cantSplit/>
        </w:trPr>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0.1</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Provar Programme Office</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Initial draft issued for stakeholder review and local completion.</w:t>
            </w:r>
          </w:p>
        </w:tc>
      </w:tr>
      <w:tr>
        <w:trPr>
          <w:cantSplit/>
        </w:trPr>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[Next version]</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[Author]</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[Planned: insert hospital baselines, confirm owners, close placeholder fields.]</w:t>
            </w:r>
          </w:p>
        </w:tc>
      </w:tr>
    </w:tbl>
    <w:p>
      <w:pPr>
        <w:spacing w:after="200" w:before="80" w:line="312"/>
        <w:jc w:val="left"/>
      </w:pPr>
      <w:r>
        <w:rPr>
          <w:rFonts w:ascii="Times New Roman" w:eastAsia="Times New Roman"/>
          <w:i/>
          <w:iCs/>
          <w:color w:val="595959"/>
          <w:sz w:val="18"/>
          <w:szCs w:val="18"/>
        </w:rPr>
        <w:t xml:space="preserve">Version 0.1 content deliberately uses placeholders rather than invented hospital-specific values; see the section “How to read this document” and the basis tags used throughout.</w:t>
      </w:r>
    </w:p>
    <w:p>
      <w:pPr>
        <w:keepNext/>
        <w:spacing w:after="80" w:before="200" w:line="312"/>
        <w:jc w:val="left"/>
      </w:pPr>
      <w:r>
        <w:rPr>
          <w:rFonts w:ascii="Times New Roman" w:eastAsia="Times New Roman"/>
          <w:b/>
          <w:bCs/>
          <w:color w:val="000000"/>
          <w:sz w:val="21"/>
          <w:szCs w:val="21"/>
        </w:rPr>
        <w:t xml:space="preserve">Table D-2. Review and approval</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636"/>
        <w:gridCol w:w="2285"/>
        <w:gridCol w:w="2109"/>
        <w:gridCol w:w="1758"/>
      </w:tblGrid>
      <w:tr>
        <w:trPr>
          <w:cantSplit/>
          <w:tblHeader/>
        </w:trPr>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Role</w:t>
            </w:r>
          </w:p>
        </w:tc>
        <w:tc>
          <w:tcPr>
            <w:tcW w:type="pct" w:w="13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Name</w:t>
            </w:r>
          </w:p>
        </w:tc>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Signature</w:t>
            </w:r>
          </w:p>
        </w:tc>
        <w:tc>
          <w:tcPr>
            <w:tcW w:type="pct" w:w="10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QA owner (programme office)</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Programme director</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 safety officer (safety-tagged content review)</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bl>
    <w:p>
      <w:pPr>
        <w:spacing w:after="200" w:before="80" w:line="312"/>
        <w:jc w:val="left"/>
      </w:pPr>
      <w:r>
        <w:rPr>
          <w:rFonts w:ascii="Times New Roman" w:eastAsia="Times New Roman"/>
          <w:i/>
          <w:iCs/>
          <w:color w:val="595959"/>
          <w:sz w:val="18"/>
          <w:szCs w:val="18"/>
        </w:rPr>
        <w:t xml:space="preserve">Sign-off confirms only that the signatory has reviewed the document for their domain; it does not by itself discharge any gate in the go/no-go framework.</w:t>
      </w:r>
    </w:p>
    <w:p>
      <w:pPr>
        <w:keepNext/>
        <w:spacing w:after="80" w:before="200" w:line="312"/>
        <w:jc w:val="left"/>
      </w:pPr>
      <w:r>
        <w:rPr>
          <w:rFonts w:ascii="Times New Roman" w:eastAsia="Times New Roman"/>
          <w:b/>
          <w:bCs/>
          <w:color w:val="000000"/>
          <w:sz w:val="21"/>
          <w:szCs w:val="21"/>
        </w:rPr>
        <w:t xml:space="preserve">Table D-3. Custody and review discipline</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636"/>
        <w:gridCol w:w="6152"/>
      </w:tblGrid>
      <w:tr>
        <w:trPr>
          <w:cantSplit/>
          <w:tblHeader/>
        </w:trPr>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Attribute</w:t>
            </w:r>
          </w:p>
        </w:tc>
        <w:tc>
          <w:tcPr>
            <w:tcW w:type="pct" w:w="3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Value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Classification</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Internal — Governance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Distribution</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Programme leadership; document owners; internal audit on request</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Storage location</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[Document management system reference]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Review cadence</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Quarterly, and on any material change to scope, vendor or regulation</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Next scheduled review</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Related documents</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CCOO Brief; Board Assurance Paper; IT Readiness and Infrastructure Design; Cross-Cutting Assurance Dossier (all verified by this report)</w:t>
            </w:r>
          </w:p>
        </w:tc>
      </w:tr>
    </w:tbl>
    <w:p>
      <w:pPr>
        <w:spacing w:after="200" w:before="80" w:line="312"/>
        <w:jc w:val="left"/>
      </w:pPr>
      <w:r>
        <w:rPr>
          <w:rFonts w:ascii="Times New Roman" w:eastAsia="Times New Roman"/>
          <w:i/>
          <w:iCs/>
          <w:color w:val="595959"/>
          <w:sz w:val="18"/>
          <w:szCs w:val="18"/>
        </w:rPr>
        <w:t xml:space="preserve">Classification and distribution are set by [Hospital Name] information governance; the defaults above are structural suggestions, not decisions.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2" w:sz="2" w:space="4"/>
      </w:pBdr>
      <w:jc w:val="center"/>
    </w:pPr>
    <w:r>
      <w:rPr>
        <w:rFonts w:ascii="Times New Roman" w:eastAsia="Times New Roman"/>
        <w:color w:val="888888"/>
        <w:sz w:val="18"/>
        <w:szCs w:val="18"/>
      </w:rPr>
      <w:t xml:space="preserve">Hospital AI Programme — Document Quality Verdict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5276"/>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5276"/>
      <w:sz w:val="30"/>
      <w:szCs w:val="30"/>
    </w:rPr>
  </w:style>
  <w:style w:type="paragraph" w:styleId="Heading3">
    <w:name w:val="Heading 3"/>
    <w:basedOn w:val="Normal"/>
    <w:next w:val="Normal"/>
    <w:qFormat/>
    <w:pPr>
      <w:spacing w:after="100" w:before="200" w:line="312"/>
      <w:outlineLvl w:val="2"/>
    </w:pPr>
    <w:rPr>
      <w:rFonts w:ascii="Times New Roman" w:eastAsia="SimHei"/>
      <w:b/>
      <w:bCs/>
      <w:color w:val="1A5276"/>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Quality Verdict Report</dc:title>
  <dc:creator>Provar Programme Office</dc:creator>
  <dc:description>Assurance Evidence for the Provar Document Set — v0.1-2 Builds, Verified 2026-10-05</dc:description>
  <cp:lastModifiedBy>Un-named</cp:lastModifiedBy>
  <cp:revision>1</cp:revision>
  <dcterms:created xsi:type="dcterms:W3CDTF">2026-10-05T04:35:19.596Z</dcterms:created>
  <dcterms:modified xsi:type="dcterms:W3CDTF">2026-10-05T04:35:19.596Z</dcterms:modified>
</cp:coreProperties>
</file>

<file path=docProps/custom.xml><?xml version="1.0" encoding="utf-8"?>
<Properties xmlns="http://schemas.openxmlformats.org/officeDocument/2006/custom-properties" xmlns:vt="http://schemas.openxmlformats.org/officeDocument/2006/docPropsVTypes"/>
</file>