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Facturación electrónica en DaliGo</w:t>
      </w:r>
    </w:p>
    <w:p>
      <w:pPr>
        <w:spacing w:after="120" w:line="276"/>
      </w:pPr>
      <w:r>
        <w:rPr>
          <w:color w:val="525252"/>
          <w:sz w:val="22"/>
          <w:szCs w:val="22"/>
        </w:rPr>
        <w:t xml:space="preserve">Guía para la reunión con Gerencia General · 30 de julio de 2026</w:t>
      </w:r>
    </w:p>
    <w:p>
      <w:pPr>
        <w:spacing w:after="200" w:line="276"/>
      </w:pPr>
      <w:r>
        <w:rPr>
          <w:color w:val="525252"/>
          <w:sz w:val="20"/>
          <w:szCs w:val="20"/>
        </w:rPr>
        <w:t xml:space="preserve">Preparado por Marcos Uribe — desarrollo DaliGo</w:t>
      </w:r>
    </w:p>
    <w:p>
      <w:pPr>
        <w:pBdr>
          <w:bottom w:val="single" w:color="E5E5E5" w:sz="6"/>
        </w:pBdr>
        <w:spacing w:after="200" w:before="120"/>
      </w:pPr>
      <w:r>
        <w:t xml:space="preserve"/>
      </w:r>
    </w:p>
    <w:p>
      <w:pPr>
        <w:spacing w:after="120" w:line="276"/>
      </w:pPr>
      <w:r>
        <w:rPr>
          <w:b/>
          <w:bCs/>
          <w:sz w:val="22"/>
          <w:szCs w:val="22"/>
        </w:rPr>
        <w:t xml:space="preserve">Cómo usar esta guía. </w:t>
      </w:r>
      <w:r>
        <w:rPr>
          <w:b w:val="false"/>
          <w:bCs w:val="false"/>
          <w:sz w:val="22"/>
          <w:szCs w:val="22"/>
        </w:rPr>
        <w:t xml:space="preserve">Leerla completa toma unos 15 minutos. La sección 2 es el diccionario: alcanza con esas seis palabras para seguir toda la conversación. La sección 3 recorre la pantalla apartado por apartado, con lo que conviene decir en cada uno. Las secciones 4 y 5 son para responder preguntas.</w:t>
      </w:r>
    </w:p>
    <w:p>
      <w:pPr>
        <w:pStyle w:val="Heading1"/>
        <w:spacing w:after="160" w:before="320"/>
      </w:pPr>
      <w:r>
        <w:rPr>
          <w:b/>
          <w:bCs/>
          <w:color w:val="EA580C"/>
          <w:sz w:val="30"/>
          <w:szCs w:val="30"/>
        </w:rPr>
        <w:t xml:space="preserve">1. La idea, en una frase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6"/>
              <w:left w:val="single" w:color="EA580C" w:sz="18"/>
              <w:bottom w:val="single" w:color="FED7AA" w:sz="6"/>
              <w:right w:val="single" w:color="FED7AA" w:sz="6"/>
            </w:tcBorders>
            <w:shd w:fill="FFF7ED" w:val="clear"/>
            <w:tcMar>
              <w:top w:type="dxa" w:w="160"/>
              <w:left w:type="dxa" w:w="200"/>
              <w:bottom w:type="dxa" w:w="160"/>
              <w:right w:type="dxa" w:w="200"/>
            </w:tcMar>
          </w:tcPr>
          <w:p>
            <w:pPr>
              <w:spacing w:after="0" w:line="276"/>
            </w:pPr>
            <w:r>
              <w:rPr>
                <w:i/>
                <w:iCs/>
                <w:color w:val="7C2D12"/>
                <w:sz w:val="22"/>
                <w:szCs w:val="22"/>
              </w:rPr>
              <w:t xml:space="preserve">Hoy una venta se registra dos veces: una en DaliGo y otra a mano en Bsale para emitir la boleta. Estamos haciendo que DaliGo le pase esos datos a Bsale automáticamente. Bsale sigue emitiendo igual que siempre; lo que se elimina es el doble tipeo y los errores que eso trae.</w:t>
            </w:r>
          </w:p>
        </w:tc>
      </w:tr>
    </w:tbl>
    <w:p>
      <w:pPr>
        <w:spacing w:after="100" w:line="276"/>
      </w:pPr>
      <w:r>
        <w:rPr>
          <w:sz w:val="22"/>
          <w:szCs w:val="22"/>
        </w:rPr>
        <w:t xml:space="preserve">Tres cosas que conviene dejar claras de entrada:</w:t>
      </w:r>
    </w:p>
    <w:p>
      <w:pPr>
        <w:pStyle w:val="ListParagraph"/>
        <w:numPr>
          <w:ilvl w:val="0"/>
          <w:numId w:val="2"/>
        </w:numPr>
        <w:spacing w:after="80" w:line="276"/>
      </w:pPr>
      <w:r>
        <w:rPr>
          <w:b/>
          <w:bCs/>
          <w:sz w:val="22"/>
          <w:szCs w:val="22"/>
        </w:rPr>
        <w:t xml:space="preserve">Bsale no se reemplaza. </w:t>
      </w:r>
      <w:r>
        <w:rPr>
          <w:b w:val="false"/>
          <w:bCs w:val="false"/>
          <w:sz w:val="22"/>
          <w:szCs w:val="22"/>
        </w:rPr>
        <w:t xml:space="preserve">Sigue siendo quien emite ante el SII, con su certificación y sus folios.</w:t>
      </w:r>
    </w:p>
    <w:p>
      <w:pPr>
        <w:pStyle w:val="ListParagraph"/>
        <w:numPr>
          <w:ilvl w:val="0"/>
          <w:numId w:val="2"/>
        </w:numPr>
        <w:spacing w:after="80" w:line="276"/>
      </w:pPr>
      <w:r>
        <w:rPr>
          <w:b/>
          <w:bCs/>
          <w:sz w:val="22"/>
          <w:szCs w:val="22"/>
        </w:rPr>
        <w:t xml:space="preserve">Todavía no se ha emitido ningún documento. </w:t>
      </w:r>
      <w:r>
        <w:rPr>
          <w:b w:val="false"/>
          <w:bCs w:val="false"/>
          <w:sz w:val="22"/>
          <w:szCs w:val="22"/>
        </w:rPr>
        <w:t xml:space="preserve">Cero. Y el sistema hoy no puede emitir aunque alguien lo intente.</w:t>
      </w:r>
    </w:p>
    <w:p>
      <w:pPr>
        <w:pStyle w:val="ListParagraph"/>
        <w:numPr>
          <w:ilvl w:val="0"/>
          <w:numId w:val="2"/>
        </w:numPr>
        <w:spacing w:after="80" w:line="276"/>
      </w:pPr>
      <w:r>
        <w:rPr>
          <w:b/>
          <w:bCs/>
          <w:sz w:val="22"/>
          <w:szCs w:val="22"/>
        </w:rPr>
        <w:t xml:space="preserve">Si DaliGo se cayera, se factura en Bsale como siempre. </w:t>
      </w:r>
      <w:r>
        <w:rPr>
          <w:b w:val="false"/>
          <w:bCs w:val="false"/>
          <w:sz w:val="22"/>
          <w:szCs w:val="22"/>
        </w:rPr>
        <w:t xml:space="preserve">No se detiene la venta.</w:t>
      </w:r>
    </w:p>
    <w:p>
      <w:pPr>
        <w:pStyle w:val="Heading1"/>
        <w:spacing w:after="160" w:before="320"/>
      </w:pPr>
      <w:r>
        <w:rPr>
          <w:b/>
          <w:bCs/>
          <w:color w:val="EA580C"/>
          <w:sz w:val="30"/>
          <w:szCs w:val="30"/>
        </w:rPr>
        <w:t xml:space="preserve">2. Seis palabras que van a salir en la reunión</w:t>
      </w:r>
    </w:p>
    <w:p>
      <w:pPr>
        <w:spacing w:after="160" w:line="276"/>
      </w:pPr>
      <w:r>
        <w:rPr>
          <w:color w:val="525252"/>
          <w:sz w:val="22"/>
          <w:szCs w:val="22"/>
        </w:rPr>
        <w:t xml:space="preserve">No hace falta saber más que 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F5F5F5" w:val="clear"/>
            <w:tcMar>
              <w:top w:type="dxa" w:w="100"/>
              <w:left w:type="dxa" w:w="140"/>
              <w:bottom w:type="dxa" w:w="100"/>
              <w:right w:type="dxa" w:w="140"/>
            </w:tcMar>
          </w:tcPr>
          <w:p>
            <w:pPr>
              <w:spacing w:after="0" w:line="276"/>
            </w:pPr>
            <w:r>
              <w:rPr>
                <w:b/>
                <w:bCs/>
                <w:sz w:val="20"/>
                <w:szCs w:val="20"/>
              </w:rPr>
              <w:t xml:space="preserve">Palabra</w:t>
            </w:r>
          </w:p>
        </w:tc>
        <w:tc>
          <w:tcPr>
            <w:tcW w:type="dxa" w:w="7660"/>
            <w:shd w:fill="F5F5F5" w:val="clear"/>
            <w:tcMar>
              <w:top w:type="dxa" w:w="100"/>
              <w:left w:type="dxa" w:w="140"/>
              <w:bottom w:type="dxa" w:w="100"/>
              <w:right w:type="dxa" w:w="140"/>
            </w:tcMar>
          </w:tcPr>
          <w:p>
            <w:pPr>
              <w:spacing w:after="0" w:line="276"/>
            </w:pPr>
            <w:r>
              <w:rPr>
                <w:b/>
                <w:bCs/>
                <w:sz w:val="20"/>
                <w:szCs w:val="20"/>
              </w:rPr>
              <w:t xml:space="preserve">Qué significa, en simple</w:t>
            </w:r>
          </w:p>
        </w:tc>
      </w:tr>
      <w:tr>
        <w:tc>
          <w:tcPr>
            <w:tcW w:type="dxa" w:w="1700"/>
            <w:tcMar>
              <w:top w:type="dxa" w:w="100"/>
              <w:left w:type="dxa" w:w="140"/>
              <w:bottom w:type="dxa" w:w="100"/>
              <w:right w:type="dxa" w:w="140"/>
            </w:tcMar>
          </w:tcPr>
          <w:p>
            <w:pPr>
              <w:spacing w:after="0" w:line="276"/>
            </w:pPr>
            <w:r>
              <w:rPr>
                <w:sz w:val="20"/>
                <w:szCs w:val="20"/>
              </w:rPr>
              <w:t xml:space="preserve">DTE</w:t>
            </w:r>
          </w:p>
        </w:tc>
        <w:tc>
          <w:tcPr>
            <w:tcW w:type="dxa" w:w="7660"/>
            <w:tcMar>
              <w:top w:type="dxa" w:w="100"/>
              <w:left w:type="dxa" w:w="140"/>
              <w:bottom w:type="dxa" w:w="100"/>
              <w:right w:type="dxa" w:w="140"/>
            </w:tcMar>
          </w:tcPr>
          <w:p>
            <w:pPr>
              <w:spacing w:after="0" w:line="276"/>
            </w:pPr>
            <w:r>
              <w:rPr>
                <w:sz w:val="20"/>
                <w:szCs w:val="20"/>
              </w:rPr>
              <w:t xml:space="preserve">Documento Tributario Electrónico. Es la boleta o la factura en versión electrónica. Es el nombre técnico de lo mismo que hoy se emite en Bsale.</w:t>
            </w:r>
          </w:p>
        </w:tc>
      </w:tr>
      <w:tr>
        <w:tc>
          <w:tcPr>
            <w:tcW w:type="dxa" w:w="1700"/>
            <w:tcMar>
              <w:top w:type="dxa" w:w="100"/>
              <w:left w:type="dxa" w:w="140"/>
              <w:bottom w:type="dxa" w:w="100"/>
              <w:right w:type="dxa" w:w="140"/>
            </w:tcMar>
          </w:tcPr>
          <w:p>
            <w:pPr>
              <w:spacing w:after="0" w:line="276"/>
            </w:pPr>
            <w:r>
              <w:rPr>
                <w:sz w:val="20"/>
                <w:szCs w:val="20"/>
              </w:rPr>
              <w:t xml:space="preserve">XML</w:t>
            </w:r>
          </w:p>
        </w:tc>
        <w:tc>
          <w:tcPr>
            <w:tcW w:type="dxa" w:w="7660"/>
            <w:tcMar>
              <w:top w:type="dxa" w:w="100"/>
              <w:left w:type="dxa" w:w="140"/>
              <w:bottom w:type="dxa" w:w="100"/>
              <w:right w:type="dxa" w:w="140"/>
            </w:tcMar>
          </w:tcPr>
          <w:p>
            <w:pPr>
              <w:spacing w:after="0" w:line="276"/>
            </w:pPr>
            <w:r>
              <w:rPr>
                <w:sz w:val="20"/>
                <w:szCs w:val="20"/>
              </w:rPr>
              <w:t xml:space="preserve">Es el archivo que constituye el documento legal ante el SII. El PDF que se le manda al cliente es solo "la versión imprimible": si hay una discrepancia, vale el XML. El SII obliga a conservarlos 6 años, y por eso DaliGo guarda el enlace a cada uno.</w:t>
            </w:r>
          </w:p>
        </w:tc>
      </w:tr>
      <w:tr>
        <w:tc>
          <w:tcPr>
            <w:tcW w:type="dxa" w:w="1700"/>
            <w:tcMar>
              <w:top w:type="dxa" w:w="100"/>
              <w:left w:type="dxa" w:w="140"/>
              <w:bottom w:type="dxa" w:w="100"/>
              <w:right w:type="dxa" w:w="140"/>
            </w:tcMar>
          </w:tcPr>
          <w:p>
            <w:pPr>
              <w:spacing w:after="0" w:line="276"/>
            </w:pPr>
            <w:r>
              <w:rPr>
                <w:sz w:val="20"/>
                <w:szCs w:val="20"/>
              </w:rPr>
              <w:t xml:space="preserve">Timbre electrónico</w:t>
            </w:r>
          </w:p>
        </w:tc>
        <w:tc>
          <w:tcPr>
            <w:tcW w:type="dxa" w:w="7660"/>
            <w:tcMar>
              <w:top w:type="dxa" w:w="100"/>
              <w:left w:type="dxa" w:w="140"/>
              <w:bottom w:type="dxa" w:w="100"/>
              <w:right w:type="dxa" w:w="140"/>
            </w:tcMar>
          </w:tcPr>
          <w:p>
            <w:pPr>
              <w:spacing w:after="0" w:line="276"/>
            </w:pPr>
            <w:r>
              <w:rPr>
                <w:sz w:val="20"/>
                <w:szCs w:val="20"/>
              </w:rPr>
              <w:t xml:space="preserve">El sello que hace que el SII reconozca el documento como válido. Se genera con un certificado digital. Hoy lo hace Bsale por nosotros, y la recomendación es que siga siendo así: construirlo es la parte más difícil y más riesgosa.</w:t>
            </w:r>
          </w:p>
        </w:tc>
      </w:tr>
      <w:tr>
        <w:tc>
          <w:tcPr>
            <w:tcW w:type="dxa" w:w="1700"/>
            <w:tcMar>
              <w:top w:type="dxa" w:w="100"/>
              <w:left w:type="dxa" w:w="140"/>
              <w:bottom w:type="dxa" w:w="100"/>
              <w:right w:type="dxa" w:w="140"/>
            </w:tcMar>
          </w:tcPr>
          <w:p>
            <w:pPr>
              <w:spacing w:after="0" w:line="276"/>
            </w:pPr>
            <w:r>
              <w:rPr>
                <w:sz w:val="20"/>
                <w:szCs w:val="20"/>
              </w:rPr>
              <w:t xml:space="preserve">Folio (y CAF)</w:t>
            </w:r>
          </w:p>
        </w:tc>
        <w:tc>
          <w:tcPr>
            <w:tcW w:type="dxa" w:w="7660"/>
            <w:tcMar>
              <w:top w:type="dxa" w:w="100"/>
              <w:left w:type="dxa" w:w="140"/>
              <w:bottom w:type="dxa" w:w="100"/>
              <w:right w:type="dxa" w:w="140"/>
            </w:tcMar>
          </w:tcPr>
          <w:p>
            <w:pPr>
              <w:spacing w:after="0" w:line="276"/>
            </w:pPr>
            <w:r>
              <w:rPr>
                <w:sz w:val="20"/>
                <w:szCs w:val="20"/>
              </w:rPr>
              <w:t xml:space="preserve">El número del documento. El SII los entrega por paquetes autorizados, y esos paquetes vencen a los 6 meses. Un folio vencido es rechazado. Los administra Bsale.</w:t>
            </w:r>
          </w:p>
        </w:tc>
      </w:tr>
      <w:tr>
        <w:tc>
          <w:tcPr>
            <w:tcW w:type="dxa" w:w="1700"/>
            <w:tcMar>
              <w:top w:type="dxa" w:w="100"/>
              <w:left w:type="dxa" w:w="140"/>
              <w:bottom w:type="dxa" w:w="100"/>
              <w:right w:type="dxa" w:w="140"/>
            </w:tcMar>
          </w:tcPr>
          <w:p>
            <w:pPr>
              <w:spacing w:after="0" w:line="276"/>
            </w:pPr>
            <w:r>
              <w:rPr>
                <w:sz w:val="20"/>
                <w:szCs w:val="20"/>
              </w:rPr>
              <w:t xml:space="preserve">Nota de crédito</w:t>
            </w:r>
          </w:p>
        </w:tc>
        <w:tc>
          <w:tcPr>
            <w:tcW w:type="dxa" w:w="7660"/>
            <w:tcMar>
              <w:top w:type="dxa" w:w="100"/>
              <w:left w:type="dxa" w:w="140"/>
              <w:bottom w:type="dxa" w:w="100"/>
              <w:right w:type="dxa" w:w="140"/>
            </w:tcMar>
          </w:tcPr>
          <w:p>
            <w:pPr>
              <w:spacing w:after="0" w:line="276"/>
            </w:pPr>
            <w:r>
              <w:rPr>
                <w:sz w:val="20"/>
                <w:szCs w:val="20"/>
              </w:rPr>
              <w:t xml:space="preserve">La única forma de anular un documento electrónico: no se borran. Si sale mal uno, se emite una nota de crédito que lo revierte. Por eso importa definir quién puede emitirlas.</w:t>
            </w:r>
          </w:p>
        </w:tc>
      </w:tr>
      <w:tr>
        <w:tc>
          <w:tcPr>
            <w:tcW w:type="dxa" w:w="1700"/>
            <w:tcMar>
              <w:top w:type="dxa" w:w="100"/>
              <w:left w:type="dxa" w:w="140"/>
              <w:bottom w:type="dxa" w:w="100"/>
              <w:right w:type="dxa" w:w="140"/>
            </w:tcMar>
          </w:tcPr>
          <w:p>
            <w:pPr>
              <w:spacing w:after="0" w:line="276"/>
            </w:pPr>
            <w:r>
              <w:rPr>
                <w:sz w:val="20"/>
                <w:szCs w:val="20"/>
              </w:rPr>
              <w:t xml:space="preserve">Candado</w:t>
            </w:r>
          </w:p>
        </w:tc>
        <w:tc>
          <w:tcPr>
            <w:tcW w:type="dxa" w:w="7660"/>
            <w:tcMar>
              <w:top w:type="dxa" w:w="100"/>
              <w:left w:type="dxa" w:w="140"/>
              <w:bottom w:type="dxa" w:w="100"/>
              <w:right w:type="dxa" w:w="140"/>
            </w:tcMar>
          </w:tcPr>
          <w:p>
            <w:pPr>
              <w:spacing w:after="0" w:line="276"/>
            </w:pPr>
            <w:r>
              <w:rPr>
                <w:sz w:val="20"/>
                <w:szCs w:val="20"/>
              </w:rPr>
              <w:t xml:space="preserve">Nombre interno de una traba que pusimos: impide que el sistema emita un documento real por error. Están explicados en la sección 3.6.</w:t>
            </w:r>
          </w:p>
        </w:tc>
      </w:tr>
    </w:tbl>
    <w:p>
      <w:r>
        <w:br w:type="page"/>
      </w:r>
    </w:p>
    <w:p>
      <w:pPr>
        <w:pStyle w:val="Heading1"/>
        <w:spacing w:after="160" w:before="320"/>
      </w:pPr>
      <w:r>
        <w:rPr>
          <w:b/>
          <w:bCs/>
          <w:color w:val="EA580C"/>
          <w:sz w:val="30"/>
          <w:szCs w:val="30"/>
        </w:rPr>
        <w:t xml:space="preserve">3. Recorrido por la pantalla</w:t>
      </w:r>
    </w:p>
    <w:p>
      <w:pPr>
        <w:spacing w:after="200" w:line="276"/>
      </w:pPr>
      <w:r>
        <w:rPr>
          <w:sz w:val="22"/>
          <w:szCs w:val="22"/>
        </w:rPr>
        <w:t xml:space="preserve">En la barra lateral hay un módulo nuevo: FACTURACIÓN, con dos pantallas — Documentos y Estado. Esto es lo que hay en cada apartado.</w:t>
      </w:r>
    </w:p>
    <w:p>
      <w:pPr>
        <w:pStyle w:val="Heading2"/>
        <w:spacing w:after="100" w:before="240"/>
      </w:pPr>
      <w:r>
        <w:rPr>
          <w:b/>
          <w:bCs/>
          <w:sz w:val="24"/>
          <w:szCs w:val="24"/>
        </w:rPr>
        <w:t xml:space="preserve">3.1 El aviso naranjo de arriba</w:t>
      </w:r>
    </w:p>
    <w:p>
      <w:pPr>
        <w:spacing w:after="120" w:line="276"/>
      </w:pPr>
      <w:r>
        <w:rPr>
          <w:b/>
          <w:bCs/>
          <w:sz w:val="22"/>
          <w:szCs w:val="22"/>
        </w:rPr>
        <w:t xml:space="preserve">Qué dice: </w:t>
      </w:r>
      <w:r>
        <w:rPr>
          <w:b w:val="false"/>
          <w:bCs w:val="false"/>
          <w:sz w:val="22"/>
          <w:szCs w:val="22"/>
        </w:rPr>
        <w:t xml:space="preserve">"Módulo en marcha · la emisión se habilita más adelante".</w:t>
      </w:r>
    </w:p>
    <w:p>
      <w:pPr>
        <w:spacing w:after="120" w:line="276"/>
      </w:pPr>
      <w:r>
        <w:rPr>
          <w:b/>
          <w:bCs/>
          <w:sz w:val="22"/>
          <w:szCs w:val="22"/>
        </w:rPr>
        <w:t xml:space="preserve">Qué significa: </w:t>
      </w:r>
      <w:r>
        <w:rPr>
          <w:b w:val="false"/>
          <w:bCs w:val="false"/>
          <w:sz w:val="22"/>
          <w:szCs w:val="22"/>
        </w:rPr>
        <w:t xml:space="preserve">el sistema ya sabe armar el documento completo de una reparación y permite revisarlo. Lo que no está habilitado es mandarlo de verdad, porque ese es un paso que se autoriza a propósito y no por descuido.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6"/>
              <w:left w:val="single" w:color="EA580C" w:sz="18"/>
              <w:bottom w:val="single" w:color="FED7AA" w:sz="6"/>
              <w:right w:val="single" w:color="FED7AA" w:sz="6"/>
            </w:tcBorders>
            <w:shd w:fill="FFF7ED" w:val="clear"/>
            <w:tcMar>
              <w:top w:type="dxa" w:w="160"/>
              <w:left w:type="dxa" w:w="200"/>
              <w:bottom w:type="dxa" w:w="160"/>
              <w:right w:type="dxa" w:w="200"/>
            </w:tcMar>
          </w:tcPr>
          <w:p>
            <w:pPr>
              <w:spacing w:after="60" w:line="276"/>
            </w:pPr>
            <w:r>
              <w:rPr>
                <w:b/>
                <w:bCs/>
                <w:color w:val="9A3412"/>
                <w:sz w:val="20"/>
                <w:szCs w:val="20"/>
              </w:rPr>
              <w:t xml:space="preserve">Para decir</w:t>
            </w:r>
          </w:p>
          <w:p>
            <w:pPr>
              <w:spacing w:after="0" w:line="276"/>
            </w:pPr>
            <w:r>
              <w:rPr>
                <w:i/>
                <w:iCs/>
                <w:color w:val="7C2D12"/>
                <w:sz w:val="22"/>
                <w:szCs w:val="22"/>
              </w:rPr>
              <w:t xml:space="preserve">Esto ya calcula la boleta completa. Lo único que falta es apretar el botón de emitir, y ese botón está deliberadamente desconectado hasta que se autorice.</w:t>
            </w:r>
          </w:p>
        </w:tc>
      </w:tr>
    </w:tbl>
    <w:p>
      <w:pPr>
        <w:pStyle w:val="Heading2"/>
        <w:spacing w:after="100" w:before="240"/>
      </w:pPr>
      <w:r>
        <w:rPr>
          <w:b/>
          <w:bCs/>
          <w:sz w:val="24"/>
          <w:szCs w:val="24"/>
        </w:rPr>
        <w:t xml:space="preserve">3.2 "Nuevo documento" — los cuatro tipos</w:t>
      </w:r>
    </w:p>
    <w:p>
      <w:pPr>
        <w:spacing w:after="120" w:line="276"/>
      </w:pPr>
      <w:r>
        <w:rPr>
          <w:sz w:val="22"/>
          <w:szCs w:val="22"/>
        </w:rPr>
        <w:t xml:space="preserve">Es el equivalente al menú "Nuevo" de Bsale. Cada tarjeta dice su estado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shd w:fill="F5F5F5" w:val="clear"/>
            <w:tcMar>
              <w:top w:type="dxa" w:w="100"/>
              <w:left w:type="dxa" w:w="140"/>
              <w:bottom w:type="dxa" w:w="100"/>
              <w:right w:type="dxa" w:w="140"/>
            </w:tcMar>
          </w:tcPr>
          <w:p>
            <w:pPr>
              <w:spacing w:after="0" w:line="276"/>
            </w:pPr>
            <w:r>
              <w:rPr>
                <w:b/>
                <w:bCs/>
                <w:sz w:val="20"/>
                <w:szCs w:val="20"/>
              </w:rPr>
              <w:t xml:space="preserve">Tipo</w:t>
            </w:r>
          </w:p>
        </w:tc>
        <w:tc>
          <w:tcPr>
            <w:tcW w:type="dxa" w:w="1700"/>
            <w:shd w:fill="F5F5F5" w:val="clear"/>
            <w:tcMar>
              <w:top w:type="dxa" w:w="100"/>
              <w:left w:type="dxa" w:w="140"/>
              <w:bottom w:type="dxa" w:w="100"/>
              <w:right w:type="dxa" w:w="140"/>
            </w:tcMar>
          </w:tcPr>
          <w:p>
            <w:pPr>
              <w:spacing w:after="0" w:line="276"/>
            </w:pPr>
            <w:r>
              <w:rPr>
                <w:b/>
                <w:bCs/>
                <w:sz w:val="20"/>
                <w:szCs w:val="20"/>
              </w:rPr>
              <w:t xml:space="preserve">Estado</w:t>
            </w:r>
          </w:p>
        </w:tc>
        <w:tc>
          <w:tcPr>
            <w:tcW w:type="dxa" w:w="5060"/>
            <w:shd w:fill="F5F5F5" w:val="clear"/>
            <w:tcMar>
              <w:top w:type="dxa" w:w="100"/>
              <w:left w:type="dxa" w:w="140"/>
              <w:bottom w:type="dxa" w:w="100"/>
              <w:right w:type="dxa" w:w="140"/>
            </w:tcMar>
          </w:tcPr>
          <w:p>
            <w:pPr>
              <w:spacing w:after="0" w:line="276"/>
            </w:pPr>
            <w:r>
              <w:rPr>
                <w:b/>
                <w:bCs/>
                <w:sz w:val="20"/>
                <w:szCs w:val="20"/>
              </w:rPr>
              <w:t xml:space="preserve">Qué significa</w:t>
            </w:r>
          </w:p>
        </w:tc>
      </w:tr>
      <w:tr>
        <w:tc>
          <w:tcPr>
            <w:tcW w:type="dxa" w:w="2600"/>
            <w:tcMar>
              <w:top w:type="dxa" w:w="100"/>
              <w:left w:type="dxa" w:w="140"/>
              <w:bottom w:type="dxa" w:w="100"/>
              <w:right w:type="dxa" w:w="140"/>
            </w:tcMar>
          </w:tcPr>
          <w:p>
            <w:pPr>
              <w:spacing w:after="0" w:line="276"/>
            </w:pPr>
            <w:r>
              <w:rPr>
                <w:sz w:val="20"/>
                <w:szCs w:val="20"/>
              </w:rPr>
              <w:t xml:space="preserve">Desde una orden de servicio</w:t>
            </w:r>
          </w:p>
        </w:tc>
        <w:tc>
          <w:tcPr>
            <w:tcW w:type="dxa" w:w="1700"/>
            <w:tcMar>
              <w:top w:type="dxa" w:w="100"/>
              <w:left w:type="dxa" w:w="140"/>
              <w:bottom w:type="dxa" w:w="100"/>
              <w:right w:type="dxa" w:w="140"/>
            </w:tcMar>
          </w:tcPr>
          <w:p>
            <w:pPr>
              <w:spacing w:after="0" w:line="276"/>
            </w:pPr>
            <w:r>
              <w:rPr>
                <w:sz w:val="20"/>
                <w:szCs w:val="20"/>
              </w:rPr>
              <w:t xml:space="preserve">Disponible</w:t>
            </w:r>
          </w:p>
        </w:tc>
        <w:tc>
          <w:tcPr>
            <w:tcW w:type="dxa" w:w="5060"/>
            <w:tcMar>
              <w:top w:type="dxa" w:w="100"/>
              <w:left w:type="dxa" w:w="140"/>
              <w:bottom w:type="dxa" w:w="100"/>
              <w:right w:type="dxa" w:w="140"/>
            </w:tcMar>
          </w:tcPr>
          <w:p>
            <w:pPr>
              <w:spacing w:after="0" w:line="276"/>
            </w:pPr>
            <w:r>
              <w:rPr>
                <w:sz w:val="20"/>
                <w:szCs w:val="20"/>
              </w:rPr>
              <w:t xml:space="preserve">Boleta o factura de una reparación ya cotizada. Toma los repuestos y la mano de obra directamente de la orden: nadie vuelve a tipear.</w:t>
            </w:r>
          </w:p>
        </w:tc>
      </w:tr>
      <w:tr>
        <w:tc>
          <w:tcPr>
            <w:tcW w:type="dxa" w:w="2600"/>
            <w:tcMar>
              <w:top w:type="dxa" w:w="100"/>
              <w:left w:type="dxa" w:w="140"/>
              <w:bottom w:type="dxa" w:w="100"/>
              <w:right w:type="dxa" w:w="140"/>
            </w:tcMar>
          </w:tcPr>
          <w:p>
            <w:pPr>
              <w:spacing w:after="0" w:line="276"/>
            </w:pPr>
            <w:r>
              <w:rPr>
                <w:sz w:val="20"/>
                <w:szCs w:val="20"/>
              </w:rPr>
              <w:t xml:space="preserve">Boleta de mostrador</w:t>
            </w:r>
          </w:p>
        </w:tc>
        <w:tc>
          <w:tcPr>
            <w:tcW w:type="dxa" w:w="1700"/>
            <w:tcMar>
              <w:top w:type="dxa" w:w="100"/>
              <w:left w:type="dxa" w:w="140"/>
              <w:bottom w:type="dxa" w:w="100"/>
              <w:right w:type="dxa" w:w="140"/>
            </w:tcMar>
          </w:tcPr>
          <w:p>
            <w:pPr>
              <w:spacing w:after="0" w:line="276"/>
            </w:pPr>
            <w:r>
              <w:rPr>
                <w:sz w:val="20"/>
                <w:szCs w:val="20"/>
              </w:rPr>
              <w:t xml:space="preserve">Próximamente</w:t>
            </w:r>
          </w:p>
        </w:tc>
        <w:tc>
          <w:tcPr>
            <w:tcW w:type="dxa" w:w="5060"/>
            <w:tcMar>
              <w:top w:type="dxa" w:w="100"/>
              <w:left w:type="dxa" w:w="140"/>
              <w:bottom w:type="dxa" w:w="100"/>
              <w:right w:type="dxa" w:w="140"/>
            </w:tcMar>
          </w:tcPr>
          <w:p>
            <w:pPr>
              <w:spacing w:after="0" w:line="276"/>
            </w:pPr>
            <w:r>
              <w:rPr>
                <w:sz w:val="20"/>
                <w:szCs w:val="20"/>
              </w:rPr>
              <w:t xml:space="preserve">La venta rápida sin orden previa. Llega cuando se construya el punto de venta. Hoy esa parte se atiende en Bsale y sigue funcionando igual.</w:t>
            </w:r>
          </w:p>
        </w:tc>
      </w:tr>
      <w:tr>
        <w:tc>
          <w:tcPr>
            <w:tcW w:type="dxa" w:w="2600"/>
            <w:tcMar>
              <w:top w:type="dxa" w:w="100"/>
              <w:left w:type="dxa" w:w="140"/>
              <w:bottom w:type="dxa" w:w="100"/>
              <w:right w:type="dxa" w:w="140"/>
            </w:tcMar>
          </w:tcPr>
          <w:p>
            <w:pPr>
              <w:spacing w:after="0" w:line="276"/>
            </w:pPr>
            <w:r>
              <w:rPr>
                <w:sz w:val="20"/>
                <w:szCs w:val="20"/>
              </w:rPr>
              <w:t xml:space="preserve">Guía de despacho</w:t>
            </w:r>
          </w:p>
        </w:tc>
        <w:tc>
          <w:tcPr>
            <w:tcW w:type="dxa" w:w="1700"/>
            <w:tcMar>
              <w:top w:type="dxa" w:w="100"/>
              <w:left w:type="dxa" w:w="140"/>
              <w:bottom w:type="dxa" w:w="100"/>
              <w:right w:type="dxa" w:w="140"/>
            </w:tcMar>
          </w:tcPr>
          <w:p>
            <w:pPr>
              <w:spacing w:after="0" w:line="276"/>
            </w:pPr>
            <w:r>
              <w:rPr>
                <w:sz w:val="20"/>
                <w:szCs w:val="20"/>
              </w:rPr>
              <w:t xml:space="preserve">Próximamente</w:t>
            </w:r>
          </w:p>
        </w:tc>
        <w:tc>
          <w:tcPr>
            <w:tcW w:type="dxa" w:w="5060"/>
            <w:tcMar>
              <w:top w:type="dxa" w:w="100"/>
              <w:left w:type="dxa" w:w="140"/>
              <w:bottom w:type="dxa" w:w="100"/>
              <w:right w:type="dxa" w:w="140"/>
            </w:tcMar>
          </w:tcPr>
          <w:p>
            <w:pPr>
              <w:spacing w:after="0" w:line="276"/>
            </w:pPr>
            <w:r>
              <w:rPr>
                <w:sz w:val="20"/>
                <w:szCs w:val="20"/>
              </w:rPr>
              <w:t xml:space="preserve">Está esperando a Bsale. Ver la sección 4: es el único punto con una fecha encima.</w:t>
            </w:r>
          </w:p>
        </w:tc>
      </w:tr>
      <w:tr>
        <w:tc>
          <w:tcPr>
            <w:tcW w:type="dxa" w:w="2600"/>
            <w:tcMar>
              <w:top w:type="dxa" w:w="100"/>
              <w:left w:type="dxa" w:w="140"/>
              <w:bottom w:type="dxa" w:w="100"/>
              <w:right w:type="dxa" w:w="140"/>
            </w:tcMar>
          </w:tcPr>
          <w:p>
            <w:pPr>
              <w:spacing w:after="0" w:line="276"/>
            </w:pPr>
            <w:r>
              <w:rPr>
                <w:sz w:val="20"/>
                <w:szCs w:val="20"/>
              </w:rPr>
              <w:t xml:space="preserve">Nota de crédito</w:t>
            </w:r>
          </w:p>
        </w:tc>
        <w:tc>
          <w:tcPr>
            <w:tcW w:type="dxa" w:w="1700"/>
            <w:tcMar>
              <w:top w:type="dxa" w:w="100"/>
              <w:left w:type="dxa" w:w="140"/>
              <w:bottom w:type="dxa" w:w="100"/>
              <w:right w:type="dxa" w:w="140"/>
            </w:tcMar>
          </w:tcPr>
          <w:p>
            <w:pPr>
              <w:spacing w:after="0" w:line="276"/>
            </w:pPr>
            <w:r>
              <w:rPr>
                <w:sz w:val="20"/>
                <w:szCs w:val="20"/>
              </w:rPr>
              <w:t xml:space="preserve">Próximamente</w:t>
            </w:r>
          </w:p>
        </w:tc>
        <w:tc>
          <w:tcPr>
            <w:tcW w:type="dxa" w:w="5060"/>
            <w:tcMar>
              <w:top w:type="dxa" w:w="100"/>
              <w:left w:type="dxa" w:w="140"/>
              <w:bottom w:type="dxa" w:w="100"/>
              <w:right w:type="dxa" w:w="140"/>
            </w:tcMar>
          </w:tcPr>
          <w:p>
            <w:pPr>
              <w:spacing w:after="0" w:line="276"/>
            </w:pPr>
            <w:r>
              <w:rPr>
                <w:sz w:val="20"/>
                <w:szCs w:val="20"/>
              </w:rPr>
              <w:t xml:space="preserve">Se habilita junto con la primera emisión: para anular hace falta que exista un documento.</w:t>
            </w:r>
          </w:p>
        </w:tc>
      </w:tr>
    </w:tbl>
    <w:p>
      <w:pPr>
        <w:spacing w:after="200" w:line="276"/>
      </w:pPr>
      <w:r>
        <w:rPr>
          <w:color w:val="525252"/>
          <w:sz w:val="20"/>
          <w:szCs w:val="20"/>
        </w:rPr>
        <w:t xml:space="preserve">Las tarjetas que dicen "Próximamente" siempre explican de qué dependen. Eso es a propósito: un "próximamente" sin motivo es una promesa vacía.</w:t>
      </w:r>
    </w:p>
    <w:p>
      <w:pPr>
        <w:pStyle w:val="Heading2"/>
        <w:spacing w:after="100" w:before="240"/>
      </w:pPr>
      <w:r>
        <w:rPr>
          <w:b/>
          <w:bCs/>
          <w:sz w:val="24"/>
          <w:szCs w:val="24"/>
        </w:rPr>
        <w:t xml:space="preserve">3.3 "Listas para facturar"</w:t>
      </w:r>
    </w:p>
    <w:p>
      <w:pPr>
        <w:spacing w:after="120" w:line="276"/>
      </w:pPr>
      <w:r>
        <w:rPr>
          <w:b/>
          <w:bCs/>
          <w:sz w:val="22"/>
          <w:szCs w:val="22"/>
        </w:rPr>
        <w:t xml:space="preserve">Qué es: </w:t>
      </w:r>
      <w:r>
        <w:rPr>
          <w:b w:val="false"/>
          <w:bCs w:val="false"/>
          <w:sz w:val="22"/>
          <w:szCs w:val="22"/>
        </w:rPr>
        <w:t xml:space="preserve">las órdenes de servicio reparadas, con monto, que todavía no tienen documento. Es trabajo real pendiente de facturar, y es la puerta de entrada para revisar cada documento.</w:t>
      </w:r>
    </w:p>
    <w:p>
      <w:pPr>
        <w:spacing w:after="120" w:line="276"/>
      </w:pPr>
      <w:r>
        <w:rPr>
          <w:b/>
          <w:bCs/>
          <w:sz w:val="22"/>
          <w:szCs w:val="22"/>
        </w:rPr>
        <w:t xml:space="preserve">Detalle que vale la pena mencionar: </w:t>
      </w:r>
      <w:r>
        <w:rPr>
          <w:b w:val="false"/>
          <w:bCs w:val="false"/>
          <w:sz w:val="22"/>
          <w:szCs w:val="22"/>
        </w:rPr>
        <w:t xml:space="preserve">las órdenes en garantía no aparecen, porque en garantía no se cobra. El sistema lo sabe y se niega a facturarlas.</w:t>
      </w:r>
    </w:p>
    <w:p>
      <w:pPr>
        <w:pStyle w:val="Heading2"/>
        <w:spacing w:after="100" w:before="240"/>
      </w:pPr>
      <w:r>
        <w:rPr>
          <w:b/>
          <w:bCs/>
          <w:sz w:val="24"/>
          <w:szCs w:val="24"/>
        </w:rPr>
        <w:t xml:space="preserve">3.4 "Emitidos" y los filtros</w:t>
      </w:r>
    </w:p>
    <w:p>
      <w:pPr>
        <w:spacing w:after="120" w:line="276"/>
      </w:pPr>
      <w:r>
        <w:rPr>
          <w:b/>
          <w:bCs/>
          <w:sz w:val="22"/>
          <w:szCs w:val="22"/>
        </w:rPr>
        <w:t xml:space="preserve">Qué es: </w:t>
      </w:r>
      <w:r>
        <w:rPr>
          <w:b w:val="false"/>
          <w:bCs w:val="false"/>
          <w:sz w:val="22"/>
          <w:szCs w:val="22"/>
        </w:rPr>
        <w:t xml:space="preserve">el registro de todo lo que DaliGo emita, con su folio, su estado ante el SII y los enlaces al PDF y al XML. Hoy está vacío, porque no se ha emitido nada.</w:t>
      </w:r>
    </w:p>
    <w:p>
      <w:pPr>
        <w:spacing w:after="120" w:line="276"/>
      </w:pPr>
      <w:r>
        <w:rPr>
          <w:b/>
          <w:bCs/>
          <w:sz w:val="22"/>
          <w:szCs w:val="22"/>
        </w:rPr>
        <w:t xml:space="preserve">Por qué importa que exista: </w:t>
      </w:r>
      <w:r>
        <w:rPr>
          <w:b w:val="false"/>
          <w:bCs w:val="false"/>
          <w:sz w:val="22"/>
          <w:szCs w:val="22"/>
        </w:rPr>
        <w:t xml:space="preserve">el SII obliga a conservar los documentos 6 años. Si algún día se cortara con Bsale, este registro es el rastro que queda en casa.</w:t>
      </w:r>
    </w:p>
    <w:p>
      <w:pPr>
        <w:pStyle w:val="Heading2"/>
        <w:spacing w:after="100" w:before="240"/>
      </w:pPr>
      <w:r>
        <w:rPr>
          <w:b/>
          <w:bCs/>
          <w:sz w:val="24"/>
          <w:szCs w:val="24"/>
        </w:rPr>
        <w:t xml:space="preserve">3.5 La pantalla del documento (el "ensayo en seco")</w:t>
      </w:r>
    </w:p>
    <w:p>
      <w:pPr>
        <w:spacing w:after="120" w:line="276"/>
      </w:pPr>
      <w:r>
        <w:rPr>
          <w:sz w:val="22"/>
          <w:szCs w:val="22"/>
        </w:rPr>
        <w:t xml:space="preserve">Al apretar "Ver documento" en cualquier orden, se ve la boleta o factura tal como saldría, con la misma disposición de Bsale: las líneas al medio, el cliente abajo a la izquierda, el tipo de documento y el total abajo a la derecha.</w:t>
      </w:r>
    </w:p>
    <w:p>
      <w:pPr>
        <w:spacing w:after="100" w:line="276"/>
      </w:pPr>
      <w:r>
        <w:rPr>
          <w:sz w:val="22"/>
          <w:szCs w:val="22"/>
        </w:rPr>
        <w:t xml:space="preserve">Lo que se puede revisar ahí, antes de que el documento exista:</w:t>
      </w:r>
    </w:p>
    <w:p>
      <w:pPr>
        <w:pStyle w:val="ListParagraph"/>
        <w:numPr>
          <w:ilvl w:val="0"/>
          <w:numId w:val="2"/>
        </w:numPr>
        <w:spacing w:after="80" w:line="276"/>
      </w:pPr>
      <w:r>
        <w:rPr>
          <w:b w:val="false"/>
          <w:bCs w:val="false"/>
          <w:sz w:val="22"/>
          <w:szCs w:val="22"/>
        </w:rPr>
        <w:t xml:space="preserve">Que cada repuesto lleve su código del catálogo, como pidió Contabilidad.</w:t>
      </w:r>
    </w:p>
    <w:p>
      <w:pPr>
        <w:pStyle w:val="ListParagraph"/>
        <w:numPr>
          <w:ilvl w:val="0"/>
          <w:numId w:val="2"/>
        </w:numPr>
        <w:spacing w:after="80" w:line="276"/>
      </w:pPr>
      <w:r>
        <w:rPr>
          <w:b w:val="false"/>
          <w:bCs w:val="false"/>
          <w:sz w:val="22"/>
          <w:szCs w:val="22"/>
        </w:rPr>
        <w:t xml:space="preserve">Que la mano de obra aparezca como línea propia.</w:t>
      </w:r>
    </w:p>
    <w:p>
      <w:pPr>
        <w:pStyle w:val="ListParagraph"/>
        <w:numPr>
          <w:ilvl w:val="0"/>
          <w:numId w:val="2"/>
        </w:numPr>
        <w:spacing w:after="80" w:line="276"/>
      </w:pPr>
      <w:r>
        <w:rPr>
          <w:b w:val="false"/>
          <w:bCs w:val="false"/>
          <w:sz w:val="22"/>
          <w:szCs w:val="22"/>
        </w:rPr>
        <w:t xml:space="preserve">Que el neto, el IVA y el total sean exactamente los correctos.</w:t>
      </w:r>
    </w:p>
    <w:p>
      <w:pPr>
        <w:pStyle w:val="ListParagraph"/>
        <w:numPr>
          <w:ilvl w:val="0"/>
          <w:numId w:val="2"/>
        </w:numPr>
        <w:spacing w:after="80" w:line="276"/>
      </w:pPr>
      <w:r>
        <w:rPr>
          <w:b w:val="false"/>
          <w:bCs w:val="false"/>
          <w:sz w:val="22"/>
          <w:szCs w:val="22"/>
        </w:rPr>
        <w:t xml:space="preserve">Se puede cambiar entre boleta y factura, y la forma de pago, y ver cómo queda.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6"/>
              <w:left w:val="single" w:color="EA580C" w:sz="18"/>
              <w:bottom w:val="single" w:color="FED7AA" w:sz="6"/>
              <w:right w:val="single" w:color="FED7AA" w:sz="6"/>
            </w:tcBorders>
            <w:shd w:fill="FFF7ED" w:val="clear"/>
            <w:tcMar>
              <w:top w:type="dxa" w:w="160"/>
              <w:left w:type="dxa" w:w="200"/>
              <w:bottom w:type="dxa" w:w="160"/>
              <w:right w:type="dxa" w:w="200"/>
            </w:tcMar>
          </w:tcPr>
          <w:p>
            <w:pPr>
              <w:spacing w:after="60" w:line="276"/>
            </w:pPr>
            <w:r>
              <w:rPr>
                <w:b/>
                <w:bCs/>
                <w:color w:val="9A3412"/>
                <w:sz w:val="20"/>
                <w:szCs w:val="20"/>
              </w:rPr>
              <w:t xml:space="preserve">Para decir</w:t>
            </w:r>
          </w:p>
          <w:p>
            <w:pPr>
              <w:spacing w:after="0" w:line="276"/>
            </w:pPr>
            <w:r>
              <w:rPr>
                <w:i/>
                <w:iCs/>
                <w:color w:val="7C2D12"/>
                <w:sz w:val="22"/>
                <w:szCs w:val="22"/>
              </w:rPr>
              <w:t xml:space="preserve">Esta pantalla existe para poder revisar el documento con Contabilidad antes de que exista. Cuando emitamos el primero de verdad, no va a haber sorpresas: lo vamos a haber visto muchas veces.</w:t>
            </w:r>
          </w:p>
        </w:tc>
      </w:tr>
    </w:tbl>
    <w:p>
      <w:pPr>
        <w:pStyle w:val="Heading2"/>
        <w:spacing w:after="100" w:before="240"/>
      </w:pPr>
      <w:r>
        <w:rPr>
          <w:b/>
          <w:bCs/>
          <w:sz w:val="24"/>
          <w:szCs w:val="24"/>
        </w:rPr>
        <w:t xml:space="preserve">3.6 La pantalla "Estado" — y los candados</w:t>
      </w:r>
    </w:p>
    <w:p>
      <w:pPr>
        <w:spacing w:after="140" w:line="276"/>
      </w:pPr>
      <w:r>
        <w:rPr>
          <w:sz w:val="22"/>
          <w:szCs w:val="22"/>
        </w:rPr>
        <w:t xml:space="preserve">Es la pantalla más útil mientras no se emite. Arriba muestra el avance (lo que ya funciona), después un listado de pasos de configuración que se van marcando, y al final lo que no depende del sistema.</w:t>
      </w:r>
    </w:p>
    <w:p>
      <w:pPr>
        <w:spacing w:after="100" w:line="276"/>
      </w:pPr>
      <w:r>
        <w:rPr>
          <w:sz w:val="22"/>
          <w:szCs w:val="22"/>
        </w:rPr>
        <w:t xml:space="preserve">Los dos candados, explicados:</w:t>
      </w:r>
    </w:p>
    <w:p>
      <w:pPr>
        <w:spacing w:after="120" w:line="276"/>
      </w:pPr>
      <w:r>
        <w:rPr>
          <w:b/>
          <w:bCs/>
          <w:sz w:val="22"/>
          <w:szCs w:val="22"/>
        </w:rPr>
        <w:t xml:space="preserve">Candado 1 — la credencial. </w:t>
      </w:r>
      <w:r>
        <w:rPr>
          <w:b w:val="false"/>
          <w:bCs w:val="false"/>
          <w:sz w:val="22"/>
          <w:szCs w:val="22"/>
        </w:rPr>
        <w:t xml:space="preserve">En Bsale, la dirección del sistema es la misma para las pruebas y para lo real. Lo único que decide si una boleta es de mentira o verdadera es cuál credencial está puesta. Si esa credencial de producción llegara al computador de un desarrollador, cualquier prueba emitiría facturas reales. El candado impide eso: una credencial de producción fuera del servidor de producción no puede emitir.</w:t>
      </w:r>
    </w:p>
    <w:p>
      <w:pPr>
        <w:spacing w:after="120" w:line="276"/>
      </w:pPr>
      <w:r>
        <w:rPr>
          <w:b/>
          <w:bCs/>
          <w:sz w:val="22"/>
          <w:szCs w:val="22"/>
        </w:rPr>
        <w:t xml:space="preserve">Candado 2 — la autorización. </w:t>
      </w:r>
      <w:r>
        <w:rPr>
          <w:b w:val="false"/>
          <w:bCs w:val="false"/>
          <w:sz w:val="22"/>
          <w:szCs w:val="22"/>
        </w:rPr>
        <w:t xml:space="preserve">Hay un interruptor que arranca apagado y que representa la autorización de Gerencia. Mientras esté apagado, el sistema puede leer todo de Bsale pero no puede crear ni un documento. Encenderlo es una decisión explícita, no un descuido posible.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6"/>
              <w:left w:val="single" w:color="EA580C" w:sz="18"/>
              <w:bottom w:val="single" w:color="FED7AA" w:sz="6"/>
              <w:right w:val="single" w:color="FED7AA" w:sz="6"/>
            </w:tcBorders>
            <w:shd w:fill="FFF7ED" w:val="clear"/>
            <w:tcMar>
              <w:top w:type="dxa" w:w="160"/>
              <w:left w:type="dxa" w:w="200"/>
              <w:bottom w:type="dxa" w:w="160"/>
              <w:right w:type="dxa" w:w="200"/>
            </w:tcMar>
          </w:tcPr>
          <w:p>
            <w:pPr>
              <w:spacing w:after="60" w:line="276"/>
            </w:pPr>
            <w:r>
              <w:rPr>
                <w:b/>
                <w:bCs/>
                <w:color w:val="9A3412"/>
                <w:sz w:val="20"/>
                <w:szCs w:val="20"/>
              </w:rPr>
              <w:t xml:space="preserve">Para decir</w:t>
            </w:r>
          </w:p>
          <w:p>
            <w:pPr>
              <w:spacing w:after="0" w:line="276"/>
            </w:pPr>
            <w:r>
              <w:rPr>
                <w:i/>
                <w:iCs/>
                <w:color w:val="7C2D12"/>
                <w:sz w:val="22"/>
                <w:szCs w:val="22"/>
              </w:rPr>
              <w:t xml:space="preserve">No estamos confiando en que nadie se equivoque. Aunque alguien quisiera emitir hoy, el sistema no lo deja.</w:t>
            </w:r>
          </w:p>
        </w:tc>
      </w:tr>
    </w:tbl>
    <w:p>
      <w:r>
        <w:br w:type="page"/>
      </w:r>
    </w:p>
    <w:p>
      <w:pPr>
        <w:pStyle w:val="Heading1"/>
        <w:spacing w:after="160" w:before="320"/>
      </w:pPr>
      <w:r>
        <w:rPr>
          <w:b/>
          <w:bCs/>
          <w:color w:val="EA580C"/>
          <w:sz w:val="30"/>
          <w:szCs w:val="30"/>
        </w:rPr>
        <w:t xml:space="preserve">4. Lo que falta, y por qué no es un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460"/>
      </w:tblGrid>
      <w:tr>
        <w:trPr>
          <w:tblHeader/>
        </w:trPr>
        <w:tc>
          <w:tcPr>
            <w:tcW w:type="dxa" w:w="2900"/>
            <w:shd w:fill="F5F5F5" w:val="clear"/>
            <w:tcMar>
              <w:top w:type="dxa" w:w="100"/>
              <w:left w:type="dxa" w:w="140"/>
              <w:bottom w:type="dxa" w:w="100"/>
              <w:right w:type="dxa" w:w="140"/>
            </w:tcMar>
          </w:tcPr>
          <w:p>
            <w:pPr>
              <w:spacing w:after="0" w:line="276"/>
            </w:pPr>
            <w:r>
              <w:rPr>
                <w:b/>
                <w:bCs/>
                <w:sz w:val="20"/>
                <w:szCs w:val="20"/>
              </w:rPr>
              <w:t xml:space="preserve">Qué falta</w:t>
            </w:r>
          </w:p>
        </w:tc>
        <w:tc>
          <w:tcPr>
            <w:tcW w:type="dxa" w:w="2000"/>
            <w:shd w:fill="F5F5F5" w:val="clear"/>
            <w:tcMar>
              <w:top w:type="dxa" w:w="100"/>
              <w:left w:type="dxa" w:w="140"/>
              <w:bottom w:type="dxa" w:w="100"/>
              <w:right w:type="dxa" w:w="140"/>
            </w:tcMar>
          </w:tcPr>
          <w:p>
            <w:pPr>
              <w:spacing w:after="0" w:line="276"/>
            </w:pPr>
            <w:r>
              <w:rPr>
                <w:b/>
                <w:bCs/>
                <w:sz w:val="20"/>
                <w:szCs w:val="20"/>
              </w:rPr>
              <w:t xml:space="preserve">De quién depende</w:t>
            </w:r>
          </w:p>
        </w:tc>
        <w:tc>
          <w:tcPr>
            <w:tcW w:type="dxa" w:w="4460"/>
            <w:shd w:fill="F5F5F5" w:val="clear"/>
            <w:tcMar>
              <w:top w:type="dxa" w:w="100"/>
              <w:left w:type="dxa" w:w="140"/>
              <w:bottom w:type="dxa" w:w="100"/>
              <w:right w:type="dxa" w:w="140"/>
            </w:tcMar>
          </w:tcPr>
          <w:p>
            <w:pPr>
              <w:spacing w:after="0" w:line="276"/>
            </w:pPr>
            <w:r>
              <w:rPr>
                <w:b/>
                <w:bCs/>
                <w:sz w:val="20"/>
                <w:szCs w:val="20"/>
              </w:rPr>
              <w:t xml:space="preserve">Cómo leerlo</w:t>
            </w:r>
          </w:p>
        </w:tc>
      </w:tr>
      <w:tr>
        <w:tc>
          <w:tcPr>
            <w:tcW w:type="dxa" w:w="2900"/>
            <w:tcMar>
              <w:top w:type="dxa" w:w="100"/>
              <w:left w:type="dxa" w:w="140"/>
              <w:bottom w:type="dxa" w:w="100"/>
              <w:right w:type="dxa" w:w="140"/>
            </w:tcMar>
          </w:tcPr>
          <w:p>
            <w:pPr>
              <w:spacing w:after="0" w:line="276"/>
            </w:pPr>
            <w:r>
              <w:rPr>
                <w:sz w:val="20"/>
                <w:szCs w:val="20"/>
              </w:rPr>
              <w:t xml:space="preserve">Cargar unos identificadores de Bsale (a qué sucursal y a qué medio de pago corresponde cada documento)</w:t>
            </w:r>
          </w:p>
        </w:tc>
        <w:tc>
          <w:tcPr>
            <w:tcW w:type="dxa" w:w="2000"/>
            <w:tcMar>
              <w:top w:type="dxa" w:w="100"/>
              <w:left w:type="dxa" w:w="140"/>
              <w:bottom w:type="dxa" w:w="100"/>
              <w:right w:type="dxa" w:w="140"/>
            </w:tcMar>
          </w:tcPr>
          <w:p>
            <w:pPr>
              <w:spacing w:after="0" w:line="276"/>
            </w:pPr>
            <w:r>
              <w:rPr>
                <w:sz w:val="20"/>
                <w:szCs w:val="20"/>
              </w:rPr>
              <w:t xml:space="preserve">Nosotros, con una credencial de prueba</w:t>
            </w:r>
          </w:p>
        </w:tc>
        <w:tc>
          <w:tcPr>
            <w:tcW w:type="dxa" w:w="4460"/>
            <w:tcMar>
              <w:top w:type="dxa" w:w="100"/>
              <w:left w:type="dxa" w:w="140"/>
              <w:bottom w:type="dxa" w:w="100"/>
              <w:right w:type="dxa" w:w="140"/>
            </w:tcMar>
          </w:tcPr>
          <w:p>
            <w:pPr>
              <w:spacing w:after="0" w:line="276"/>
            </w:pPr>
            <w:r>
              <w:rPr>
                <w:sz w:val="20"/>
                <w:szCs w:val="20"/>
              </w:rPr>
              <w:t xml:space="preserve">Es una lectura de la cuenta y se hace una sola vez. Hoy están vacíos a propósito: el sistema prefiere detenerse antes que adivinar.</w:t>
            </w:r>
          </w:p>
        </w:tc>
      </w:tr>
      <w:tr>
        <w:tc>
          <w:tcPr>
            <w:tcW w:type="dxa" w:w="2900"/>
            <w:tcMar>
              <w:top w:type="dxa" w:w="100"/>
              <w:left w:type="dxa" w:w="140"/>
              <w:bottom w:type="dxa" w:w="100"/>
              <w:right w:type="dxa" w:w="140"/>
            </w:tcMar>
          </w:tcPr>
          <w:p>
            <w:pPr>
              <w:spacing w:after="0" w:line="276"/>
            </w:pPr>
            <w:r>
              <w:rPr>
                <w:sz w:val="20"/>
                <w:szCs w:val="20"/>
              </w:rPr>
              <w:t xml:space="preserve">Autorización escrita para la primera emisión real</w:t>
            </w:r>
          </w:p>
        </w:tc>
        <w:tc>
          <w:tcPr>
            <w:tcW w:type="dxa" w:w="2000"/>
            <w:tcMar>
              <w:top w:type="dxa" w:w="100"/>
              <w:left w:type="dxa" w:w="140"/>
              <w:bottom w:type="dxa" w:w="100"/>
              <w:right w:type="dxa" w:w="140"/>
            </w:tcMar>
          </w:tcPr>
          <w:p>
            <w:pPr>
              <w:spacing w:after="0" w:line="276"/>
            </w:pPr>
            <w:r>
              <w:rPr>
                <w:sz w:val="20"/>
                <w:szCs w:val="20"/>
              </w:rPr>
              <w:t xml:space="preserve">Gerencia</w:t>
            </w:r>
          </w:p>
        </w:tc>
        <w:tc>
          <w:tcPr>
            <w:tcW w:type="dxa" w:w="4460"/>
            <w:tcMar>
              <w:top w:type="dxa" w:w="100"/>
              <w:left w:type="dxa" w:w="140"/>
              <w:bottom w:type="dxa" w:w="100"/>
              <w:right w:type="dxa" w:w="140"/>
            </w:tcMar>
          </w:tcPr>
          <w:p>
            <w:pPr>
              <w:spacing w:after="0" w:line="276"/>
            </w:pPr>
            <w:r>
              <w:rPr>
                <w:sz w:val="20"/>
                <w:szCs w:val="20"/>
              </w:rPr>
              <w:t xml:space="preserve">No es para hoy. Bsale mismo recomienda hacerla en producción con un documento de monto bajo y anularlo con nota de crédito si hace falta, porque su ambiente de prueba no llega al SII.</w:t>
            </w:r>
          </w:p>
        </w:tc>
      </w:tr>
      <w:tr>
        <w:tc>
          <w:tcPr>
            <w:tcW w:type="dxa" w:w="2900"/>
            <w:tcMar>
              <w:top w:type="dxa" w:w="100"/>
              <w:left w:type="dxa" w:w="140"/>
              <w:bottom w:type="dxa" w:w="100"/>
              <w:right w:type="dxa" w:w="140"/>
            </w:tcMar>
          </w:tcPr>
          <w:p>
            <w:pPr>
              <w:spacing w:after="0" w:line="276"/>
            </w:pPr>
            <w:r>
              <w:rPr>
                <w:sz w:val="20"/>
                <w:szCs w:val="20"/>
              </w:rPr>
              <w:t xml:space="preserve">Dos respuestas de Bsale: a qué caja se atribuyen los documentos, y si se puede consultar el stock de folios</w:t>
            </w:r>
          </w:p>
        </w:tc>
        <w:tc>
          <w:tcPr>
            <w:tcW w:type="dxa" w:w="2000"/>
            <w:tcMar>
              <w:top w:type="dxa" w:w="100"/>
              <w:left w:type="dxa" w:w="140"/>
              <w:bottom w:type="dxa" w:w="100"/>
              <w:right w:type="dxa" w:w="140"/>
            </w:tcMar>
          </w:tcPr>
          <w:p>
            <w:pPr>
              <w:spacing w:after="0" w:line="276"/>
            </w:pPr>
            <w:r>
              <w:rPr>
                <w:sz w:val="20"/>
                <w:szCs w:val="20"/>
              </w:rPr>
              <w:t xml:space="preserve">Bsale</w:t>
            </w:r>
          </w:p>
        </w:tc>
        <w:tc>
          <w:tcPr>
            <w:tcW w:type="dxa" w:w="4460"/>
            <w:tcMar>
              <w:top w:type="dxa" w:w="100"/>
              <w:left w:type="dxa" w:w="140"/>
              <w:bottom w:type="dxa" w:w="100"/>
              <w:right w:type="dxa" w:w="140"/>
            </w:tcMar>
          </w:tcPr>
          <w:p>
            <w:pPr>
              <w:spacing w:after="0" w:line="276"/>
            </w:pPr>
            <w:r>
              <w:rPr>
                <w:sz w:val="20"/>
                <w:szCs w:val="20"/>
              </w:rPr>
              <w:t xml:space="preserve">Consultas ya enviadas. Ninguna frena el desarrollo; la de la caja sí conviene resolverla antes de la primera emisión, para que el cierre de caja cuadre.</w:t>
            </w:r>
          </w:p>
        </w:tc>
      </w:tr>
      <w:tr>
        <w:tc>
          <w:tcPr>
            <w:tcW w:type="dxa" w:w="2900"/>
            <w:tcMar>
              <w:top w:type="dxa" w:w="100"/>
              <w:left w:type="dxa" w:w="140"/>
              <w:bottom w:type="dxa" w:w="100"/>
              <w:right w:type="dxa" w:w="140"/>
            </w:tcMar>
          </w:tcPr>
          <w:p>
            <w:pPr>
              <w:spacing w:after="0" w:line="276"/>
            </w:pPr>
            <w:r>
              <w:rPr>
                <w:sz w:val="20"/>
                <w:szCs w:val="20"/>
              </w:rPr>
              <w:t xml:space="preserve">Los campos de transporte de las guías de despacho (chofer, patente, horarios) que el SII exige desde el 1 de noviembre de 2026</w:t>
            </w:r>
          </w:p>
        </w:tc>
        <w:tc>
          <w:tcPr>
            <w:tcW w:type="dxa" w:w="2000"/>
            <w:tcMar>
              <w:top w:type="dxa" w:w="100"/>
              <w:left w:type="dxa" w:w="140"/>
              <w:bottom w:type="dxa" w:w="100"/>
              <w:right w:type="dxa" w:w="140"/>
            </w:tcMar>
          </w:tcPr>
          <w:p>
            <w:pPr>
              <w:spacing w:after="0" w:line="276"/>
            </w:pPr>
            <w:r>
              <w:rPr>
                <w:sz w:val="20"/>
                <w:szCs w:val="20"/>
              </w:rPr>
              <w:t xml:space="preserve">Bsale</w:t>
            </w:r>
          </w:p>
        </w:tc>
        <w:tc>
          <w:tcPr>
            <w:tcW w:type="dxa" w:w="4460"/>
            <w:tcMar>
              <w:top w:type="dxa" w:w="100"/>
              <w:left w:type="dxa" w:w="140"/>
              <w:bottom w:type="dxa" w:w="100"/>
              <w:right w:type="dxa" w:w="140"/>
            </w:tcMar>
          </w:tcPr>
          <w:p>
            <w:pPr>
              <w:spacing w:after="0" w:line="276"/>
            </w:pPr>
            <w:r>
              <w:rPr>
                <w:sz w:val="20"/>
                <w:szCs w:val="20"/>
              </w:rPr>
              <w:t xml:space="preserve">Es el único punto con fecha encima, y afecta a la empresa aunque este proyecto no se hiciera. Ver abajo.</w:t>
            </w:r>
          </w:p>
        </w:tc>
      </w:tr>
    </w:tbl>
    <w:p>
      <w:pPr>
        <w:pStyle w:val="Heading2"/>
        <w:spacing w:after="100" w:before="240"/>
      </w:pPr>
      <w:r>
        <w:rPr>
          <w:b/>
          <w:bCs/>
          <w:sz w:val="24"/>
          <w:szCs w:val="24"/>
        </w:rPr>
        <w:t xml:space="preserve">El plazo del 1 de noviembre — cómo plantearlo</w:t>
      </w:r>
    </w:p>
    <w:p>
      <w:pPr>
        <w:spacing w:after="120" w:line="276"/>
      </w:pPr>
      <w:r>
        <w:rPr>
          <w:sz w:val="22"/>
          <w:szCs w:val="22"/>
        </w:rPr>
        <w:t xml:space="preserve">Desde esa fecha el SII exigirá que las guías de despacho incluyan datos del transporte: patente del vehículo y del remolque, RUT del transportista, nombre y cédula del chofer, hora de salida y direcciones de origen y destino. Además, una guía por cada traslado y por cada vehículo.</w:t>
      </w:r>
    </w:p>
    <w:p>
      <w:pPr>
        <w:spacing w:after="120" w:line="276"/>
      </w:pPr>
      <w:r>
        <w:rPr>
          <w:b/>
          <w:bCs/>
          <w:sz w:val="22"/>
          <w:szCs w:val="22"/>
        </w:rPr>
        <w:t xml:space="preserve">El problema: </w:t>
      </w:r>
      <w:r>
        <w:rPr>
          <w:b w:val="false"/>
          <w:bCs w:val="false"/>
          <w:sz w:val="22"/>
          <w:szCs w:val="22"/>
        </w:rPr>
        <w:t xml:space="preserve">hoy la integración de Bsale no tiene dónde registrar esos datos. Se les consultó formalmente y respondieron que van a cumplir "dentro de los plazos", sin dar fecha, y que publicarán los campos nuevos en su documentación para que cada uno los implemente.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6"/>
              <w:left w:val="single" w:color="EA580C" w:sz="18"/>
              <w:bottom w:val="single" w:color="FED7AA" w:sz="6"/>
              <w:right w:val="single" w:color="FED7AA" w:sz="6"/>
            </w:tcBorders>
            <w:shd w:fill="FFF7ED" w:val="clear"/>
            <w:tcMar>
              <w:top w:type="dxa" w:w="160"/>
              <w:left w:type="dxa" w:w="200"/>
              <w:bottom w:type="dxa" w:w="160"/>
              <w:right w:type="dxa" w:w="200"/>
            </w:tcMar>
          </w:tcPr>
          <w:p>
            <w:pPr>
              <w:spacing w:after="60" w:line="276"/>
            </w:pPr>
            <w:r>
              <w:rPr>
                <w:b/>
                <w:bCs/>
                <w:color w:val="9A3412"/>
                <w:sz w:val="20"/>
                <w:szCs w:val="20"/>
              </w:rPr>
              <w:t xml:space="preserve">Para decir</w:t>
            </w:r>
          </w:p>
          <w:p>
            <w:pPr>
              <w:spacing w:after="0" w:line="276"/>
            </w:pPr>
            <w:r>
              <w:rPr>
                <w:i/>
                <w:iCs/>
                <w:color w:val="7C2D12"/>
                <w:sz w:val="22"/>
                <w:szCs w:val="22"/>
              </w:rPr>
              <w:t xml:space="preserve">Esto lo encontramos investigando y no tiene que ver con nuestro proyecto: en noviembre el SII exige datos nuevos en las guías de despacho y hoy Bsale no tiene dónde ponerlos. Nos afecta igual, así que conviene que lo empujemos también por el lado comercial.</w:t>
            </w:r>
          </w:p>
        </w:tc>
      </w:tr>
    </w:tbl>
    <w:p>
      <w:pPr>
        <w:spacing w:after="120" w:line="276"/>
      </w:pPr>
      <w:r>
        <w:rPr>
          <w:color w:val="525252"/>
          <w:sz w:val="20"/>
          <w:szCs w:val="20"/>
        </w:rPr>
        <w:t xml:space="preserve">Dato que ayuda: la guía impresa de Dali ya trae esos campos en blanco (nombre del conductor, RUT, patente). Es exactamente esa información la que pasa a ser obligatoria.</w:t>
      </w:r>
    </w:p>
    <w:p>
      <w:pPr>
        <w:pStyle w:val="Heading1"/>
        <w:spacing w:after="160" w:before="320"/>
      </w:pPr>
      <w:r>
        <w:rPr>
          <w:b/>
          <w:bCs/>
          <w:color w:val="EA580C"/>
          <w:sz w:val="30"/>
          <w:szCs w:val="30"/>
        </w:rPr>
        <w:t xml:space="preserve">5. Preguntas que pueden 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F5F5F5" w:val="clear"/>
            <w:tcMar>
              <w:top w:type="dxa" w:w="100"/>
              <w:left w:type="dxa" w:w="140"/>
              <w:bottom w:type="dxa" w:w="100"/>
              <w:right w:type="dxa" w:w="140"/>
            </w:tcMar>
          </w:tcPr>
          <w:p>
            <w:pPr>
              <w:spacing w:after="0" w:line="276"/>
            </w:pPr>
            <w:r>
              <w:rPr>
                <w:b/>
                <w:bCs/>
                <w:sz w:val="20"/>
                <w:szCs w:val="20"/>
              </w:rPr>
              <w:t xml:space="preserve">Pregunta</w:t>
            </w:r>
          </w:p>
        </w:tc>
        <w:tc>
          <w:tcPr>
            <w:tcW w:type="dxa" w:w="6460"/>
            <w:shd w:fill="F5F5F5" w:val="clear"/>
            <w:tcMar>
              <w:top w:type="dxa" w:w="100"/>
              <w:left w:type="dxa" w:w="140"/>
              <w:bottom w:type="dxa" w:w="100"/>
              <w:right w:type="dxa" w:w="140"/>
            </w:tcMar>
          </w:tcPr>
          <w:p>
            <w:pPr>
              <w:spacing w:after="0" w:line="276"/>
            </w:pPr>
            <w:r>
              <w:rPr>
                <w:b/>
                <w:bCs/>
                <w:sz w:val="20"/>
                <w:szCs w:val="20"/>
              </w:rPr>
              <w:t xml:space="preserve">Respuesta</w:t>
            </w:r>
          </w:p>
        </w:tc>
      </w:tr>
      <w:tr>
        <w:tc>
          <w:tcPr>
            <w:tcW w:type="dxa" w:w="2900"/>
            <w:tcMar>
              <w:top w:type="dxa" w:w="100"/>
              <w:left w:type="dxa" w:w="140"/>
              <w:bottom w:type="dxa" w:w="100"/>
              <w:right w:type="dxa" w:w="140"/>
            </w:tcMar>
          </w:tcPr>
          <w:p>
            <w:pPr>
              <w:spacing w:after="0" w:line="276"/>
            </w:pPr>
            <w:r>
              <w:rPr>
                <w:sz w:val="20"/>
                <w:szCs w:val="20"/>
              </w:rPr>
              <w:t xml:space="preserve">¿Esto ya está funcionando?</w:t>
            </w:r>
          </w:p>
        </w:tc>
        <w:tc>
          <w:tcPr>
            <w:tcW w:type="dxa" w:w="6460"/>
            <w:tcMar>
              <w:top w:type="dxa" w:w="100"/>
              <w:left w:type="dxa" w:w="140"/>
              <w:bottom w:type="dxa" w:w="100"/>
              <w:right w:type="dxa" w:w="140"/>
            </w:tcMar>
          </w:tcPr>
          <w:p>
            <w:pPr>
              <w:spacing w:after="0" w:line="276"/>
            </w:pPr>
            <w:r>
              <w:rPr>
                <w:sz w:val="20"/>
                <w:szCs w:val="20"/>
              </w:rPr>
              <w:t xml:space="preserve">El mecanismo sí; la emisión no. Faltan unos identificadores de Bsale y la autorización. Documentos emitidos: cero.</w:t>
            </w:r>
          </w:p>
        </w:tc>
      </w:tr>
      <w:tr>
        <w:tc>
          <w:tcPr>
            <w:tcW w:type="dxa" w:w="2900"/>
            <w:tcMar>
              <w:top w:type="dxa" w:w="100"/>
              <w:left w:type="dxa" w:w="140"/>
              <w:bottom w:type="dxa" w:w="100"/>
              <w:right w:type="dxa" w:w="140"/>
            </w:tcMar>
          </w:tcPr>
          <w:p>
            <w:pPr>
              <w:spacing w:after="0" w:line="276"/>
            </w:pPr>
            <w:r>
              <w:rPr>
                <w:sz w:val="20"/>
                <w:szCs w:val="20"/>
              </w:rPr>
              <w:t xml:space="preserve">¿Cuánto falta?</w:t>
            </w:r>
          </w:p>
        </w:tc>
        <w:tc>
          <w:tcPr>
            <w:tcW w:type="dxa" w:w="6460"/>
            <w:tcMar>
              <w:top w:type="dxa" w:w="100"/>
              <w:left w:type="dxa" w:w="140"/>
              <w:bottom w:type="dxa" w:w="100"/>
              <w:right w:type="dxa" w:w="140"/>
            </w:tcMar>
          </w:tcPr>
          <w:p>
            <w:pPr>
              <w:spacing w:after="0" w:line="276"/>
            </w:pPr>
            <w:r>
              <w:rPr>
                <w:sz w:val="20"/>
                <w:szCs w:val="20"/>
              </w:rPr>
              <w:t xml:space="preserve">Para emitir de prueba, días de trabajo. Para la primera emisión real depende de la autorización, no del desarrollo.</w:t>
            </w:r>
          </w:p>
        </w:tc>
      </w:tr>
      <w:tr>
        <w:tc>
          <w:tcPr>
            <w:tcW w:type="dxa" w:w="2900"/>
            <w:tcMar>
              <w:top w:type="dxa" w:w="100"/>
              <w:left w:type="dxa" w:w="140"/>
              <w:bottom w:type="dxa" w:w="100"/>
              <w:right w:type="dxa" w:w="140"/>
            </w:tcMar>
          </w:tcPr>
          <w:p>
            <w:pPr>
              <w:spacing w:after="0" w:line="276"/>
            </w:pPr>
            <w:r>
              <w:rPr>
                <w:sz w:val="20"/>
                <w:szCs w:val="20"/>
              </w:rPr>
              <w:t xml:space="preserve">¿Y si sale mal la primera factura?</w:t>
            </w:r>
          </w:p>
        </w:tc>
        <w:tc>
          <w:tcPr>
            <w:tcW w:type="dxa" w:w="6460"/>
            <w:tcMar>
              <w:top w:type="dxa" w:w="100"/>
              <w:left w:type="dxa" w:w="140"/>
              <w:bottom w:type="dxa" w:w="100"/>
              <w:right w:type="dxa" w:w="140"/>
            </w:tcMar>
          </w:tcPr>
          <w:p>
            <w:pPr>
              <w:spacing w:after="0" w:line="276"/>
            </w:pPr>
            <w:r>
              <w:rPr>
                <w:sz w:val="20"/>
                <w:szCs w:val="20"/>
              </w:rPr>
              <w:t xml:space="preserve">Se anula con nota de crédito, que es el procedimiento normal y legal, y va a estar preparada de antemano. El monto va a ser bajo.</w:t>
            </w:r>
          </w:p>
        </w:tc>
      </w:tr>
      <w:tr>
        <w:tc>
          <w:tcPr>
            <w:tcW w:type="dxa" w:w="2900"/>
            <w:tcMar>
              <w:top w:type="dxa" w:w="100"/>
              <w:left w:type="dxa" w:w="140"/>
              <w:bottom w:type="dxa" w:w="100"/>
              <w:right w:type="dxa" w:w="140"/>
            </w:tcMar>
          </w:tcPr>
          <w:p>
            <w:pPr>
              <w:spacing w:after="0" w:line="276"/>
            </w:pPr>
            <w:r>
              <w:rPr>
                <w:sz w:val="20"/>
                <w:szCs w:val="20"/>
              </w:rPr>
              <w:t xml:space="preserve">¿Esto nos ata más a Bsale?</w:t>
            </w:r>
          </w:p>
        </w:tc>
        <w:tc>
          <w:tcPr>
            <w:tcW w:type="dxa" w:w="6460"/>
            <w:tcMar>
              <w:top w:type="dxa" w:w="100"/>
              <w:left w:type="dxa" w:w="140"/>
              <w:bottom w:type="dxa" w:w="100"/>
              <w:right w:type="dxa" w:w="140"/>
            </w:tcMar>
          </w:tcPr>
          <w:p>
            <w:pPr>
              <w:spacing w:after="0" w:line="276"/>
            </w:pPr>
            <w:r>
              <w:rPr>
                <w:sz w:val="20"/>
                <w:szCs w:val="20"/>
              </w:rPr>
              <w:t xml:space="preserve">Al contrario. El sistema se diseñó para que cambiar de proveedor sea reemplazar una sola pieza. Antes había que rehacer todo.</w:t>
            </w:r>
          </w:p>
        </w:tc>
      </w:tr>
      <w:tr>
        <w:tc>
          <w:tcPr>
            <w:tcW w:type="dxa" w:w="2900"/>
            <w:tcMar>
              <w:top w:type="dxa" w:w="100"/>
              <w:left w:type="dxa" w:w="140"/>
              <w:bottom w:type="dxa" w:w="100"/>
              <w:right w:type="dxa" w:w="140"/>
            </w:tcMar>
          </w:tcPr>
          <w:p>
            <w:pPr>
              <w:spacing w:after="0" w:line="276"/>
            </w:pPr>
            <w:r>
              <w:rPr>
                <w:sz w:val="20"/>
                <w:szCs w:val="20"/>
              </w:rPr>
              <w:t xml:space="preserve">¿Por qué no hacemos el nuestro y dejamos de pagar Bsale?</w:t>
            </w:r>
          </w:p>
        </w:tc>
        <w:tc>
          <w:tcPr>
            <w:tcW w:type="dxa" w:w="6460"/>
            <w:tcMar>
              <w:top w:type="dxa" w:w="100"/>
              <w:left w:type="dxa" w:w="140"/>
              <w:bottom w:type="dxa" w:w="100"/>
              <w:right w:type="dxa" w:w="140"/>
            </w:tcMar>
          </w:tcPr>
          <w:p>
            <w:pPr>
              <w:spacing w:after="0" w:line="276"/>
            </w:pPr>
            <w:r>
              <w:rPr>
                <w:sz w:val="20"/>
                <w:szCs w:val="20"/>
              </w:rPr>
              <w:t xml:space="preserve">Se evaluó con números: construir solo el timbre electrónico son 3 a 5 meses, más mantención permanente porque el SII cambió el formato cuatro veces en un año. Integrarse son días. Y el timbre es la parte más chica de lo que hace Bsale.</w:t>
            </w:r>
          </w:p>
        </w:tc>
      </w:tr>
      <w:tr>
        <w:tc>
          <w:tcPr>
            <w:tcW w:type="dxa" w:w="2900"/>
            <w:tcMar>
              <w:top w:type="dxa" w:w="100"/>
              <w:left w:type="dxa" w:w="140"/>
              <w:bottom w:type="dxa" w:w="100"/>
              <w:right w:type="dxa" w:w="140"/>
            </w:tcMar>
          </w:tcPr>
          <w:p>
            <w:pPr>
              <w:spacing w:after="0" w:line="276"/>
            </w:pPr>
            <w:r>
              <w:rPr>
                <w:sz w:val="20"/>
                <w:szCs w:val="20"/>
              </w:rPr>
              <w:t xml:space="preserve">¿Hay que hacer algún trámite en el SII?</w:t>
            </w:r>
          </w:p>
        </w:tc>
        <w:tc>
          <w:tcPr>
            <w:tcW w:type="dxa" w:w="6460"/>
            <w:tcMar>
              <w:top w:type="dxa" w:w="100"/>
              <w:left w:type="dxa" w:w="140"/>
              <w:bottom w:type="dxa" w:w="100"/>
              <w:right w:type="dxa" w:w="140"/>
            </w:tcMar>
          </w:tcPr>
          <w:p>
            <w:pPr>
              <w:spacing w:after="0" w:line="276"/>
            </w:pPr>
            <w:r>
              <w:rPr>
                <w:sz w:val="20"/>
                <w:szCs w:val="20"/>
              </w:rPr>
              <w:t xml:space="preserve">No. La empresa ya es emisor electrónico autorizado a través de Bsale, y la autorización es del RUT, no del software.</w:t>
            </w:r>
          </w:p>
        </w:tc>
      </w:tr>
      <w:tr>
        <w:tc>
          <w:tcPr>
            <w:tcW w:type="dxa" w:w="2900"/>
            <w:tcMar>
              <w:top w:type="dxa" w:w="100"/>
              <w:left w:type="dxa" w:w="140"/>
              <w:bottom w:type="dxa" w:w="100"/>
              <w:right w:type="dxa" w:w="140"/>
            </w:tcMar>
          </w:tcPr>
          <w:p>
            <w:pPr>
              <w:spacing w:after="0" w:line="276"/>
            </w:pPr>
            <w:r>
              <w:rPr>
                <w:sz w:val="20"/>
                <w:szCs w:val="20"/>
              </w:rPr>
              <w:t xml:space="preserve">¿Y si DaliGo se cae?</w:t>
            </w:r>
          </w:p>
        </w:tc>
        <w:tc>
          <w:tcPr>
            <w:tcW w:type="dxa" w:w="6460"/>
            <w:tcMar>
              <w:top w:type="dxa" w:w="100"/>
              <w:left w:type="dxa" w:w="140"/>
              <w:bottom w:type="dxa" w:w="100"/>
              <w:right w:type="dxa" w:w="140"/>
            </w:tcMar>
          </w:tcPr>
          <w:p>
            <w:pPr>
              <w:spacing w:after="0" w:line="276"/>
            </w:pPr>
            <w:r>
              <w:rPr>
                <w:sz w:val="20"/>
                <w:szCs w:val="20"/>
              </w:rPr>
              <w:t xml:space="preserve">Se factura en Bsale como siempre. Hoy DaliGo no reemplaza a Bsale, lo alimenta. Ver el punto de abajo.</w:t>
            </w:r>
          </w:p>
        </w:tc>
      </w:tr>
    </w:tbl>
    <w:p>
      <w:pPr>
        <w:pStyle w:val="Heading2"/>
        <w:spacing w:after="100" w:before="240"/>
      </w:pPr>
      <w:r>
        <w:rPr>
          <w:b/>
          <w:bCs/>
          <w:sz w:val="24"/>
          <w:szCs w:val="24"/>
        </w:rPr>
        <w:t xml:space="preserve">Sobre la estabilidad, para no prometer de más</w:t>
      </w:r>
    </w:p>
    <w:p>
      <w:pPr>
        <w:spacing w:after="120" w:line="276"/>
      </w:pPr>
      <w:r>
        <w:rPr>
          <w:sz w:val="22"/>
          <w:szCs w:val="22"/>
        </w:rPr>
        <w:t xml:space="preserve">Bsale no se cae, y eso es un valor que la empresa ya tiene. DaliGo hoy no está a ese nivel, y no por el software: por dónde está alojado (hosting compartido, sin monitoreo que avise una caída, sin respaldos definidos). Para lo que DaliGo es hoy —un panel de gestión interno— está bien: si se cae veinte minutos, alguien espera. Para un sistema que emite facturas no alcanzaría, porque ahí caerse significa no poder vender.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6"/>
              <w:left w:val="single" w:color="EA580C" w:sz="18"/>
              <w:bottom w:val="single" w:color="FED7AA" w:sz="6"/>
              <w:right w:val="single" w:color="FED7AA" w:sz="6"/>
            </w:tcBorders>
            <w:shd w:fill="FFF7ED" w:val="clear"/>
            <w:tcMar>
              <w:top w:type="dxa" w:w="160"/>
              <w:left w:type="dxa" w:w="200"/>
              <w:bottom w:type="dxa" w:w="160"/>
              <w:right w:type="dxa" w:w="200"/>
            </w:tcMar>
          </w:tcPr>
          <w:p>
            <w:pPr>
              <w:spacing w:after="60" w:line="276"/>
            </w:pPr>
            <w:r>
              <w:rPr>
                <w:b/>
                <w:bCs/>
                <w:color w:val="9A3412"/>
                <w:sz w:val="20"/>
                <w:szCs w:val="20"/>
              </w:rPr>
              <w:t xml:space="preserve">Para decir</w:t>
            </w:r>
          </w:p>
          <w:p>
            <w:pPr>
              <w:spacing w:after="0" w:line="276"/>
            </w:pPr>
            <w:r>
              <w:rPr>
                <w:i/>
                <w:iCs/>
                <w:color w:val="7C2D12"/>
                <w:sz w:val="22"/>
                <w:szCs w:val="22"/>
              </w:rPr>
              <w:t xml:space="preserve">Hoy DaliGo no reemplaza a Bsale, lo alimenta, y eso es a propósito: si algo falla, Bsale sigue estando. El día que se quiera reemplazar, lo que hay que discutir no es el software: es cuánto cuesta un servidor que no se caiga. Es un proyecto aparte, con su propio presupuesto.</w:t>
            </w:r>
          </w:p>
        </w:tc>
      </w:tr>
    </w:tbl>
    <w:p>
      <w:pPr>
        <w:pStyle w:val="Heading1"/>
        <w:spacing w:after="160" w:before="320"/>
      </w:pPr>
      <w:r>
        <w:rPr>
          <w:b/>
          <w:bCs/>
          <w:color w:val="EA580C"/>
          <w:sz w:val="30"/>
          <w:szCs w:val="30"/>
        </w:rPr>
        <w:t xml:space="preserve">6. Lo que conviene no prometer</w:t>
      </w:r>
    </w:p>
    <w:p>
      <w:pPr>
        <w:pStyle w:val="ListParagraph"/>
        <w:numPr>
          <w:ilvl w:val="0"/>
          <w:numId w:val="2"/>
        </w:numPr>
        <w:spacing w:after="80" w:line="276"/>
      </w:pPr>
      <w:r>
        <w:rPr>
          <w:b/>
          <w:bCs/>
          <w:sz w:val="22"/>
          <w:szCs w:val="22"/>
        </w:rPr>
        <w:t xml:space="preserve">Una fecha para la primera emisión real. </w:t>
      </w:r>
      <w:r>
        <w:rPr>
          <w:b w:val="false"/>
          <w:bCs w:val="false"/>
          <w:sz w:val="22"/>
          <w:szCs w:val="22"/>
        </w:rPr>
        <w:t xml:space="preserve">Depende de la autorización y de dos respuestas de Bsale.</w:t>
      </w:r>
    </w:p>
    <w:p>
      <w:pPr>
        <w:pStyle w:val="ListParagraph"/>
        <w:numPr>
          <w:ilvl w:val="0"/>
          <w:numId w:val="2"/>
        </w:numPr>
        <w:spacing w:after="80" w:line="276"/>
      </w:pPr>
      <w:r>
        <w:rPr>
          <w:b/>
          <w:bCs/>
          <w:sz w:val="22"/>
          <w:szCs w:val="22"/>
        </w:rPr>
        <w:t xml:space="preserve">Que "ya está listo para facturar". </w:t>
      </w:r>
      <w:r>
        <w:rPr>
          <w:b w:val="false"/>
          <w:bCs w:val="false"/>
          <w:sz w:val="22"/>
          <w:szCs w:val="22"/>
        </w:rPr>
        <w:t xml:space="preserve">Está listo el mecanismo, no la operación.</w:t>
      </w:r>
    </w:p>
    <w:p>
      <w:pPr>
        <w:pStyle w:val="ListParagraph"/>
        <w:numPr>
          <w:ilvl w:val="0"/>
          <w:numId w:val="2"/>
        </w:numPr>
        <w:spacing w:after="80" w:line="276"/>
      </w:pPr>
      <w:r>
        <w:rPr>
          <w:b/>
          <w:bCs/>
          <w:sz w:val="22"/>
          <w:szCs w:val="22"/>
        </w:rPr>
        <w:t xml:space="preserve">Un aviso automático cuando se acaben los folios. </w:t>
      </w:r>
      <w:r>
        <w:rPr>
          <w:b w:val="false"/>
          <w:bCs w:val="false"/>
          <w:sz w:val="22"/>
          <w:szCs w:val="22"/>
        </w:rPr>
        <w:t xml:space="preserve">Bsale respondió que no se pueden consultar por anticipado; quedó una repregunta y puede que ese control tenga que ser manual.</w:t>
      </w:r>
    </w:p>
    <w:p>
      <w:pPr>
        <w:pStyle w:val="ListParagraph"/>
        <w:numPr>
          <w:ilvl w:val="0"/>
          <w:numId w:val="2"/>
        </w:numPr>
        <w:spacing w:after="80" w:line="276"/>
      </w:pPr>
      <w:r>
        <w:rPr>
          <w:b/>
          <w:bCs/>
          <w:sz w:val="22"/>
          <w:szCs w:val="22"/>
        </w:rPr>
        <w:t xml:space="preserve">La guía de despacho de garantía. </w:t>
      </w:r>
      <w:r>
        <w:rPr>
          <w:b w:val="false"/>
          <w:bCs w:val="false"/>
          <w:sz w:val="22"/>
          <w:szCs w:val="22"/>
        </w:rPr>
        <w:t xml:space="preserve">Es justamente la que choca con el plazo de noviembre.</w:t>
      </w:r>
    </w:p>
    <w:p>
      <w:pPr>
        <w:pStyle w:val="ListParagraph"/>
        <w:numPr>
          <w:ilvl w:val="0"/>
          <w:numId w:val="2"/>
        </w:numPr>
        <w:spacing w:after="80" w:line="276"/>
      </w:pPr>
      <w:r>
        <w:rPr>
          <w:b/>
          <w:bCs/>
          <w:sz w:val="22"/>
          <w:szCs w:val="22"/>
        </w:rPr>
        <w:t xml:space="preserve">Que DaliGo va a ser tan estable como Bsale. </w:t>
      </w:r>
      <w:r>
        <w:rPr>
          <w:b w:val="false"/>
          <w:bCs w:val="false"/>
          <w:sz w:val="22"/>
          <w:szCs w:val="22"/>
        </w:rPr>
        <w:t xml:space="preserve">Eso se resuelve con infraestructura, no con código.</w:t>
      </w:r>
    </w:p>
    <w:p>
      <w:pPr>
        <w:pStyle w:val="Heading1"/>
        <w:spacing w:after="160" w:before="320"/>
      </w:pPr>
      <w:r>
        <w:rPr>
          <w:b/>
          <w:bCs/>
          <w:color w:val="EA580C"/>
          <w:sz w:val="30"/>
          <w:szCs w:val="30"/>
        </w:rPr>
        <w:t xml:space="preserve">7. El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6"/>
              <w:left w:val="single" w:color="EA580C" w:sz="18"/>
              <w:bottom w:val="single" w:color="FED7AA" w:sz="6"/>
              <w:right w:val="single" w:color="FED7AA" w:sz="6"/>
            </w:tcBorders>
            <w:shd w:fill="FFF7ED" w:val="clear"/>
            <w:tcMar>
              <w:top w:type="dxa" w:w="160"/>
              <w:left w:type="dxa" w:w="200"/>
              <w:bottom w:type="dxa" w:w="160"/>
              <w:right w:type="dxa" w:w="200"/>
            </w:tcMar>
          </w:tcPr>
          <w:p>
            <w:pPr>
              <w:spacing w:after="0" w:line="276"/>
            </w:pPr>
            <w:r>
              <w:rPr>
                <w:i/>
                <w:iCs/>
                <w:color w:val="7C2D12"/>
                <w:sz w:val="22"/>
                <w:szCs w:val="22"/>
              </w:rPr>
              <w:t xml:space="preserve">El trabajo de estos días no fue programar facturación. Fue averiguar antes de programar: preguntarle al SII qué dice la norma, a Contabilidad cómo quiere facturar y a Bsale qué permite su sistema. Las tres respuestas cambiaron lo que había que construir. Si hubiéramos empezado por el código, hoy estaríamos rehaciéndolo.</w:t>
            </w:r>
          </w:p>
        </w:tc>
      </w:tr>
    </w:tbl>
    <w:p>
      <w:pPr>
        <w:spacing w:after="80" w:line="276"/>
      </w:pPr>
      <w:r>
        <w:rPr>
          <w:sz w:val="22"/>
          <w:szCs w:val="22"/>
        </w:rPr>
        <w:t xml:space="preserve"/>
      </w:r>
    </w:p>
    <w:p>
      <w:pPr>
        <w:spacing w:after="120" w:line="276"/>
      </w:pPr>
      <w:r>
        <w:rPr>
          <w:b/>
          <w:bCs/>
          <w:sz w:val="22"/>
          <w:szCs w:val="22"/>
        </w:rPr>
        <w:t xml:space="preserve">Y lo que hay que dejar instalado en la reunión: nada de esto le quita nada a nadie. Bsale sigue funcionando igual que siempre, y el único paso que no se puede deshacer necesita una firma.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Facturación electrónica en DaliGo — guía para la reunión con Gerencia</dc:title>
  <dc:creator>Marcos Uribe</dc:creator>
  <dc:description>Guía de apoyo para explicar el módulo de Facturación de DaliGo a Gerencia General.</dc:description>
  <cp:lastModifiedBy>Un-named</cp:lastModifiedBy>
  <cp:revision>1</cp:revision>
  <dcterms:created xsi:type="dcterms:W3CDTF">2026-07-29T16:34:37.715Z</dcterms:created>
  <dcterms:modified xsi:type="dcterms:W3CDTF">2026-07-29T16:34:37.717Z</dcterms:modified>
</cp:coreProperties>
</file>

<file path=docProps/custom.xml><?xml version="1.0" encoding="utf-8"?>
<Properties xmlns="http://schemas.openxmlformats.org/officeDocument/2006/custom-properties" xmlns:vt="http://schemas.openxmlformats.org/officeDocument/2006/docPropsVTypes"/>
</file>