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535DE" w:rsidRDefault="007E08A2" w:rsidP="006741E0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t xml:space="preserve">Assessment 02: Django REST Framework, React &amp; OpenTDB API </w:t>
      </w:r>
      <w:r w:rsidR="006741E0">
        <w:rPr>
          <w:b/>
          <w:bCs/>
          <w:color w:val="000000" w:themeColor="text1"/>
          <w:sz w:val="52"/>
          <w:szCs w:val="52"/>
          <w:lang w:val="en-AU"/>
        </w:rPr>
        <w:t>Assessment Rubric</w:t>
      </w:r>
    </w:p>
    <w:p w:rsidR="006741E0" w:rsidRDefault="006741E0" w:rsidP="006741E0">
      <w:pPr>
        <w:rPr>
          <w:lang w:val="en-AU"/>
        </w:rPr>
      </w:pPr>
    </w:p>
    <w:p w:rsidR="00580BE9" w:rsidRDefault="00580BE9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870A85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:rsidR="00870A85" w:rsidRPr="00C05FDA" w:rsidRDefault="00870A85" w:rsidP="00870A8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 &amp; Robustness</w:t>
            </w:r>
          </w:p>
        </w:tc>
        <w:tc>
          <w:tcPr>
            <w:tcW w:w="3356" w:type="dxa"/>
          </w:tcPr>
          <w:p w:rsidR="00870A85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CC70F4">
              <w:rPr>
                <w:rFonts w:ascii="Calibri" w:hAnsi="Calibri" w:cs="Calibri"/>
                <w:sz w:val="20"/>
                <w:szCs w:val="20"/>
              </w:rPr>
              <w:t>Application thoroughly demonstrates functionality &amp; robustness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870A85" w:rsidRDefault="00870A85" w:rsidP="00870A85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Unit tests thoroughly demonstrate coverage of </w:t>
            </w:r>
            <w:r w:rsidR="00E373CA">
              <w:rPr>
                <w:rFonts w:ascii="Calibri" w:hAnsi="Calibri" w:cs="Calibri"/>
                <w:sz w:val="20"/>
                <w:szCs w:val="20"/>
              </w:rPr>
              <w:t xml:space="preserve">components, </w:t>
            </w:r>
            <w:r>
              <w:rPr>
                <w:rFonts w:ascii="Calibri" w:hAnsi="Calibri" w:cs="Calibri"/>
                <w:sz w:val="20"/>
                <w:szCs w:val="20"/>
              </w:rPr>
              <w:t>models</w:t>
            </w:r>
            <w:r w:rsidR="00EB240D">
              <w:rPr>
                <w:rFonts w:ascii="Calibri" w:hAnsi="Calibri" w:cs="Calibri"/>
                <w:sz w:val="20"/>
                <w:szCs w:val="20"/>
              </w:rPr>
              <w:t>, views</w:t>
            </w:r>
            <w:r w:rsidR="00E373CA">
              <w:rPr>
                <w:rFonts w:ascii="Calibri" w:hAnsi="Calibri" w:cs="Calibri"/>
                <w:sz w:val="20"/>
                <w:szCs w:val="20"/>
              </w:rPr>
              <w:t xml:space="preserve"> &amp; </w:t>
            </w:r>
            <w:r w:rsidR="00B8466A">
              <w:rPr>
                <w:rFonts w:ascii="Calibri" w:hAnsi="Calibri" w:cs="Calibri"/>
                <w:sz w:val="20"/>
                <w:szCs w:val="20"/>
              </w:rPr>
              <w:t xml:space="preserve">OpenTDB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API. </w:t>
            </w:r>
          </w:p>
          <w:p w:rsidR="00E373CA" w:rsidRPr="00870A85" w:rsidRDefault="00E373CA" w:rsidP="00870A85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End-to-end tests thoroughly demonstrate coverage of creating, updating &amp; deleting a quiz tournament &amp; viewing </w:t>
            </w:r>
            <w:r w:rsidR="00B8466A">
              <w:rPr>
                <w:rFonts w:ascii="Calibri" w:hAnsi="Calibri" w:cs="Calibri"/>
                <w:sz w:val="20"/>
                <w:szCs w:val="20"/>
              </w:rPr>
              <w:t>a quiz tournament’s question, correct answer &amp; incorrect answers.</w:t>
            </w:r>
          </w:p>
        </w:tc>
        <w:tc>
          <w:tcPr>
            <w:tcW w:w="3357" w:type="dxa"/>
          </w:tcPr>
          <w:p w:rsidR="00870A85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CC70F4">
              <w:rPr>
                <w:rFonts w:ascii="Calibri" w:hAnsi="Calibri" w:cs="Calibri"/>
                <w:sz w:val="20"/>
                <w:szCs w:val="20"/>
              </w:rPr>
              <w:t>Application mostly demonstrates functionality &amp; robustness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870A85" w:rsidRDefault="00E373CA" w:rsidP="00870A85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Unit tests thoroughly demonstrate coverage of components, models</w:t>
            </w:r>
            <w:r w:rsidR="00EB240D">
              <w:rPr>
                <w:rFonts w:ascii="Calibri" w:hAnsi="Calibri" w:cs="Calibri"/>
                <w:sz w:val="20"/>
                <w:szCs w:val="20"/>
              </w:rPr>
              <w:t>, views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B8466A">
              <w:rPr>
                <w:rFonts w:ascii="Calibri" w:hAnsi="Calibri" w:cs="Calibri"/>
                <w:sz w:val="20"/>
                <w:szCs w:val="20"/>
              </w:rPr>
              <w:t>&amp; OpenTDB API.</w:t>
            </w:r>
          </w:p>
          <w:p w:rsidR="00E373CA" w:rsidRPr="00C02D5A" w:rsidRDefault="00E373CA" w:rsidP="00870A85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End-to-end tests mostly demonstrate coverage of creating, updating &amp; deleting a quiz tournament &amp; viewing </w:t>
            </w:r>
            <w:r w:rsidR="00B8466A">
              <w:rPr>
                <w:rFonts w:ascii="Calibri" w:hAnsi="Calibri" w:cs="Calibri"/>
                <w:sz w:val="20"/>
                <w:szCs w:val="20"/>
              </w:rPr>
              <w:t>a quiz tournament’s question, correct answer &amp; incorrect answers.</w:t>
            </w:r>
          </w:p>
        </w:tc>
        <w:tc>
          <w:tcPr>
            <w:tcW w:w="3356" w:type="dxa"/>
          </w:tcPr>
          <w:p w:rsidR="00870A85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CC70F4">
              <w:rPr>
                <w:rFonts w:ascii="Calibri" w:hAnsi="Calibri" w:cs="Calibri"/>
                <w:sz w:val="20"/>
                <w:szCs w:val="20"/>
              </w:rPr>
              <w:t>Application demonstrates some functionality &amp; robustness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  <w:r w:rsidRPr="00CC70F4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:rsidR="00E373CA" w:rsidRDefault="00E373CA" w:rsidP="00870A85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Unit tests thoroughly demonstrate coverage of components, models</w:t>
            </w:r>
            <w:r w:rsidR="00EB240D">
              <w:rPr>
                <w:rFonts w:ascii="Calibri" w:hAnsi="Calibri" w:cs="Calibri"/>
                <w:sz w:val="20"/>
                <w:szCs w:val="20"/>
              </w:rPr>
              <w:t>, views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&amp; </w:t>
            </w:r>
            <w:r w:rsidR="00B8466A">
              <w:rPr>
                <w:rFonts w:ascii="Calibri" w:hAnsi="Calibri" w:cs="Calibri"/>
                <w:sz w:val="20"/>
                <w:szCs w:val="20"/>
              </w:rPr>
              <w:t xml:space="preserve">OpenTDB </w:t>
            </w:r>
            <w:r>
              <w:rPr>
                <w:rFonts w:ascii="Calibri" w:hAnsi="Calibri" w:cs="Calibri"/>
                <w:sz w:val="20"/>
                <w:szCs w:val="20"/>
              </w:rPr>
              <w:t>API.</w:t>
            </w:r>
          </w:p>
          <w:p w:rsidR="00E373CA" w:rsidRPr="00CB78B3" w:rsidRDefault="00E373CA" w:rsidP="00870A85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End-to-end tests demonstrate some coverage of creating, updating &amp; deleting a quiz tournament &amp; viewing </w:t>
            </w:r>
            <w:r w:rsidR="00B8466A">
              <w:rPr>
                <w:rFonts w:ascii="Calibri" w:hAnsi="Calibri" w:cs="Calibri"/>
                <w:sz w:val="20"/>
                <w:szCs w:val="20"/>
              </w:rPr>
              <w:t>a quiz tournament’s question, correct answer &amp; incorrect answers.</w:t>
            </w:r>
          </w:p>
        </w:tc>
        <w:tc>
          <w:tcPr>
            <w:tcW w:w="3357" w:type="dxa"/>
          </w:tcPr>
          <w:p w:rsidR="00870A85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CC70F4">
              <w:rPr>
                <w:rFonts w:ascii="Calibri" w:hAnsi="Calibri" w:cs="Calibri"/>
                <w:sz w:val="20"/>
                <w:szCs w:val="20"/>
              </w:rPr>
              <w:t>Application does not or does not fully demonstrate functionality &amp; robustness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870A85" w:rsidRDefault="00E373CA" w:rsidP="00870A85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Unit tests thoroughly demonstrate coverage of components, models</w:t>
            </w:r>
            <w:r w:rsidR="00EB240D">
              <w:rPr>
                <w:rFonts w:ascii="Calibri" w:hAnsi="Calibri" w:cs="Calibri"/>
                <w:sz w:val="20"/>
                <w:szCs w:val="20"/>
              </w:rPr>
              <w:t>, views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&amp; </w:t>
            </w:r>
            <w:r w:rsidR="00B8466A">
              <w:rPr>
                <w:rFonts w:ascii="Calibri" w:hAnsi="Calibri" w:cs="Calibri"/>
                <w:sz w:val="20"/>
                <w:szCs w:val="20"/>
              </w:rPr>
              <w:t xml:space="preserve">OpenTDB </w:t>
            </w:r>
            <w:r>
              <w:rPr>
                <w:rFonts w:ascii="Calibri" w:hAnsi="Calibri" w:cs="Calibri"/>
                <w:sz w:val="20"/>
                <w:szCs w:val="20"/>
              </w:rPr>
              <w:t>API.</w:t>
            </w:r>
          </w:p>
          <w:p w:rsidR="00E373CA" w:rsidRPr="00E373CA" w:rsidRDefault="00E373CA" w:rsidP="00E373CA">
            <w:pPr>
              <w:rPr>
                <w:lang w:eastAsia="en-GB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End-to-end tests does not or does not fully demonstrate coverage of creating, updating &amp; deleting a quiz tournament &amp; viewing </w:t>
            </w:r>
            <w:r w:rsidR="00B8466A">
              <w:rPr>
                <w:rFonts w:ascii="Calibri" w:hAnsi="Calibri" w:cs="Calibri"/>
                <w:sz w:val="20"/>
                <w:szCs w:val="20"/>
              </w:rPr>
              <w:t>a quiz tournament’s question, correct answer &amp; incorrect answers.</w:t>
            </w:r>
          </w:p>
        </w:tc>
      </w:tr>
      <w:tr w:rsidR="005B3A35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:rsidR="00870A85" w:rsidRPr="005B3A35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Application code thoroughly demonstrates code elegance on the following:</w:t>
            </w:r>
          </w:p>
          <w:p w:rsidR="00870A85" w:rsidRPr="00514983" w:rsidRDefault="00870A85" w:rsidP="00870A85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:rsidR="00870A85" w:rsidRPr="00514983" w:rsidRDefault="00870A85" w:rsidP="00870A85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Sufficient modularity, i.e., code adheres to SOLID principles</w:t>
            </w:r>
            <w:r w:rsidR="00241A44">
              <w:rPr>
                <w:rFonts w:ascii="Calibri" w:hAnsi="Calibri" w:cs="Calibri"/>
                <w:sz w:val="19"/>
                <w:szCs w:val="19"/>
              </w:rPr>
              <w:t>, UI split into independent, reusable pieces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.</w:t>
            </w:r>
          </w:p>
          <w:p w:rsidR="00870A85" w:rsidRDefault="00870A85" w:rsidP="00870A85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 xml:space="preserve">Adhere to </w:t>
            </w:r>
            <w:r w:rsidR="00805FF0">
              <w:rPr>
                <w:rFonts w:ascii="Calibri" w:hAnsi="Calibri" w:cs="Calibri"/>
                <w:sz w:val="19"/>
                <w:szCs w:val="19"/>
              </w:rPr>
              <w:t xml:space="preserve">client-server 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architecture.</w:t>
            </w:r>
          </w:p>
          <w:p w:rsidR="00E60A90" w:rsidRPr="00514983" w:rsidRDefault="00E60A90" w:rsidP="00870A85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Components written as function components, not class components.</w:t>
            </w:r>
          </w:p>
          <w:p w:rsidR="00870A85" w:rsidRDefault="00870A85" w:rsidP="00870A85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Adhere to </w:t>
            </w:r>
            <w:r w:rsidRPr="00C02D5A">
              <w:rPr>
                <w:rFonts w:ascii="Calibri" w:hAnsi="Calibri" w:cs="Calibri"/>
                <w:sz w:val="19"/>
                <w:szCs w:val="19"/>
              </w:rPr>
              <w:t>pycodestyl</w:t>
            </w:r>
            <w:r>
              <w:rPr>
                <w:rFonts w:ascii="Calibri" w:hAnsi="Calibri" w:cs="Calibri"/>
                <w:sz w:val="19"/>
                <w:szCs w:val="19"/>
              </w:rPr>
              <w:t>e (formally PEP8) style guide.</w:t>
            </w:r>
          </w:p>
          <w:p w:rsidR="00870A85" w:rsidRPr="00514983" w:rsidRDefault="00870A85" w:rsidP="00870A85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:rsidR="00870A85" w:rsidRPr="00514983" w:rsidRDefault="00870A85" w:rsidP="00870A85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Handling of API response codes.</w:t>
            </w:r>
          </w:p>
          <w:p w:rsidR="00870A85" w:rsidRPr="00514983" w:rsidRDefault="00870A85" w:rsidP="00870A85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Handling of HTML entities.</w:t>
            </w:r>
          </w:p>
          <w:p w:rsidR="00870A85" w:rsidRDefault="00870A85" w:rsidP="00870A85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Header comments explain each class &amp; method.</w:t>
            </w:r>
          </w:p>
          <w:p w:rsidR="00870A85" w:rsidRPr="00514983" w:rsidRDefault="00870A85" w:rsidP="00870A85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In-line comments explain complex logic.</w:t>
            </w:r>
          </w:p>
          <w:p w:rsidR="005B3A35" w:rsidRPr="00C207DB" w:rsidRDefault="00870A85" w:rsidP="00C207DB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Well-designed models containing fields &amp; behaviours.</w:t>
            </w:r>
          </w:p>
        </w:tc>
        <w:tc>
          <w:tcPr>
            <w:tcW w:w="3357" w:type="dxa"/>
          </w:tcPr>
          <w:p w:rsidR="00EB240D" w:rsidRPr="005B3A35" w:rsidRDefault="00EB240D" w:rsidP="00EB240D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Application code thoroughly demonstrates code elegance on the following:</w:t>
            </w:r>
          </w:p>
          <w:p w:rsidR="00EB240D" w:rsidRPr="00514983" w:rsidRDefault="00EB240D" w:rsidP="00EB240D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:rsidR="00241A44" w:rsidRPr="00514983" w:rsidRDefault="00241A44" w:rsidP="00241A44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Sufficient modularity, i.e., code adheres to SOLID principles</w:t>
            </w:r>
            <w:r>
              <w:rPr>
                <w:rFonts w:ascii="Calibri" w:hAnsi="Calibri" w:cs="Calibri"/>
                <w:sz w:val="19"/>
                <w:szCs w:val="19"/>
              </w:rPr>
              <w:t>, UI split into independent, reusable pieces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.</w:t>
            </w:r>
          </w:p>
          <w:p w:rsidR="00EB240D" w:rsidRDefault="00EB240D" w:rsidP="00EB240D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 xml:space="preserve">Adhere to 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client-server 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architecture.</w:t>
            </w:r>
          </w:p>
          <w:p w:rsidR="00E60A90" w:rsidRPr="00E60A90" w:rsidRDefault="00E60A90" w:rsidP="00E60A90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Components written as function components, not class components.</w:t>
            </w:r>
          </w:p>
          <w:p w:rsidR="00EB240D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Adhere to </w:t>
            </w:r>
            <w:r w:rsidRPr="00C02D5A">
              <w:rPr>
                <w:rFonts w:ascii="Calibri" w:hAnsi="Calibri" w:cs="Calibri"/>
                <w:sz w:val="19"/>
                <w:szCs w:val="19"/>
              </w:rPr>
              <w:t>pycodestyl</w:t>
            </w:r>
            <w:r>
              <w:rPr>
                <w:rFonts w:ascii="Calibri" w:hAnsi="Calibri" w:cs="Calibri"/>
                <w:sz w:val="19"/>
                <w:szCs w:val="19"/>
              </w:rPr>
              <w:t>e (formally PEP8) style guide.</w:t>
            </w:r>
          </w:p>
          <w:p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Handling of API response codes.</w:t>
            </w:r>
          </w:p>
          <w:p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Handling of HTML entities.</w:t>
            </w:r>
          </w:p>
          <w:p w:rsidR="00EB240D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Header comments explain each class &amp; method.</w:t>
            </w:r>
          </w:p>
          <w:p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In-line comments explain complex logic.</w:t>
            </w:r>
          </w:p>
          <w:p w:rsidR="005B3A35" w:rsidRPr="00C207DB" w:rsidRDefault="00EB240D" w:rsidP="00C207DB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Well-designed models containing fields &amp; behaviours.</w:t>
            </w:r>
          </w:p>
        </w:tc>
        <w:tc>
          <w:tcPr>
            <w:tcW w:w="3356" w:type="dxa"/>
          </w:tcPr>
          <w:p w:rsidR="00EB240D" w:rsidRPr="005B3A35" w:rsidRDefault="00EB240D" w:rsidP="00EB240D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Application code thoroughly demonstrates code elegance on the following:</w:t>
            </w:r>
          </w:p>
          <w:p w:rsidR="00EB240D" w:rsidRPr="00514983" w:rsidRDefault="00EB240D" w:rsidP="00EB240D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:rsidR="00241A44" w:rsidRPr="00514983" w:rsidRDefault="00241A44" w:rsidP="00241A44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Sufficient modularity, i.e., code adheres to SOLID principles</w:t>
            </w:r>
            <w:r>
              <w:rPr>
                <w:rFonts w:ascii="Calibri" w:hAnsi="Calibri" w:cs="Calibri"/>
                <w:sz w:val="19"/>
                <w:szCs w:val="19"/>
              </w:rPr>
              <w:t>, UI split into independent, reusable pieces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.</w:t>
            </w:r>
          </w:p>
          <w:p w:rsidR="00EB240D" w:rsidRDefault="00EB240D" w:rsidP="00EB240D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 xml:space="preserve">Adhere to 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client-server 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architecture.</w:t>
            </w:r>
          </w:p>
          <w:p w:rsidR="00E60A90" w:rsidRPr="00E60A90" w:rsidRDefault="00E60A90" w:rsidP="00E60A90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Components written as function components, not class components.</w:t>
            </w:r>
          </w:p>
          <w:p w:rsidR="00EB240D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Adhere to </w:t>
            </w:r>
            <w:r w:rsidRPr="00C02D5A">
              <w:rPr>
                <w:rFonts w:ascii="Calibri" w:hAnsi="Calibri" w:cs="Calibri"/>
                <w:sz w:val="19"/>
                <w:szCs w:val="19"/>
              </w:rPr>
              <w:t>pycodestyl</w:t>
            </w:r>
            <w:r>
              <w:rPr>
                <w:rFonts w:ascii="Calibri" w:hAnsi="Calibri" w:cs="Calibri"/>
                <w:sz w:val="19"/>
                <w:szCs w:val="19"/>
              </w:rPr>
              <w:t>e (formally PEP8) style guide.</w:t>
            </w:r>
          </w:p>
          <w:p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Handling of API response codes.</w:t>
            </w:r>
          </w:p>
          <w:p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Handling of HTML entities.</w:t>
            </w:r>
          </w:p>
          <w:p w:rsidR="00EB240D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Header comments explain each class &amp; method.</w:t>
            </w:r>
          </w:p>
          <w:p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In-line comments explain complex logic.</w:t>
            </w:r>
          </w:p>
          <w:p w:rsidR="005B3A35" w:rsidRPr="00C207DB" w:rsidRDefault="00EB240D" w:rsidP="00C207DB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Well-designed models containing fields &amp; behaviours.</w:t>
            </w:r>
          </w:p>
        </w:tc>
        <w:tc>
          <w:tcPr>
            <w:tcW w:w="3357" w:type="dxa"/>
          </w:tcPr>
          <w:p w:rsidR="00EB240D" w:rsidRPr="005B3A35" w:rsidRDefault="00EB240D" w:rsidP="00EB240D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Application code thoroughly demonstrates code elegance on the following:</w:t>
            </w:r>
          </w:p>
          <w:p w:rsidR="00EB240D" w:rsidRPr="00514983" w:rsidRDefault="00EB240D" w:rsidP="00EB240D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:rsidR="00241A44" w:rsidRPr="00514983" w:rsidRDefault="00241A44" w:rsidP="00241A44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Sufficient modularity, i.e., code adheres to SOLID principles</w:t>
            </w:r>
            <w:r>
              <w:rPr>
                <w:rFonts w:ascii="Calibri" w:hAnsi="Calibri" w:cs="Calibri"/>
                <w:sz w:val="19"/>
                <w:szCs w:val="19"/>
              </w:rPr>
              <w:t>, UI split into independent, reusable pieces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.</w:t>
            </w:r>
          </w:p>
          <w:p w:rsidR="00EB240D" w:rsidRDefault="00EB240D" w:rsidP="00EB240D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 xml:space="preserve">Adhere to 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client-server 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architecture.</w:t>
            </w:r>
          </w:p>
          <w:p w:rsidR="00E60A90" w:rsidRPr="00E60A90" w:rsidRDefault="00E60A90" w:rsidP="00E60A90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Components written as function components, not class components.</w:t>
            </w:r>
          </w:p>
          <w:p w:rsidR="00EB240D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Adhere to </w:t>
            </w:r>
            <w:r w:rsidRPr="00C02D5A">
              <w:rPr>
                <w:rFonts w:ascii="Calibri" w:hAnsi="Calibri" w:cs="Calibri"/>
                <w:sz w:val="19"/>
                <w:szCs w:val="19"/>
              </w:rPr>
              <w:t>pycodestyl</w:t>
            </w:r>
            <w:r>
              <w:rPr>
                <w:rFonts w:ascii="Calibri" w:hAnsi="Calibri" w:cs="Calibri"/>
                <w:sz w:val="19"/>
                <w:szCs w:val="19"/>
              </w:rPr>
              <w:t>e (formally PEP8) style guide.</w:t>
            </w:r>
          </w:p>
          <w:p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Handling of API response codes.</w:t>
            </w:r>
          </w:p>
          <w:p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Handling of HTML entities.</w:t>
            </w:r>
          </w:p>
          <w:p w:rsidR="00EB240D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Header comments explain each class &amp; method.</w:t>
            </w:r>
          </w:p>
          <w:p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In-line comments explain complex logic.</w:t>
            </w:r>
          </w:p>
          <w:p w:rsidR="005B3A35" w:rsidRPr="00C207DB" w:rsidRDefault="00EB240D" w:rsidP="00C207DB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Well-designed models containing fields &amp; behaviours.</w:t>
            </w:r>
          </w:p>
        </w:tc>
      </w:tr>
      <w:tr w:rsidR="00870A85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:rsidR="00870A85" w:rsidRPr="00C05FDA" w:rsidRDefault="00870A85" w:rsidP="00870A8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README thoroughly describes how to set the environment for development, run tests &amp; deploy the application.</w:t>
            </w: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Git branches thoroughly named with convention &amp; contain the correct code relating to the functional requirement.</w:t>
            </w: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Git commit messages thoroughly reflect the functional requirement changes.</w:t>
            </w:r>
          </w:p>
        </w:tc>
        <w:tc>
          <w:tcPr>
            <w:tcW w:w="3357" w:type="dxa"/>
          </w:tcPr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README </w:t>
            </w:r>
            <w:r w:rsidRPr="00E33A2A">
              <w:rPr>
                <w:rFonts w:ascii="Calibri" w:hAnsi="Calibri" w:cs="Calibri"/>
                <w:sz w:val="20"/>
                <w:szCs w:val="20"/>
              </w:rPr>
              <w:t xml:space="preserve">mostly </w:t>
            </w:r>
            <w:r>
              <w:rPr>
                <w:rFonts w:ascii="Calibri" w:hAnsi="Calibri" w:cs="Calibri"/>
                <w:sz w:val="20"/>
                <w:szCs w:val="20"/>
              </w:rPr>
              <w:t>describes how to set the environment for development, run tests &amp; deploy the application.</w:t>
            </w: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Git branches mostly named with convention &amp; contain the correct code relating to the functional requirement.</w:t>
            </w: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Git commit messages mostly reflect the functional requirement changes.</w:t>
            </w:r>
          </w:p>
        </w:tc>
        <w:tc>
          <w:tcPr>
            <w:tcW w:w="3356" w:type="dxa"/>
          </w:tcPr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README briefly</w:t>
            </w:r>
            <w:r w:rsidRPr="00E33A2A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describes how to set the environment for development, run tests &amp; deploy the application.</w:t>
            </w:r>
          </w:p>
          <w:p w:rsidR="00870A85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Some git branches named with convention &amp; contain the correct code relating to the functional requirement.</w:t>
            </w: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Some git commit messages reflect the functional requirement changes.</w:t>
            </w:r>
          </w:p>
        </w:tc>
        <w:tc>
          <w:tcPr>
            <w:tcW w:w="3357" w:type="dxa"/>
          </w:tcPr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README does not or does not fully describe how to set the environment for development, run tests &amp; deploy the application.</w:t>
            </w: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Git branches are not or are not fully named with convention &amp; do not or do not fully contain the correct code relating to the functional requirement.</w:t>
            </w: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Git commit messages do not or do not fully reflect the functional requirement changes.</w:t>
            </w:r>
          </w:p>
        </w:tc>
      </w:tr>
    </w:tbl>
    <w:p w:rsidR="007C6AB6" w:rsidRDefault="007C6AB6" w:rsidP="006741E0">
      <w:pPr>
        <w:rPr>
          <w:lang w:val="en-AU"/>
        </w:rPr>
        <w:sectPr w:rsidR="007C6AB6" w:rsidSect="006741E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27375E" w:rsidRPr="0027375E" w:rsidRDefault="0027375E" w:rsidP="0027375E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lastRenderedPageBreak/>
        <w:t>Assessment 0</w:t>
      </w:r>
      <w:r w:rsidR="007E08A2">
        <w:rPr>
          <w:b/>
          <w:bCs/>
          <w:color w:val="000000" w:themeColor="text1"/>
          <w:sz w:val="52"/>
          <w:szCs w:val="52"/>
          <w:lang w:val="en-AU"/>
        </w:rPr>
        <w:t>2</w:t>
      </w:r>
      <w:r>
        <w:rPr>
          <w:b/>
          <w:bCs/>
          <w:color w:val="000000" w:themeColor="text1"/>
          <w:sz w:val="52"/>
          <w:szCs w:val="52"/>
          <w:lang w:val="en-AU"/>
        </w:rPr>
        <w:t xml:space="preserve">: </w:t>
      </w:r>
      <w:r w:rsidR="007E08A2">
        <w:rPr>
          <w:b/>
          <w:bCs/>
          <w:color w:val="000000" w:themeColor="text1"/>
          <w:sz w:val="52"/>
          <w:szCs w:val="52"/>
          <w:lang w:val="en-AU"/>
        </w:rPr>
        <w:t>Django REST Framework, React &amp;</w:t>
      </w:r>
      <w:r w:rsidR="00580BE9">
        <w:rPr>
          <w:b/>
          <w:bCs/>
          <w:color w:val="000000" w:themeColor="text1"/>
          <w:sz w:val="52"/>
          <w:szCs w:val="52"/>
          <w:lang w:val="en-AU"/>
        </w:rPr>
        <w:t xml:space="preserve"> OpenTDB API </w:t>
      </w:r>
      <w:r>
        <w:rPr>
          <w:b/>
          <w:bCs/>
          <w:color w:val="000000" w:themeColor="text1"/>
          <w:sz w:val="52"/>
          <w:szCs w:val="52"/>
          <w:lang w:val="en-AU"/>
        </w:rPr>
        <w:t>Marking Cover Sheet</w:t>
      </w:r>
    </w:p>
    <w:p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  <w:u w:val="single"/>
        </w:rPr>
      </w:pPr>
      <w:r w:rsidRPr="00024428">
        <w:rPr>
          <w:sz w:val="24"/>
          <w:szCs w:val="24"/>
        </w:rPr>
        <w:t>Name:</w:t>
      </w:r>
      <w:r w:rsidRPr="00024428">
        <w:rPr>
          <w:sz w:val="24"/>
          <w:szCs w:val="24"/>
          <w:u w:val="single"/>
        </w:rPr>
        <w:t xml:space="preserve"> 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  <w:u w:val="single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Date: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Learner ID: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Name: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Signature:</w:t>
      </w:r>
    </w:p>
    <w:p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Tr="00C05FDA">
        <w:tc>
          <w:tcPr>
            <w:tcW w:w="283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Final Result</w:t>
            </w:r>
          </w:p>
        </w:tc>
      </w:tr>
      <w:tr w:rsidR="0027375E" w:rsidTr="00C05FDA">
        <w:tc>
          <w:tcPr>
            <w:tcW w:w="2830" w:type="dxa"/>
            <w:shd w:val="clear" w:color="auto" w:fill="E7E6E6" w:themeFill="background2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Functionality &amp; Robustness</w:t>
            </w:r>
          </w:p>
        </w:tc>
        <w:tc>
          <w:tcPr>
            <w:tcW w:w="2060" w:type="dxa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</w:t>
            </w:r>
            <w:r w:rsidR="00EB7357">
              <w:t>0</w:t>
            </w:r>
          </w:p>
        </w:tc>
        <w:tc>
          <w:tcPr>
            <w:tcW w:w="2060" w:type="dxa"/>
          </w:tcPr>
          <w:p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Tr="00C05FDA">
        <w:tc>
          <w:tcPr>
            <w:tcW w:w="2830" w:type="dxa"/>
            <w:shd w:val="clear" w:color="auto" w:fill="E7E6E6" w:themeFill="background2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Code Elegance</w:t>
            </w:r>
          </w:p>
        </w:tc>
        <w:tc>
          <w:tcPr>
            <w:tcW w:w="2060" w:type="dxa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:rsidR="0027375E" w:rsidRDefault="00EB7357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Tr="00C05FDA">
        <w:tc>
          <w:tcPr>
            <w:tcW w:w="2830" w:type="dxa"/>
            <w:shd w:val="clear" w:color="auto" w:fill="E7E6E6" w:themeFill="background2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Documentation &amp; Git Usage</w:t>
            </w:r>
          </w:p>
        </w:tc>
        <w:tc>
          <w:tcPr>
            <w:tcW w:w="2060" w:type="dxa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260866">
              <w:t>0</w:t>
            </w:r>
          </w:p>
        </w:tc>
        <w:tc>
          <w:tcPr>
            <w:tcW w:w="2060" w:type="dxa"/>
          </w:tcPr>
          <w:p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Tr="001D12C7">
        <w:tc>
          <w:tcPr>
            <w:tcW w:w="6950" w:type="dxa"/>
            <w:gridSpan w:val="3"/>
            <w:shd w:val="clear" w:color="auto" w:fill="E7E6E6" w:themeFill="background2"/>
          </w:tcPr>
          <w:p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A4556A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:rsid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/100</w:t>
            </w:r>
          </w:p>
        </w:tc>
      </w:tr>
      <w:tr w:rsidR="00A4556A" w:rsidTr="0073287F">
        <w:tc>
          <w:tcPr>
            <w:tcW w:w="9010" w:type="dxa"/>
            <w:gridSpan w:val="4"/>
            <w:shd w:val="clear" w:color="auto" w:fill="E7E6E6" w:themeFill="background2"/>
          </w:tcPr>
          <w:p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This assessment is worth </w:t>
            </w:r>
            <w:r w:rsidR="004A68B0">
              <w:rPr>
                <w:b/>
                <w:bCs/>
              </w:rPr>
              <w:t>25</w:t>
            </w:r>
            <w:bookmarkStart w:id="0" w:name="_GoBack"/>
            <w:bookmarkEnd w:id="0"/>
            <w:r>
              <w:rPr>
                <w:b/>
                <w:bCs/>
              </w:rPr>
              <w:t xml:space="preserve">% of the final mark for the </w:t>
            </w:r>
            <w:r w:rsidR="00260866">
              <w:rPr>
                <w:b/>
                <w:bCs/>
              </w:rPr>
              <w:t xml:space="preserve">Intermediate Application Development </w:t>
            </w:r>
            <w:r>
              <w:rPr>
                <w:b/>
                <w:bCs/>
              </w:rPr>
              <w:t>course.</w:t>
            </w:r>
          </w:p>
        </w:tc>
      </w:tr>
    </w:tbl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:rsidR="0027375E" w:rsidRPr="00024428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Feedback:</w:t>
      </w:r>
    </w:p>
    <w:sectPr w:rsidR="0027375E" w:rsidRPr="00024428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26F16" w:rsidRDefault="00426F16" w:rsidP="0027375E">
      <w:r>
        <w:separator/>
      </w:r>
    </w:p>
  </w:endnote>
  <w:endnote w:type="continuationSeparator" w:id="0">
    <w:p w:rsidR="00426F16" w:rsidRDefault="00426F16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B7357" w:rsidRDefault="00EB73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375E" w:rsidRPr="0027375E" w:rsidRDefault="00260866">
    <w:pPr>
      <w:pStyle w:val="Footer"/>
      <w:rPr>
        <w:sz w:val="20"/>
        <w:szCs w:val="20"/>
      </w:rPr>
    </w:pPr>
    <w:r>
      <w:rPr>
        <w:sz w:val="20"/>
        <w:szCs w:val="20"/>
      </w:rPr>
      <w:t>Django</w:t>
    </w:r>
    <w:r w:rsidR="00EB240D">
      <w:rPr>
        <w:sz w:val="20"/>
        <w:szCs w:val="20"/>
      </w:rPr>
      <w:t xml:space="preserve"> REST Framework, React</w:t>
    </w:r>
    <w:r>
      <w:rPr>
        <w:sz w:val="20"/>
        <w:szCs w:val="20"/>
      </w:rPr>
      <w:t xml:space="preserve"> &amp; OpenTDB API</w:t>
    </w:r>
    <w:r w:rsidR="0027375E" w:rsidRPr="0027375E">
      <w:rPr>
        <w:sz w:val="20"/>
        <w:szCs w:val="20"/>
      </w:rPr>
      <w:t xml:space="preserve"> </w:t>
    </w:r>
  </w:p>
  <w:p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EB7357">
      <w:rPr>
        <w:sz w:val="20"/>
        <w:szCs w:val="20"/>
      </w:rPr>
      <w:t>2</w:t>
    </w:r>
    <w:r w:rsidRPr="0027375E">
      <w:rPr>
        <w:sz w:val="20"/>
        <w:szCs w:val="20"/>
      </w:rPr>
      <w:t>, 202</w:t>
    </w:r>
    <w:r w:rsidR="00EB7357">
      <w:rPr>
        <w:sz w:val="20"/>
        <w:szCs w:val="20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B7357" w:rsidRDefault="00EB73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26F16" w:rsidRDefault="00426F16" w:rsidP="0027375E">
      <w:r>
        <w:separator/>
      </w:r>
    </w:p>
  </w:footnote>
  <w:footnote w:type="continuationSeparator" w:id="0">
    <w:p w:rsidR="00426F16" w:rsidRDefault="00426F16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B7357" w:rsidRDefault="00EB73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B7357" w:rsidRDefault="00EB73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24428"/>
    <w:rsid w:val="000A48AC"/>
    <w:rsid w:val="00241A44"/>
    <w:rsid w:val="00260866"/>
    <w:rsid w:val="0027375E"/>
    <w:rsid w:val="002F341B"/>
    <w:rsid w:val="003139CA"/>
    <w:rsid w:val="00317CA7"/>
    <w:rsid w:val="00357437"/>
    <w:rsid w:val="00426F16"/>
    <w:rsid w:val="004A68B0"/>
    <w:rsid w:val="004B20F7"/>
    <w:rsid w:val="00540F59"/>
    <w:rsid w:val="00580BE9"/>
    <w:rsid w:val="005B3A35"/>
    <w:rsid w:val="00625477"/>
    <w:rsid w:val="006741E0"/>
    <w:rsid w:val="007C6AB6"/>
    <w:rsid w:val="007E08A2"/>
    <w:rsid w:val="00805FF0"/>
    <w:rsid w:val="00816C5A"/>
    <w:rsid w:val="00870A85"/>
    <w:rsid w:val="0088380E"/>
    <w:rsid w:val="00942703"/>
    <w:rsid w:val="00A22F83"/>
    <w:rsid w:val="00A27CDD"/>
    <w:rsid w:val="00A32266"/>
    <w:rsid w:val="00A4556A"/>
    <w:rsid w:val="00B00D94"/>
    <w:rsid w:val="00B8466A"/>
    <w:rsid w:val="00BB0B1D"/>
    <w:rsid w:val="00C05FDA"/>
    <w:rsid w:val="00C207DB"/>
    <w:rsid w:val="00C322E1"/>
    <w:rsid w:val="00C656DF"/>
    <w:rsid w:val="00C76227"/>
    <w:rsid w:val="00CB78B3"/>
    <w:rsid w:val="00CC56D4"/>
    <w:rsid w:val="00CC65EB"/>
    <w:rsid w:val="00CC70F4"/>
    <w:rsid w:val="00CE2F02"/>
    <w:rsid w:val="00E2521A"/>
    <w:rsid w:val="00E373CA"/>
    <w:rsid w:val="00E60A90"/>
    <w:rsid w:val="00EB240D"/>
    <w:rsid w:val="00EB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47467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870A8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5</cp:revision>
  <cp:lastPrinted>2020-10-14T18:22:00Z</cp:lastPrinted>
  <dcterms:created xsi:type="dcterms:W3CDTF">2020-10-14T18:22:00Z</dcterms:created>
  <dcterms:modified xsi:type="dcterms:W3CDTF">2021-02-20T12:10:00Z</dcterms:modified>
</cp:coreProperties>
</file>