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59A1C" w14:textId="77777777" w:rsidR="008F6EA0" w:rsidRPr="008F6EA0" w:rsidRDefault="008F6EA0" w:rsidP="008F6EA0">
      <w:pPr>
        <w:bidi w:val="0"/>
        <w:rPr>
          <w:b/>
          <w:bCs/>
        </w:rPr>
      </w:pPr>
      <w:r>
        <w:rPr>
          <w:b/>
          <w:bCs/>
        </w:rPr>
        <w:t>Power BI Project Report: Term Deposit Marketing Campaign</w:t>
      </w:r>
    </w:p>
    <w:p w14:paraId="4A160D25" w14:textId="77777777" w:rsidR="008F6EA0" w:rsidRPr="008F6EA0" w:rsidRDefault="008F6EA0" w:rsidP="008F6EA0">
      <w:pPr>
        <w:bidi w:val="0"/>
        <w:rPr>
          <w:b/>
          <w:bCs/>
        </w:rPr>
      </w:pPr>
      <w:r>
        <w:rPr>
          <w:b/>
          <w:bCs/>
        </w:rPr>
        <w:t>1. Introduction</w:t>
      </w:r>
    </w:p>
    <w:p w14:paraId="4B0330B6" w14:textId="77777777" w:rsidR="008F6EA0" w:rsidRPr="008F6EA0" w:rsidRDefault="008F6EA0" w:rsidP="008F6EA0">
      <w:pPr>
        <w:bidi w:val="0"/>
      </w:pPr>
      <w:r>
        <w:t>This report analyzes the effectiveness of telephonic marketing campaigns for term deposits at a Portuguese bank. The goal is to predict customer subscription to term deposits based on various demographic and financial factors.</w:t>
      </w:r>
    </w:p>
    <w:p w14:paraId="5470A203" w14:textId="77777777" w:rsidR="008F6EA0" w:rsidRPr="008F6EA0" w:rsidRDefault="008F6EA0" w:rsidP="008F6EA0">
      <w:pPr>
        <w:bidi w:val="0"/>
        <w:rPr>
          <w:b/>
          <w:bCs/>
        </w:rPr>
      </w:pPr>
      <w:r>
        <w:rPr>
          <w:b/>
          <w:bCs/>
        </w:rPr>
        <w:t>2. Dataset Overview</w:t>
      </w:r>
    </w:p>
    <w:p w14:paraId="00043C83" w14:textId="77777777" w:rsidR="008F6EA0" w:rsidRPr="008F6EA0" w:rsidRDefault="008F6EA0" w:rsidP="008F6EA0">
      <w:pPr>
        <w:numPr>
          <w:ilvl w:val="0"/>
          <w:numId w:val="1"/>
        </w:numPr>
        <w:bidi w:val="0"/>
      </w:pPr>
      <w:r>
        <w:rPr>
          <w:b/>
          <w:bCs/>
        </w:rPr>
        <w:t>Source</w:t>
      </w:r>
      <w:r>
        <w:t>: Marketing campaigns of a Portuguese banking institution.</w:t>
      </w:r>
    </w:p>
    <w:p w14:paraId="3D9224E3" w14:textId="77777777" w:rsidR="008F6EA0" w:rsidRPr="008F6EA0" w:rsidRDefault="008F6EA0" w:rsidP="008F6EA0">
      <w:pPr>
        <w:numPr>
          <w:ilvl w:val="0"/>
          <w:numId w:val="1"/>
        </w:numPr>
        <w:bidi w:val="0"/>
      </w:pPr>
      <w:r>
        <w:rPr>
          <w:b/>
          <w:bCs/>
        </w:rPr>
        <w:t>Target Variable</w:t>
      </w:r>
      <w:r>
        <w:t>: Subscription to term deposits (y).</w:t>
      </w:r>
    </w:p>
    <w:p w14:paraId="2A9DF441" w14:textId="77777777" w:rsidR="008F6EA0" w:rsidRPr="008F6EA0" w:rsidRDefault="008F6EA0" w:rsidP="008F6EA0">
      <w:pPr>
        <w:numPr>
          <w:ilvl w:val="0"/>
          <w:numId w:val="1"/>
        </w:numPr>
        <w:bidi w:val="0"/>
      </w:pPr>
      <w:r>
        <w:rPr>
          <w:b/>
          <w:bCs/>
        </w:rPr>
        <w:t>Key Metrics</w:t>
      </w:r>
      <w:r>
        <w:t>:</w:t>
      </w:r>
    </w:p>
    <w:p w14:paraId="08B03683" w14:textId="77777777" w:rsidR="008F6EA0" w:rsidRPr="008F6EA0" w:rsidRDefault="008F6EA0" w:rsidP="008F6EA0">
      <w:pPr>
        <w:numPr>
          <w:ilvl w:val="1"/>
          <w:numId w:val="1"/>
        </w:numPr>
        <w:bidi w:val="0"/>
      </w:pPr>
      <w:r>
        <w:t>Average Age of Customers: 40.94 years</w:t>
      </w:r>
    </w:p>
    <w:p w14:paraId="6B27EB58" w14:textId="77777777" w:rsidR="008F6EA0" w:rsidRPr="008F6EA0" w:rsidRDefault="008F6EA0" w:rsidP="008F6EA0">
      <w:pPr>
        <w:numPr>
          <w:ilvl w:val="1"/>
          <w:numId w:val="1"/>
        </w:numPr>
        <w:bidi w:val="0"/>
      </w:pPr>
      <w:r>
        <w:t>Average Balance: €1.36K</w:t>
      </w:r>
    </w:p>
    <w:p w14:paraId="757C922A" w14:textId="77777777" w:rsidR="008F6EA0" w:rsidRPr="008F6EA0" w:rsidRDefault="008F6EA0" w:rsidP="008F6EA0">
      <w:pPr>
        <w:numPr>
          <w:ilvl w:val="1"/>
          <w:numId w:val="1"/>
        </w:numPr>
        <w:bidi w:val="0"/>
      </w:pPr>
      <w:r>
        <w:t>Customers with Housing Loans: 25,130</w:t>
      </w:r>
    </w:p>
    <w:p w14:paraId="4700578F" w14:textId="77777777" w:rsidR="008F6EA0" w:rsidRPr="008F6EA0" w:rsidRDefault="008F6EA0" w:rsidP="008F6EA0">
      <w:pPr>
        <w:numPr>
          <w:ilvl w:val="1"/>
          <w:numId w:val="1"/>
        </w:numPr>
        <w:bidi w:val="0"/>
      </w:pPr>
      <w:r>
        <w:t>Customers with Personal Loans: 7,244</w:t>
      </w:r>
    </w:p>
    <w:p w14:paraId="732BDDFD" w14:textId="77777777" w:rsidR="008F6EA0" w:rsidRPr="008F6EA0" w:rsidRDefault="008F6EA0" w:rsidP="008F6EA0">
      <w:pPr>
        <w:numPr>
          <w:ilvl w:val="1"/>
          <w:numId w:val="1"/>
        </w:numPr>
        <w:bidi w:val="0"/>
      </w:pPr>
      <w:r>
        <w:t>Credit Default Count: 815</w:t>
      </w:r>
    </w:p>
    <w:p w14:paraId="74F03954" w14:textId="77777777" w:rsidR="008F6EA0" w:rsidRPr="008F6EA0" w:rsidRDefault="008F6EA0" w:rsidP="008F6EA0">
      <w:pPr>
        <w:numPr>
          <w:ilvl w:val="1"/>
          <w:numId w:val="1"/>
        </w:numPr>
        <w:bidi w:val="0"/>
      </w:pPr>
      <w:r>
        <w:t>Conversion Rate: 5,289 customers accepted the offer.</w:t>
      </w:r>
    </w:p>
    <w:p w14:paraId="3ED446A0" w14:textId="77777777" w:rsidR="008F6EA0" w:rsidRPr="008F6EA0" w:rsidRDefault="008F6EA0" w:rsidP="008F6EA0">
      <w:pPr>
        <w:bidi w:val="0"/>
        <w:rPr>
          <w:b/>
          <w:bCs/>
        </w:rPr>
      </w:pPr>
      <w:r>
        <w:rPr>
          <w:b/>
          <w:bCs/>
        </w:rPr>
        <w:t>3. Data Analysis</w:t>
      </w:r>
    </w:p>
    <w:p w14:paraId="70A62C62" w14:textId="77777777" w:rsidR="008F6EA0" w:rsidRPr="008F6EA0" w:rsidRDefault="008F6EA0" w:rsidP="008F6EA0">
      <w:pPr>
        <w:bidi w:val="0"/>
        <w:rPr>
          <w:b/>
          <w:bCs/>
        </w:rPr>
      </w:pPr>
      <w:r>
        <w:rPr>
          <w:b/>
          <w:bCs/>
        </w:rPr>
        <w:t>3.1 Customer Demographics</w:t>
      </w:r>
    </w:p>
    <w:p w14:paraId="320197A6" w14:textId="77777777" w:rsidR="008F6EA0" w:rsidRPr="008F6EA0" w:rsidRDefault="008F6EA0" w:rsidP="008F6EA0">
      <w:pPr>
        <w:numPr>
          <w:ilvl w:val="0"/>
          <w:numId w:val="2"/>
        </w:numPr>
        <w:bidi w:val="0"/>
      </w:pPr>
      <w:r>
        <w:rPr>
          <w:b/>
          <w:bCs/>
        </w:rPr>
        <w:t>Age Distribution</w:t>
      </w:r>
      <w:r>
        <w:t>: Conversion rate is highest among customers aged 65+ (42.6%) and under 25 (24.0%), while customers aged 35-54 convert at only 9-9.4%. Older and younger customers are far more responsive than the middle-aged core of the working population.</w:t>
      </w:r>
    </w:p>
    <w:p w14:paraId="02239273" w14:textId="77777777" w:rsidR="008F6EA0" w:rsidRPr="008F6EA0" w:rsidRDefault="008F6EA0" w:rsidP="008F6EA0">
      <w:pPr>
        <w:numPr>
          <w:ilvl w:val="0"/>
          <w:numId w:val="2"/>
        </w:numPr>
        <w:bidi w:val="0"/>
      </w:pPr>
      <w:r>
        <w:rPr>
          <w:b/>
          <w:bCs/>
        </w:rPr>
        <w:t>Job Type Distribution</w:t>
      </w:r>
      <w:r>
        <w:t>: Students (28.7%) and retirees (22.8%) convert at more than double the rate of management (13.8%) or admin roles (12.2%), while blue-collar workers convert least (7.3%).</w:t>
      </w:r>
    </w:p>
    <w:p w14:paraId="29B602C5" w14:textId="77777777" w:rsidR="008F6EA0" w:rsidRPr="008F6EA0" w:rsidRDefault="008F6EA0" w:rsidP="008F6EA0">
      <w:pPr>
        <w:numPr>
          <w:ilvl w:val="0"/>
          <w:numId w:val="2"/>
        </w:numPr>
        <w:bidi w:val="0"/>
      </w:pPr>
      <w:r>
        <w:rPr>
          <w:b/>
          <w:bCs/>
        </w:rPr>
        <w:t>Marital Status</w:t>
      </w:r>
      <w:r>
        <w:t>: Single customers convert at the highest rate (15.0%), followed by divorced (12.0%) and married customers (10.1%).</w:t>
      </w:r>
    </w:p>
    <w:p w14:paraId="469513DD" w14:textId="77777777" w:rsidR="008F6EA0" w:rsidRPr="008F6EA0" w:rsidRDefault="008F6EA0" w:rsidP="008F6EA0">
      <w:pPr>
        <w:numPr>
          <w:ilvl w:val="0"/>
          <w:numId w:val="2"/>
        </w:numPr>
        <w:bidi w:val="0"/>
      </w:pPr>
      <w:r>
        <w:rPr>
          <w:b/>
          <w:bCs/>
        </w:rPr>
        <w:t>Education Levels</w:t>
      </w:r>
      <w:r>
        <w:t>: Customers with tertiary education convert at the highest rate (15.0%), compared to secondary (10.6%) and primary education (8.6%).</w:t>
      </w:r>
    </w:p>
    <w:p w14:paraId="6027DD06" w14:textId="77777777" w:rsidR="008F6EA0" w:rsidRPr="008F6EA0" w:rsidRDefault="008F6EA0" w:rsidP="008F6EA0">
      <w:pPr>
        <w:bidi w:val="0"/>
        <w:rPr>
          <w:b/>
          <w:bCs/>
        </w:rPr>
      </w:pPr>
      <w:r>
        <w:rPr>
          <w:b/>
          <w:bCs/>
        </w:rPr>
        <w:t>3.2 Financial Status</w:t>
      </w:r>
    </w:p>
    <w:p w14:paraId="745723EA" w14:textId="77777777" w:rsidR="008F6EA0" w:rsidRPr="008F6EA0" w:rsidRDefault="008F6EA0" w:rsidP="008F6EA0">
      <w:pPr>
        <w:numPr>
          <w:ilvl w:val="0"/>
          <w:numId w:val="3"/>
        </w:numPr>
        <w:bidi w:val="0"/>
      </w:pPr>
      <w:r>
        <w:rPr>
          <w:b/>
          <w:bCs/>
        </w:rPr>
        <w:t>Average Balance</w:t>
      </w:r>
      <w:r>
        <w:t>: Customers who subscribed held an average balance of €1,804, compared to €1,304 for those who did not - higher-balance customers are more likely to convert.</w:t>
      </w:r>
    </w:p>
    <w:p w14:paraId="4E09C80F" w14:textId="77777777" w:rsidR="008F6EA0" w:rsidRPr="008F6EA0" w:rsidRDefault="008F6EA0" w:rsidP="008F6EA0">
      <w:pPr>
        <w:numPr>
          <w:ilvl w:val="0"/>
          <w:numId w:val="3"/>
        </w:numPr>
        <w:bidi w:val="0"/>
      </w:pPr>
      <w:r>
        <w:rPr>
          <w:b/>
          <w:bCs/>
        </w:rPr>
        <w:t>Loan Status</w:t>
      </w:r>
      <w:r>
        <w:t>: Customers without a housing loan convert more than twice as often as those with one (16.7% vs 7.7%). The same pattern holds for personal loans (12.7% vs 6.7%). Existing debt is strongly associated with lower conversion.</w:t>
      </w:r>
    </w:p>
    <w:p w14:paraId="684CD19F" w14:textId="77777777" w:rsidR="008F6EA0" w:rsidRPr="008F6EA0" w:rsidRDefault="008F6EA0" w:rsidP="008F6EA0">
      <w:pPr>
        <w:bidi w:val="0"/>
        <w:rPr>
          <w:b/>
          <w:bCs/>
        </w:rPr>
      </w:pPr>
      <w:r>
        <w:rPr>
          <w:b/>
          <w:bCs/>
        </w:rPr>
        <w:t>3.3 Campaign Effectiveness</w:t>
      </w:r>
    </w:p>
    <w:p w14:paraId="6612A95C" w14:textId="77777777" w:rsidR="008F6EA0" w:rsidRPr="008F6EA0" w:rsidRDefault="008F6EA0" w:rsidP="008F6EA0">
      <w:pPr>
        <w:numPr>
          <w:ilvl w:val="0"/>
          <w:numId w:val="4"/>
        </w:numPr>
        <w:bidi w:val="0"/>
      </w:pPr>
      <w:r>
        <w:rPr>
          <w:b/>
          <w:bCs/>
        </w:rPr>
        <w:lastRenderedPageBreak/>
        <w:t>Success Rate of Previous Campaigns</w:t>
      </w:r>
      <w:r>
        <w:t>: Customers who subscribed in a previous campaign convert at 64.7% this time, versus 9-17% for everyone else. Prior positive contact is the single strongest predictor of conversion in the dataset.</w:t>
      </w:r>
    </w:p>
    <w:p w14:paraId="74F81E23" w14:textId="77777777" w:rsidR="008F6EA0" w:rsidRPr="008F6EA0" w:rsidRDefault="008F6EA0" w:rsidP="008F6EA0">
      <w:pPr>
        <w:numPr>
          <w:ilvl w:val="0"/>
          <w:numId w:val="4"/>
        </w:numPr>
        <w:bidi w:val="0"/>
      </w:pPr>
      <w:r>
        <w:rPr>
          <w:b/>
          <w:bCs/>
        </w:rPr>
        <w:t>Contact Day Distribution</w:t>
      </w:r>
      <w:r>
        <w:t>: Conversion rate varies by day of month, with the 1st, 10th and 30th showing the highest rates (23-28%). These days also had lower contact volumes, so the pattern should be treated as directional rather than conclusive.</w:t>
      </w:r>
    </w:p>
    <w:p w14:paraId="6DA91E3F" w14:textId="77777777" w:rsidR="008F6EA0" w:rsidRPr="008F6EA0" w:rsidRDefault="008F6EA0" w:rsidP="008F6EA0">
      <w:pPr>
        <w:numPr>
          <w:ilvl w:val="0"/>
          <w:numId w:val="4"/>
        </w:numPr>
        <w:bidi w:val="0"/>
      </w:pPr>
      <w:r>
        <w:rPr>
          <w:b/>
          <w:bCs/>
        </w:rPr>
        <w:t>Active Months</w:t>
      </w:r>
      <w:r>
        <w:t>: March (52.0%), December (46.7%) and September (46.5%) have by far the highest conversion rates, while May - the month with the most calls - converts at only 6.7%. Campaign volume is currently concentrated in the least effective month.</w:t>
      </w:r>
    </w:p>
    <w:p w14:paraId="0BFA48B5" w14:textId="77777777" w:rsidR="008F6EA0" w:rsidRPr="008F6EA0" w:rsidRDefault="008F6EA0" w:rsidP="008F6EA0">
      <w:pPr>
        <w:bidi w:val="0"/>
        <w:rPr>
          <w:b/>
          <w:bCs/>
        </w:rPr>
      </w:pPr>
      <w:r>
        <w:rPr>
          <w:b/>
          <w:bCs/>
        </w:rPr>
        <w:t>4. Visualizations</w:t>
      </w:r>
    </w:p>
    <w:p w14:paraId="1BC3F7EF" w14:textId="77777777" w:rsidR="008F6EA0" w:rsidRPr="008F6EA0" w:rsidRDefault="008F6EA0" w:rsidP="008F6EA0">
      <w:pPr>
        <w:numPr>
          <w:ilvl w:val="0"/>
          <w:numId w:val="5"/>
        </w:numPr>
        <w:bidi w:val="0"/>
      </w:pPr>
      <w:r>
        <w:rPr>
          <w:b/>
          <w:bCs/>
        </w:rPr>
        <w:t>Demographic Analysis</w:t>
      </w:r>
      <w:r>
        <w:t>: Use bar charts and pie charts to present customer demographics.</w:t>
      </w:r>
    </w:p>
    <w:p w14:paraId="480B5DCC" w14:textId="77777777" w:rsidR="008F6EA0" w:rsidRPr="008F6EA0" w:rsidRDefault="008F6EA0" w:rsidP="008F6EA0">
      <w:pPr>
        <w:numPr>
          <w:ilvl w:val="0"/>
          <w:numId w:val="5"/>
        </w:numPr>
        <w:bidi w:val="0"/>
      </w:pPr>
      <w:r>
        <w:rPr>
          <w:b/>
          <w:bCs/>
        </w:rPr>
        <w:t>Conversion Rates</w:t>
      </w:r>
      <w:r>
        <w:t>: Create line graphs to visualize conversion rates over time.</w:t>
      </w:r>
    </w:p>
    <w:p w14:paraId="771A2A01" w14:textId="77777777" w:rsidR="008F6EA0" w:rsidRPr="008F6EA0" w:rsidRDefault="008F6EA0" w:rsidP="008F6EA0">
      <w:pPr>
        <w:numPr>
          <w:ilvl w:val="0"/>
          <w:numId w:val="5"/>
        </w:numPr>
        <w:bidi w:val="0"/>
      </w:pPr>
      <w:r>
        <w:rPr>
          <w:b/>
          <w:bCs/>
        </w:rPr>
        <w:t>Loan Comparisons</w:t>
      </w:r>
      <w:r>
        <w:t>: Utilize stacked bar charts to compare customers with and without loans.</w:t>
      </w:r>
    </w:p>
    <w:p w14:paraId="41CA72D5" w14:textId="77777777" w:rsidR="008F6EA0" w:rsidRPr="008F6EA0" w:rsidRDefault="008F6EA0" w:rsidP="008F6EA0">
      <w:pPr>
        <w:bidi w:val="0"/>
        <w:rPr>
          <w:b/>
          <w:bCs/>
        </w:rPr>
      </w:pPr>
      <w:r>
        <w:rPr>
          <w:b/>
          <w:bCs/>
        </w:rPr>
        <w:t>5. Insights and Recommendations</w:t>
      </w:r>
    </w:p>
    <w:p w14:paraId="0EA422A2" w14:textId="77777777" w:rsidR="008F6EA0" w:rsidRPr="008F6EA0" w:rsidRDefault="008F6EA0" w:rsidP="008F6EA0">
      <w:pPr>
        <w:numPr>
          <w:ilvl w:val="0"/>
          <w:numId w:val="6"/>
        </w:numPr>
        <w:bidi w:val="0"/>
      </w:pPr>
      <w:r>
        <w:rPr>
          <w:b/>
          <w:bCs/>
        </w:rPr>
        <w:t>Targeted Marketing</w:t>
      </w:r>
      <w:r>
        <w:t>: Prioritize retirees and students, customers aged 65+ or under 25, and customers with tertiary education and no existing housing or personal loan - these segments convert at 2-4x the average rate. Re-contacting customers who accepted a previous campaign should be a standing priority given their 64.7% conversion rate.</w:t>
      </w:r>
    </w:p>
    <w:p w14:paraId="49D15EBE" w14:textId="77777777" w:rsidR="008F6EA0" w:rsidRPr="008F6EA0" w:rsidRDefault="008F6EA0" w:rsidP="008F6EA0">
      <w:pPr>
        <w:numPr>
          <w:ilvl w:val="0"/>
          <w:numId w:val="6"/>
        </w:numPr>
        <w:bidi w:val="0"/>
      </w:pPr>
      <w:r>
        <w:rPr>
          <w:b/>
          <w:bCs/>
        </w:rPr>
        <w:t>Optimized Contact Timing</w:t>
      </w:r>
      <w:r>
        <w:t>: Shift campaign volume toward March, September and December, which convert at 46-52%, and away from May, which currently receives the most calls but converts at only 6.7%.</w:t>
      </w:r>
    </w:p>
    <w:p w14:paraId="002C7A37" w14:textId="77777777" w:rsidR="008F6EA0" w:rsidRPr="008F6EA0" w:rsidRDefault="008F6EA0" w:rsidP="008F6EA0">
      <w:pPr>
        <w:numPr>
          <w:ilvl w:val="0"/>
          <w:numId w:val="6"/>
        </w:numPr>
        <w:bidi w:val="0"/>
      </w:pPr>
      <w:r>
        <w:rPr>
          <w:b/>
          <w:bCs/>
        </w:rPr>
        <w:t>Increased Investment in Successful Channels</w:t>
      </w:r>
      <w:r>
        <w:t>: Cellular contact converts at 14.9% and telephone at 13.4%, compared to just 4.1% when the contact method is unknown. Prioritizing cellular and telephone contact over untracked channels should improve overall campaign efficiency.</w:t>
      </w:r>
    </w:p>
    <w:p w14:paraId="455945A1" w14:textId="77777777" w:rsidR="008F6EA0" w:rsidRPr="008F6EA0" w:rsidRDefault="008F6EA0" w:rsidP="008F6EA0">
      <w:pPr>
        <w:bidi w:val="0"/>
        <w:rPr>
          <w:b/>
          <w:bCs/>
        </w:rPr>
      </w:pPr>
      <w:r>
        <w:rPr>
          <w:b/>
          <w:bCs/>
        </w:rPr>
        <w:t>6. Conclusion</w:t>
      </w:r>
    </w:p>
    <w:p w14:paraId="54162C2C" w14:textId="34837557" w:rsidR="00A64F03" w:rsidRDefault="008F6EA0" w:rsidP="008F6EA0">
      <w:pPr>
        <w:bidi w:val="0"/>
      </w:pPr>
      <w:r>
        <w:t>The analysis aims to provide actionable insights to improve the effectiveness of telephonic marketing campaigns for term deposits, ultimately increasing conversion rates and enhancing customer engagement.</w:t>
      </w:r>
    </w:p>
    <w:p w14:paraId="23782835" w14:textId="77777777" w:rsidR="005769DA" w:rsidRPr="005769DA" w:rsidRDefault="005769DA" w:rsidP="005769DA">
      <w:pPr>
        <w:bidi w:val="0"/>
        <w:rPr>
          <w:b/>
          <w:bCs/>
        </w:rPr>
      </w:pPr>
      <w:r>
        <w:rPr>
          <w:b/>
          <w:bCs/>
        </w:rPr>
        <w:t>7. Next Steps</w:t>
      </w:r>
    </w:p>
    <w:p w14:paraId="53AB5078" w14:textId="77777777" w:rsidR="005769DA" w:rsidRPr="005769DA" w:rsidRDefault="005769DA" w:rsidP="005769DA">
      <w:pPr>
        <w:numPr>
          <w:ilvl w:val="0"/>
          <w:numId w:val="8"/>
        </w:numPr>
        <w:bidi w:val="0"/>
      </w:pPr>
      <w:r>
        <w:rPr>
          <w:b/>
          <w:bCs/>
        </w:rPr>
        <w:t>Prepare a Live Power BI Dashboard:</w:t>
      </w:r>
      <w:r>
        <w:t xml:space="preserve"> Develop an interactive dashboard for ongoing monitoring of campaign performance and metrics.</w:t>
      </w:r>
    </w:p>
    <w:p w14:paraId="3628779A" w14:textId="09FF7776" w:rsidR="005769DA" w:rsidRDefault="005769DA" w:rsidP="005769DA">
      <w:pPr>
        <w:numPr>
          <w:ilvl w:val="0"/>
          <w:numId w:val="8"/>
        </w:numPr>
        <w:bidi w:val="0"/>
      </w:pPr>
      <w:r>
        <w:rPr>
          <w:b/>
          <w:bCs/>
        </w:rPr>
        <w:t>Continuous Dataset Updates:</w:t>
      </w:r>
      <w:r>
        <w:t xml:space="preserve"> Regularly update the dataset to refine predictions and strategies, ensuring the analysis remains relevant and accurate.</w:t>
      </w:r>
    </w:p>
    <w:sectPr w:rsidR="00576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955D0"/>
    <w:multiLevelType w:val="multilevel"/>
    <w:tmpl w:val="8614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C0139"/>
    <w:multiLevelType w:val="multilevel"/>
    <w:tmpl w:val="121A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FE68BB"/>
    <w:multiLevelType w:val="multilevel"/>
    <w:tmpl w:val="2A7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442AFE"/>
    <w:multiLevelType w:val="multilevel"/>
    <w:tmpl w:val="385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A30C8E"/>
    <w:multiLevelType w:val="multilevel"/>
    <w:tmpl w:val="8F9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E311B9"/>
    <w:multiLevelType w:val="multilevel"/>
    <w:tmpl w:val="577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690857"/>
    <w:multiLevelType w:val="multilevel"/>
    <w:tmpl w:val="3F24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6A56"/>
    <w:multiLevelType w:val="multilevel"/>
    <w:tmpl w:val="4B30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5545922">
    <w:abstractNumId w:val="6"/>
  </w:num>
  <w:num w:numId="2" w16cid:durableId="1012991965">
    <w:abstractNumId w:val="3"/>
  </w:num>
  <w:num w:numId="3" w16cid:durableId="959721381">
    <w:abstractNumId w:val="5"/>
  </w:num>
  <w:num w:numId="4" w16cid:durableId="836071673">
    <w:abstractNumId w:val="1"/>
  </w:num>
  <w:num w:numId="5" w16cid:durableId="1490902385">
    <w:abstractNumId w:val="4"/>
  </w:num>
  <w:num w:numId="6" w16cid:durableId="1673408605">
    <w:abstractNumId w:val="7"/>
  </w:num>
  <w:num w:numId="7" w16cid:durableId="433206360">
    <w:abstractNumId w:val="2"/>
  </w:num>
  <w:num w:numId="8" w16cid:durableId="66705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0FE9"/>
    <w:rsid w:val="00004E46"/>
    <w:rsid w:val="001D395A"/>
    <w:rsid w:val="00294084"/>
    <w:rsid w:val="002F6844"/>
    <w:rsid w:val="0039297C"/>
    <w:rsid w:val="004907B2"/>
    <w:rsid w:val="005769DA"/>
    <w:rsid w:val="00580028"/>
    <w:rsid w:val="005E4D00"/>
    <w:rsid w:val="007F7A4A"/>
    <w:rsid w:val="008A4EE2"/>
    <w:rsid w:val="008F6EA0"/>
    <w:rsid w:val="0090133D"/>
    <w:rsid w:val="009A722D"/>
    <w:rsid w:val="00A04DC4"/>
    <w:rsid w:val="00A64F03"/>
    <w:rsid w:val="00A80FE9"/>
    <w:rsid w:val="00BB0DD3"/>
    <w:rsid w:val="00BD4C6F"/>
    <w:rsid w:val="00C2302C"/>
    <w:rsid w:val="00C31898"/>
    <w:rsid w:val="00D046BC"/>
    <w:rsid w:val="00D11739"/>
    <w:rsid w:val="00D97FCC"/>
    <w:rsid w:val="00DF571E"/>
    <w:rsid w:val="00ED6D9A"/>
    <w:rsid w:val="00F22CDB"/>
    <w:rsid w:val="00F3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F7BC5"/>
  <w15:chartTrackingRefBased/>
  <w15:docId w15:val="{597DCF2E-343D-4154-B3A2-7F8F7BF8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D9A"/>
    <w:rPr>
      <w:rFonts w:asciiTheme="majorBidi" w:hAnsiTheme="majorBidi" w:cs="Simplified Arabic"/>
      <w:sz w:val="28"/>
      <w:szCs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D4C6F"/>
    <w:pPr>
      <w:keepNext/>
      <w:keepLines/>
      <w:spacing w:before="240" w:after="0"/>
      <w:outlineLvl w:val="0"/>
    </w:pPr>
    <w:rPr>
      <w:rFonts w:ascii="Simplified Arabic" w:eastAsiaTheme="majorEastAsia" w:hAnsi="Simplified Arabic"/>
      <w:b/>
      <w:bCs/>
      <w:color w:val="C00000"/>
      <w:sz w:val="40"/>
      <w:szCs w:val="36"/>
      <w:lang w:bidi="ar-EG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D4C6F"/>
    <w:pPr>
      <w:keepNext/>
      <w:keepLines/>
      <w:spacing w:before="40" w:after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D4C6F"/>
    <w:pPr>
      <w:keepNext/>
      <w:keepLines/>
      <w:spacing w:before="40" w:after="0"/>
      <w:outlineLvl w:val="2"/>
    </w:pPr>
    <w:rPr>
      <w:rFonts w:eastAsiaTheme="majorEastAsia"/>
      <w:b/>
      <w:bCs/>
      <w:color w:val="FF0000"/>
      <w:sz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D4C6F"/>
    <w:pPr>
      <w:keepNext/>
      <w:keepLines/>
      <w:spacing w:before="40" w:after="0"/>
      <w:outlineLvl w:val="3"/>
    </w:pPr>
    <w:rPr>
      <w:rFonts w:eastAsiaTheme="majorEastAsia"/>
      <w:b/>
      <w:bCs/>
      <w:color w:val="2F5496" w:themeColor="accent1" w:themeShade="BF"/>
      <w:lang w:bidi="ar-EG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BD4C6F"/>
    <w:pPr>
      <w:keepNext/>
      <w:keepLines/>
      <w:spacing w:before="40" w:after="0"/>
      <w:outlineLvl w:val="4"/>
    </w:pPr>
    <w:rPr>
      <w:rFonts w:asciiTheme="majorHAnsi" w:eastAsiaTheme="majorEastAsia" w:hAnsiTheme="majorHAnsi"/>
      <w:bCs/>
      <w:color w:val="1F4E79" w:themeColor="accent5" w:themeShade="8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4C6F"/>
    <w:rPr>
      <w:rFonts w:asciiTheme="majorBidi" w:eastAsiaTheme="majorEastAsia" w:hAnsiTheme="majorBidi" w:cs="Simplified Arabic"/>
      <w:b/>
      <w:bCs/>
      <w:color w:val="FF000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BD4C6F"/>
    <w:rPr>
      <w:rFonts w:asciiTheme="majorBidi" w:eastAsiaTheme="majorEastAsia" w:hAnsiTheme="majorBidi" w:cs="Simplified Arabic"/>
      <w:b/>
      <w:bCs/>
      <w:color w:val="2F5496" w:themeColor="accent1" w:themeShade="BF"/>
      <w:sz w:val="28"/>
      <w:szCs w:val="32"/>
      <w:lang w:bidi="ar-EG"/>
    </w:rPr>
  </w:style>
  <w:style w:type="paragraph" w:styleId="NoSpacing">
    <w:name w:val="No Spacing"/>
    <w:autoRedefine/>
    <w:uiPriority w:val="1"/>
    <w:qFormat/>
    <w:rsid w:val="00BD4C6F"/>
    <w:pPr>
      <w:spacing w:after="0" w:line="360" w:lineRule="auto"/>
      <w:jc w:val="center"/>
    </w:pPr>
    <w:rPr>
      <w:rFonts w:asciiTheme="majorBidi" w:hAnsiTheme="majorBidi" w:cs="Simplified Arabic"/>
      <w:bCs/>
      <w:sz w:val="28"/>
      <w:szCs w:val="64"/>
      <w:lang w:bidi="ar-EG"/>
    </w:rPr>
  </w:style>
  <w:style w:type="character" w:customStyle="1" w:styleId="Heading1Char">
    <w:name w:val="Heading 1 Char"/>
    <w:basedOn w:val="DefaultParagraphFont"/>
    <w:link w:val="Heading1"/>
    <w:uiPriority w:val="9"/>
    <w:rsid w:val="00BD4C6F"/>
    <w:rPr>
      <w:rFonts w:ascii="Simplified Arabic" w:eastAsiaTheme="majorEastAsia" w:hAnsi="Simplified Arabic" w:cs="Simplified Arabic"/>
      <w:b/>
      <w:bCs/>
      <w:color w:val="C00000"/>
      <w:sz w:val="40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D4C6F"/>
    <w:rPr>
      <w:rFonts w:asciiTheme="majorBidi" w:eastAsiaTheme="majorEastAsia" w:hAnsiTheme="majorBidi" w:cs="Simplified Arabic"/>
      <w:b/>
      <w:bCs/>
      <w:sz w:val="28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BD4C6F"/>
    <w:rPr>
      <w:rFonts w:asciiTheme="majorHAnsi" w:eastAsiaTheme="majorEastAsia" w:hAnsiTheme="majorHAnsi" w:cs="Simplified Arabic"/>
      <w:bCs/>
      <w:color w:val="1F4E79" w:themeColor="accent5" w:themeShade="80"/>
      <w:sz w:val="28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08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</dc:creator>
  <cp:keywords/>
  <dc:description/>
  <cp:lastModifiedBy>king</cp:lastModifiedBy>
  <cp:revision>5</cp:revision>
  <dcterms:created xsi:type="dcterms:W3CDTF">2024-09-10T15:27:00Z</dcterms:created>
  <dcterms:modified xsi:type="dcterms:W3CDTF">2024-09-10T15:32:00Z</dcterms:modified>
</cp:coreProperties>
</file>