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jc w:val="center"/>
      </w:pPr>
      <w:r>
        <w:rPr>
          <w:rFonts w:ascii="Times New Roman" w:hAnsi="Times New Roman" w:cs="Times New Roman" w:eastAsia="Times New Roman"/>
          <w:b/>
          <w:bCs/>
          <w:sz w:val="32"/>
          <w:szCs w:val="32"/>
          <w:rtl/>
        </w:rPr>
        <w:t xml:space="preserve">تصنيف استفسارات الطلاب الجامعية العربية الهجينة بين الفصحى والعامية السورية: مجموعة بيانات جديدة ومقارنة منهجية لنماذج المحوّلات العربية مع خطوط أساس كلاسيكية</w:t>
      </w:r>
    </w:p>
    <w:p>
      <w:pPr>
        <w:bidi/>
        <w:spacing w:after="40" w:line="300"/>
        <w:jc w:val="center"/>
      </w:pPr>
      <w:r>
        <w:rPr>
          <w:rFonts w:ascii="Times New Roman" w:hAnsi="Times New Roman" w:cs="Times New Roman" w:eastAsia="Times New Roman"/>
          <w:sz w:val="28"/>
          <w:szCs w:val="28"/>
          <w:rtl/>
        </w:rPr>
        <w:t xml:space="preserve">شفاء جميل قطّاع¹، داليا نجيب الكيلاني¹، روان مصطفى هبهاب¹، مجد إدمون طنوس¹*</w:t>
      </w:r>
    </w:p>
    <w:p>
      <w:pPr>
        <w:bidi/>
        <w:spacing w:after="40" w:line="300"/>
        <w:jc w:val="center"/>
      </w:pPr>
      <w:r>
        <w:rPr>
          <w:rFonts w:ascii="Times New Roman" w:hAnsi="Times New Roman" w:cs="Times New Roman" w:eastAsia="Times New Roman"/>
          <w:sz w:val="28"/>
          <w:szCs w:val="28"/>
          <w:rtl/>
        </w:rPr>
        <w:t xml:space="preserve">¹ قسم هندسة الحاسوب، كلية الهندسة، الجامعة الوطنية الخاصة، الجمهورية العربية السورية</w:t>
      </w:r>
    </w:p>
    <w:p>
      <w:pPr>
        <w:bidi/>
        <w:spacing w:after="240" w:line="300"/>
        <w:jc w:val="center"/>
      </w:pPr>
      <w:r>
        <w:rPr>
          <w:rFonts w:ascii="Times New Roman" w:hAnsi="Times New Roman" w:cs="Times New Roman" w:eastAsia="Times New Roman"/>
          <w:sz w:val="28"/>
          <w:szCs w:val="28"/>
          <w:rtl/>
        </w:rPr>
        <w:t xml:space="preserve">* المؤلف المراسل: [البريد الإلكتروني للمؤلف المراسل]</w:t>
      </w:r>
    </w:p>
    <w:p>
      <w:pPr>
        <w:pStyle w:val="Heading1"/>
        <w:bidi/>
        <w:spacing w:before="300" w:after="140"/>
      </w:pPr>
      <w:r>
        <w:rPr>
          <w:rFonts w:ascii="Times New Roman" w:hAnsi="Times New Roman" w:cs="Times New Roman" w:eastAsia="Times New Roman"/>
          <w:b/>
          <w:bCs/>
          <w:sz w:val="32"/>
          <w:szCs w:val="32"/>
          <w:rtl/>
        </w:rPr>
        <w:t xml:space="preserve">الملخّص</w:t>
      </w:r>
    </w:p>
    <w:p>
      <w:pPr>
        <w:bidi/>
        <w:spacing w:after="120" w:line="300"/>
        <w:jc w:val="both"/>
      </w:pPr>
      <w:r>
        <w:rPr>
          <w:rFonts w:ascii="Times New Roman" w:hAnsi="Times New Roman" w:cs="Times New Roman" w:eastAsia="Times New Roman"/>
          <w:sz w:val="28"/>
          <w:szCs w:val="28"/>
          <w:rtl/>
        </w:rPr>
        <w:t xml:space="preserve">تتلقى الجامعات يومياً أعداداً متزايدة من استفسارات الطلاب عبر القنوات الرقمية، ويستهلك فرزها يدوياً وتوجيهها إلى المكتب الإداري المختص وقتاً وجهداً كبيرين. وتزداد صعوبة أتمتة هذه المهمة في السياق العربي لأن الاستفسارات قصيرة، وتمزج الفصحى بالعامية، وتتسم بتنوع إملائي كبير وتداخل دلالي بين الجهات الإدارية. يقدّم هذا البحث مجموعة بيانات عربية جديدة ومتوازنة تضم 2,000 استفسار طلابي جامعي من البيئة السورية، موزّعة بالتساوي على أربع جهات إدارية (الشؤون المالية، شؤون الطلاب، مكتب المعلوماتية، شؤون الامتحانات)، جُمعت من مصادر ميدانية ورقمية. ثم نقارن منهجياً ثلاثة نماذج محوّلات عربية هي AraBERTv2 وMARBERTv2 وARBERTv2 بالضبط الدقيق الكامل ضمن بروتوكول تحقق متقاطع طبقي خماسي بفولدات موحّدة، وفق سيناريوهين: معاملات فائقة مثبّتة، ومعاملات مضبوطة لكل نموذج بإطار Optuna. وأضفنا ثلاثة خطوط أساس كلاسيكية قائمة على TF-IDF، وأرفقنا النتائج بفترات ثقة إحصائية. حقّق AraBERTv2 أعلى أداء بين نماذج المحوّلات في السيناريوهين (دقة 92.45% ثم 92.70%، وF1-Macro يساوي 0.9243 ثم 0.9271). غير أن مصنّف SVM خطّياً على سمات n-gram للكلمات والحروف بلغ دقة 93.25%، وتتداخل فترات الثقة (95%) لجميع النماذج عدا Naive Bayes. ويكشف تحليل الأخطاء أن 73 استفساراً أخطأت فيها النماذج الثلاثة معاً، وأن فئة شؤون الطلاب هي مركز الالتباس الدلالي. تشير هذه النتائج إلى أن المهمة تحكمها إلى حدّ بعيد إشارات معجمية، وأن تفوق المحوّلات على هذا الحجم من البيانات غير محسوم إحصائياً. نتيح البيانات والشيفرة علناً لدعم قابلية الاستنساخ.</w:t>
      </w:r>
    </w:p>
    <w:p>
      <w:pPr>
        <w:bidi/>
        <w:spacing w:after="120" w:line="300"/>
        <w:jc w:val="both"/>
      </w:pPr>
      <w:r>
        <w:rPr>
          <w:rFonts w:ascii="Times New Roman" w:hAnsi="Times New Roman" w:cs="Times New Roman" w:eastAsia="Times New Roman"/>
          <w:b/>
          <w:bCs/>
          <w:sz w:val="28"/>
          <w:szCs w:val="28"/>
          <w:rtl/>
        </w:rPr>
        <w:t xml:space="preserve">الكلمات المفتاحية:</w:t>
      </w:r>
      <w:r>
        <w:rPr>
          <w:rFonts w:ascii="Times New Roman" w:hAnsi="Times New Roman" w:cs="Times New Roman" w:eastAsia="Times New Roman"/>
          <w:sz w:val="28"/>
          <w:szCs w:val="28"/>
          <w:rtl/>
        </w:rPr>
        <w:t xml:space="preserve"> معالجة اللغة العربية؛ تصنيف النصوص القصيرة؛ العامية السورية؛ AraBERT؛ MARBERT؛ ARBERT؛ التحقق المتقاطع الطبقي؛ Optuna؛ أتمتة الخدمات الجامعية.</w:t>
      </w:r>
    </w:p>
    <w:p>
      <w:pPr>
        <w:pStyle w:val="Heading1"/>
        <w:bidi/>
        <w:spacing w:before="300" w:after="140"/>
      </w:pPr>
      <w:r>
        <w:rPr>
          <w:rFonts w:ascii="Times New Roman" w:hAnsi="Times New Roman" w:cs="Times New Roman" w:eastAsia="Times New Roman"/>
          <w:b/>
          <w:bCs/>
          <w:sz w:val="32"/>
          <w:szCs w:val="32"/>
          <w:rtl/>
        </w:rPr>
        <w:t xml:space="preserve">1. المقدّمة</w:t>
      </w:r>
    </w:p>
    <w:p>
      <w:pPr>
        <w:bidi/>
        <w:spacing w:after="120" w:line="300"/>
        <w:jc w:val="both"/>
      </w:pPr>
      <w:r>
        <w:rPr>
          <w:rFonts w:ascii="Times New Roman" w:hAnsi="Times New Roman" w:cs="Times New Roman" w:eastAsia="Times New Roman"/>
          <w:sz w:val="28"/>
          <w:szCs w:val="28"/>
          <w:rtl/>
        </w:rPr>
        <w:t xml:space="preserve">انتقل التواصل بين الطلاب والجهات الإدارية في مؤسسات التعليم العالي خلال السنوات الأخيرة من المراجعة المباشرة إلى القنوات الرقمية، كالبريد الإلكتروني ومجموعات التواصل الاجتماعي وتطبيقات المراسلة. وقد سرّع هذا الانتقال تبادل المعلومات، لكنه رفع حجم الاستفسارات اليومية رفعاً كبيراً. وما زال قسم كبير من الجامعات يعتمد على موظف يقرأ كل استفسار ويحدد الجهة المختصة به، وهي عملية تتباطأ مع ازدياد أعداد الطلاب وتتعرض للخطأ البشري. وقد ركّزت الأدبيات التعليمية على المساعدات الحوارية وروبوتات المحادثة في التعليم [1]، غير أن الخطوة السابقة لأي نظام خدمي آلي هي </w:t>
      </w:r>
      <w:r>
        <w:rPr>
          <w:rFonts w:ascii="Times New Roman" w:hAnsi="Times New Roman" w:cs="Times New Roman" w:eastAsia="Times New Roman"/>
          <w:b/>
          <w:bCs/>
          <w:sz w:val="28"/>
          <w:szCs w:val="28"/>
          <w:rtl/>
        </w:rPr>
        <w:t xml:space="preserve">توجيه الاستفسار</w:t>
      </w:r>
      <w:r>
        <w:rPr>
          <w:rFonts w:ascii="Times New Roman" w:hAnsi="Times New Roman" w:cs="Times New Roman" w:eastAsia="Times New Roman"/>
          <w:sz w:val="28"/>
          <w:szCs w:val="28"/>
          <w:rtl/>
        </w:rPr>
        <w:t xml:space="preserve"> إلى الجهة الصحيحة، وهي مهمة تصنيف نصي متعدد الفئات.</w:t>
      </w:r>
    </w:p>
    <w:p>
      <w:pPr>
        <w:bidi/>
        <w:spacing w:after="120" w:line="300"/>
        <w:jc w:val="both"/>
      </w:pPr>
      <w:r>
        <w:rPr>
          <w:rFonts w:ascii="Times New Roman" w:hAnsi="Times New Roman" w:cs="Times New Roman" w:eastAsia="Times New Roman"/>
          <w:sz w:val="28"/>
          <w:szCs w:val="28"/>
          <w:rtl/>
        </w:rPr>
        <w:t xml:space="preserve">تواجه هذه المهمة في السياق العربي صعوبات تتجاوز التصنيف النصي المعتاد. فالعربية لغة غنية صرفياً وذات طبيعة التصاقية [2]، ويكتب الطلاب بمزيج من الفصحى المبسطة واللهجة المحلية، وهي ظاهرة لغوية معروفة تُضعف أداء الأدوات المصممة للفصحى [3], [4]. كما تتسم الاستفسارات بالقِصر الشديد أحياناً (كلمتان أو ثلاث)، وبتنوع إملائي واسع للكلمة الواحدة (مثل «متى» و«ايمت» و«ايمتا» و«امتى»)، وبتداخل مفردات الجهات الإدارية فيما بينها؛ فكلمة «الدفع» قد ترد في استفسار مالي أو في استفسار عن تسجيل المواد.</w:t>
      </w:r>
    </w:p>
    <w:p>
      <w:pPr>
        <w:bidi/>
        <w:spacing w:after="120" w:line="300"/>
        <w:jc w:val="both"/>
      </w:pPr>
      <w:r>
        <w:rPr>
          <w:rFonts w:ascii="Times New Roman" w:hAnsi="Times New Roman" w:cs="Times New Roman" w:eastAsia="Times New Roman"/>
          <w:sz w:val="28"/>
          <w:szCs w:val="28"/>
          <w:rtl/>
        </w:rPr>
        <w:t xml:space="preserve">أحدثت نماذج المحوّلات [5] والتمثيلات ثنائية الاتجاه المدرّبة مسبقاً [6] تحولاً في معالجة اللغات الطبيعية، وظهرت لها نسخ عربية متخصصة مثل AraBERT [7] وARBERT وMARBERT [8]. وتُظهر المعايير القياسية أن تفوّق أيٍّ منها مشروط بطبيعة المهمة ومصدر بيانات التدريب المسبق [8], [9], [10], [11]. إلا أن هذه المعايير لا تتضمن نصوصاً إدارية جامعية هجينة، ولا تقدّم الدراسات التطبيقية القريبة مقارنة صارمة بفولدات موحّدة وخطوط أساس كلاسيكية قوية. ومن هنا ينطلق السؤال البحثي: </w:t>
      </w:r>
      <w:r>
        <w:rPr>
          <w:rFonts w:ascii="Times New Roman" w:hAnsi="Times New Roman" w:cs="Times New Roman" w:eastAsia="Times New Roman"/>
          <w:b/>
          <w:bCs/>
          <w:sz w:val="28"/>
          <w:szCs w:val="28"/>
          <w:rtl/>
        </w:rPr>
        <w:t xml:space="preserve">أيّ النماذج العربية المدرّبة مسبقاً أنسب لتوجيه الاستفسارات الجامعية الهجينة، وهل تتفوّق فعلاً على الطرائق الكلاسيكية القوية عند حجم بيانات محدود؟</w:t>
      </w:r>
    </w:p>
    <w:p>
      <w:pPr>
        <w:bidi/>
        <w:spacing w:after="120" w:line="300"/>
        <w:jc w:val="both"/>
      </w:pPr>
      <w:r>
        <w:rPr>
          <w:rFonts w:ascii="Times New Roman" w:hAnsi="Times New Roman" w:cs="Times New Roman" w:eastAsia="Times New Roman"/>
          <w:sz w:val="28"/>
          <w:szCs w:val="28"/>
          <w:rtl/>
        </w:rPr>
        <w:t xml:space="preserve">تتلخص إسهامات هذا البحث فيما يأتي:</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بناء مجموعة بيانات عربية جديدة ومتوازنة من 2,000 استفسار طلابي جامعي من البيئة السورية الخاصة، موزّعة على أربع جهات إدارية، مع توصيف كمّي ولغوي لخصائصها (الطول، والمؤشرات اللهجية، والتنوع الإملائي).</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مقارنة منهجية بين AraBERTv2 وMARBERTv2 وARBERTv2 بالضبط الدقيق الكامل، ضمن تحقق متقاطع طبقي خماسي بفولدات ثابتة ومشتركة، وفق سيناريوهين: إعدادات موحّدة تعزل أثر النموذج، وإعدادات مضبوطة لكل نموذج بإطار Optuna.</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مقارنة النماذج بثلاثة خطوط أساس كلاسيكية على البروتوكول ذاته، مع فترات ثقة إحصائية، وهو ما يكشف أن الفروق بين أفضل النماذج غير دالة إحصائياً على هذا الحجم من البيانات.</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تحليل أخطاء معمّق يحدد الأخطاء البنيوية المشتركة بين النماذج، ويبيّن أن فئة شؤون الطلاب تمثل مركز الالتباس الدلالي، ويقدّر سقف الأداء الممكن بالتجميع.</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إتاحة البيانات وشيفرة التجارب علناً لدعم قابلية الاستنساخ.</w:t>
      </w:r>
    </w:p>
    <w:p>
      <w:pPr>
        <w:bidi/>
        <w:spacing w:after="120" w:line="300"/>
        <w:jc w:val="both"/>
      </w:pPr>
      <w:r>
        <w:rPr>
          <w:rFonts w:ascii="Times New Roman" w:hAnsi="Times New Roman" w:cs="Times New Roman" w:eastAsia="Times New Roman"/>
          <w:sz w:val="28"/>
          <w:szCs w:val="28"/>
          <w:rtl/>
        </w:rPr>
        <w:t xml:space="preserve">تُنظَّم بقية البحث كما يلي: يستعرض القسم 2 الدراسات السابقة، ويصف القسم 3 مجموعة البيانات، ويعرض القسم 4 المنهجية التجريبية، ويقدّم القسم 5 النتائج، ويناقشها القسم 6 مع مهددات الصلاحية، ويختم القسم 7 بالاستنتاجات والعمل المستقبلي.</w:t>
      </w:r>
    </w:p>
    <w:p>
      <w:pPr>
        <w:pStyle w:val="Heading1"/>
        <w:bidi/>
        <w:spacing w:before="300" w:after="140"/>
      </w:pPr>
      <w:r>
        <w:rPr>
          <w:rFonts w:ascii="Times New Roman" w:hAnsi="Times New Roman" w:cs="Times New Roman" w:eastAsia="Times New Roman"/>
          <w:b/>
          <w:bCs/>
          <w:sz w:val="32"/>
          <w:szCs w:val="32"/>
          <w:rtl/>
        </w:rPr>
        <w:t xml:space="preserve">2. الدراسات السابقة</w:t>
      </w:r>
    </w:p>
    <w:p>
      <w:pPr>
        <w:pStyle w:val="Heading2"/>
        <w:bidi/>
        <w:spacing w:before="200" w:after="100"/>
      </w:pPr>
      <w:r>
        <w:rPr>
          <w:rFonts w:ascii="Times New Roman" w:hAnsi="Times New Roman" w:cs="Times New Roman" w:eastAsia="Times New Roman"/>
          <w:b/>
          <w:bCs/>
          <w:sz w:val="28"/>
          <w:szCs w:val="28"/>
          <w:rtl/>
        </w:rPr>
        <w:t xml:space="preserve">2.1 نماذج اللغة العربية المدرّبة مسبقاً</w:t>
      </w:r>
    </w:p>
    <w:p>
      <w:pPr>
        <w:bidi/>
        <w:spacing w:after="120" w:line="300"/>
        <w:jc w:val="both"/>
      </w:pPr>
      <w:r>
        <w:rPr>
          <w:rFonts w:ascii="Times New Roman" w:hAnsi="Times New Roman" w:cs="Times New Roman" w:eastAsia="Times New Roman"/>
          <w:sz w:val="28"/>
          <w:szCs w:val="28"/>
          <w:rtl/>
        </w:rPr>
        <w:t xml:space="preserve">قدّم AraBERT [7] أول نموذج BERT أحادي اللغة للعربية، وتميّز بمعالجة صرفية مسبقة تفصل السوابق واللواحق عبر مجزّئ Farasa [12] قبل تطبيق التجزئة الجزئية بأداة SentencePiece [13]، بهدف تقليل تضخم القاموس الناجم عن الطبيعة الالتصاقية للعربية. وتعتمد نسخته الثانية AraBERTv2 على نحو 77 غيغابايت من نصوص الفصحى (أخبار وويكيبيديا وOSCAR). في المقابل، قدّم Abdul-Mageed وزملاؤه [8] نموذجين: ARBERT المدرّب على نصوص فصحى متنوعة المصادر، وMARBERT المدرّب على نحو مليار تغريدة تمزج الفصحى بلهجات متعددة، مع حذف هدف التنبؤ بالجملة التالية لقِصر التغريدات. ثم قدّمت ورقة ORCA [9] الإصدارين ARBERTv2 وMARBERTv2 بقواعد تدريب أوسع. وأظهرت دراسة CAMeLBERT [10] أن مدى تطابق نوع اللغة في التدريب المسبق (فصحى أم لهجات) مع نوع لغة المهمة أهمّ من حجم بيانات التدريب المسبق وحده.</w:t>
      </w:r>
    </w:p>
    <w:p>
      <w:pPr>
        <w:pStyle w:val="Heading2"/>
        <w:bidi/>
        <w:spacing w:before="200" w:after="100"/>
      </w:pPr>
      <w:r>
        <w:rPr>
          <w:rFonts w:ascii="Times New Roman" w:hAnsi="Times New Roman" w:cs="Times New Roman" w:eastAsia="Times New Roman"/>
          <w:b/>
          <w:bCs/>
          <w:sz w:val="28"/>
          <w:szCs w:val="28"/>
          <w:rtl/>
        </w:rPr>
        <w:t xml:space="preserve">2.2 أداء النماذج على المعايير القياسية وتصنيف المواضيع</w:t>
      </w:r>
    </w:p>
    <w:p>
      <w:pPr>
        <w:bidi/>
        <w:spacing w:after="120" w:line="300"/>
        <w:jc w:val="both"/>
      </w:pPr>
      <w:r>
        <w:rPr>
          <w:rFonts w:ascii="Times New Roman" w:hAnsi="Times New Roman" w:cs="Times New Roman" w:eastAsia="Times New Roman"/>
          <w:sz w:val="28"/>
          <w:szCs w:val="28"/>
          <w:rtl/>
        </w:rPr>
        <w:t xml:space="preserve">يبيّن معيار ARLUE [8] تبايناً واضحاً بحسب المهمة: يتصدر MARBERT مهام تحليل المشاعر وتمييز اللهجات والمعاني الاجتماعية، بينما يتصدر AraBERT مهمة تصنيف المواضيع (92.97 مقابل 92.65 لـ ARBERT و91.54 لـ MARBERT)، وهي المهمة الأقرب بنيوياً لتوجيه الاستفسارات لأن الفئة تُحدَّد بالمضمون الموضوعي لا بالنبرة. ومع ذلك يتفوق ARBERT على مجموعتي Khaleej وOSAC بفوارق ضيقة [8]، ما يعني أن الأفضلية مشروطة بخصائص كل مجموعة بيانات. وتشير مراجعة منهجية لنماذج BERT العربية في تصنيف النصوص [11] إلى تفوق MARBERT في نسبة كبيرة من الدراسات المشمولة، لكنها تجمع نتائج من بيئات تجريبية غير متجانسة. ويلخّص الجدول 1 نتائج ARLUE ذات الصلة.</w:t>
      </w:r>
    </w:p>
    <w:p>
      <w:pPr>
        <w:bidi/>
        <w:spacing w:before="60" w:after="200"/>
        <w:jc w:val="center"/>
      </w:pPr>
      <w:r>
        <w:rPr>
          <w:rFonts w:ascii="Times New Roman" w:hAnsi="Times New Roman" w:cs="Times New Roman" w:eastAsia="Times New Roman"/>
          <w:b/>
          <w:bCs/>
          <w:sz w:val="28"/>
          <w:szCs w:val="28"/>
          <w:rtl/>
        </w:rPr>
        <w:t xml:space="preserve">الجدول 1.</w:t>
      </w:r>
      <w:r>
        <w:rPr>
          <w:rFonts w:ascii="Times New Roman" w:hAnsi="Times New Roman" w:cs="Times New Roman" w:eastAsia="Times New Roman"/>
          <w:b w:val="false"/>
          <w:sz w:val="28"/>
          <w:szCs w:val="28"/>
          <w:rtl/>
        </w:rPr>
        <w:t xml:space="preserve"> أداء النماذج الثلاثة على تجمّعات مختارة من معيار ARLUE كما وردت في [8].</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1900"/>
      </w:tblGrid>
      <w:tr>
        <w:trPr>
          <w:tblHeader/>
        </w:trPr>
        <w:tc>
          <w:tcPr>
            <w:tcW w:type="dxa" w:w="3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تجمّع المهام</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تحليل المشاعر (F1)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78.26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87.96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93.30</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تصنيف المواضيع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92.97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92.65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91.54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تمييز اللهجات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86.92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88.49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90.65</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الدرجة الكلية ARLUE</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73.91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76.07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75.99</w:t>
            </w:r>
          </w:p>
        </w:tc>
      </w:tr>
    </w:tbl>
    <w:p>
      <w:pPr>
        <w:pStyle w:val="Heading2"/>
        <w:bidi/>
        <w:spacing w:before="200" w:after="100"/>
      </w:pPr>
      <w:r>
        <w:rPr>
          <w:rFonts w:ascii="Times New Roman" w:hAnsi="Times New Roman" w:cs="Times New Roman" w:eastAsia="Times New Roman"/>
          <w:b/>
          <w:bCs/>
          <w:sz w:val="28"/>
          <w:szCs w:val="28"/>
          <w:rtl/>
        </w:rPr>
        <w:t xml:space="preserve">2.3 أثر التجزئة اللغوية</w:t>
      </w:r>
    </w:p>
    <w:p>
      <w:pPr>
        <w:bidi/>
        <w:spacing w:after="120" w:line="300"/>
        <w:jc w:val="both"/>
      </w:pPr>
      <w:r>
        <w:rPr>
          <w:rFonts w:ascii="Times New Roman" w:hAnsi="Times New Roman" w:cs="Times New Roman" w:eastAsia="Times New Roman"/>
          <w:sz w:val="28"/>
          <w:szCs w:val="28"/>
          <w:rtl/>
        </w:rPr>
        <w:t xml:space="preserve">أظهرت دراسة مقارنة لمجزّئات النصوص العربية [14] أن التجزئة الصرفية تحسّن الأداء تحسناً طفيفاً في مهام التصنيف، لكن فاعلية مجزّئ Farasa تتراجع عندما يغلب الطابع العامي على النص، لأن أدوات التجزئة الصرفية صُمّمت أساساً للفصحى. وهذا يجعل أداء AraBERTv2 على الاستفسارات الهجينة سؤالاً تجريبياً مفتوحاً لا يمكن حسمه من المعايير القائمة.</w:t>
      </w:r>
    </w:p>
    <w:p>
      <w:pPr>
        <w:pStyle w:val="Heading2"/>
        <w:bidi/>
        <w:spacing w:before="200" w:after="100"/>
      </w:pPr>
      <w:r>
        <w:rPr>
          <w:rFonts w:ascii="Times New Roman" w:hAnsi="Times New Roman" w:cs="Times New Roman" w:eastAsia="Times New Roman"/>
          <w:b/>
          <w:bCs/>
          <w:sz w:val="28"/>
          <w:szCs w:val="28"/>
          <w:rtl/>
        </w:rPr>
        <w:t xml:space="preserve">2.4 تطبيقات في السياقات التعليمية والإدارية</w:t>
      </w:r>
    </w:p>
    <w:p>
      <w:pPr>
        <w:bidi/>
        <w:spacing w:after="120" w:line="300"/>
        <w:jc w:val="both"/>
      </w:pPr>
      <w:r>
        <w:rPr>
          <w:rFonts w:ascii="Times New Roman" w:hAnsi="Times New Roman" w:cs="Times New Roman" w:eastAsia="Times New Roman"/>
          <w:sz w:val="28"/>
          <w:szCs w:val="28"/>
          <w:rtl/>
        </w:rPr>
        <w:t xml:space="preserve">طُبّقت نماذج BERT العربية في مهام قريبة من السياق الجامعي، منها تحليل مشاعر الطلاب تجاه تقييم أعضاء هيئة التدريس [15]. وفي مهام أخرى تباينت النتائج: سجّل AraBERTv2 وMARBERTv2 أداءً متقارباً في تحليل مشاعر تغريدات جائحة كوفيد-19 [16]، وأشارت دراسة لتصنيف نصوص الجرائم الإلكترونية [17] إلى تفوق AraBERT في بعض المسارات البحثية وMARBERT في مسارات أخرى. أما الطرائق الكلاسيكية، فقد أثبت SVM على سمات TF-IDF كفاءته في تصنيف النصوص [18]، وبيّن Wang وManning [19] أن خطوط الأساس القائمة على n-gram تبقى منافسة جداً في تصنيف المواضيع والنصوص القصيرة. وتُعدّ سمات الحروف مفيدة خصوصاً حين يكثر التنوع الإملائي [28].</w:t>
      </w:r>
    </w:p>
    <w:p>
      <w:pPr>
        <w:pStyle w:val="Heading2"/>
        <w:bidi/>
        <w:spacing w:before="200" w:after="100"/>
      </w:pPr>
      <w:r>
        <w:rPr>
          <w:rFonts w:ascii="Times New Roman" w:hAnsi="Times New Roman" w:cs="Times New Roman" w:eastAsia="Times New Roman"/>
          <w:b/>
          <w:bCs/>
          <w:sz w:val="28"/>
          <w:szCs w:val="28"/>
          <w:rtl/>
        </w:rPr>
        <w:t xml:space="preserve">2.5 الفجوة البحثية</w:t>
      </w:r>
    </w:p>
    <w:p>
      <w:pPr>
        <w:bidi/>
        <w:spacing w:after="120" w:line="300"/>
        <w:jc w:val="both"/>
      </w:pPr>
      <w:r>
        <w:rPr>
          <w:rFonts w:ascii="Times New Roman" w:hAnsi="Times New Roman" w:cs="Times New Roman" w:eastAsia="Times New Roman"/>
          <w:sz w:val="28"/>
          <w:szCs w:val="28"/>
          <w:rtl/>
        </w:rPr>
        <w:t xml:space="preserve">يتضح من الأدبيات ثلاثة قيود: (أ) لا تتضمن المعايير القائمة نصوصاً إدارية جامعية تمزج المفردات المؤسسية الفصيحة بالصياغة العامية؛ (ب) تعتمد دراسات كثيرة على تقسيم وحيد للبيانات، ما يجعل نتائجها عرضة لتباين التقسيم؛ (ج) تُقارَن نماذج المحوّلات غالباً فيما بينها دون خطوط أساس كلاسيكية قوية ودون اختبار للدلالة الإحصائية. ويعالج هذا البحث هذه القيود الثلاثة على مهمة توجيه الاستفسارات الجامعية العربية، وهي مهمة لم تُدرس بهذا الشكل حسب اطلاعنا.</w:t>
      </w:r>
    </w:p>
    <w:p>
      <w:pPr>
        <w:pStyle w:val="Heading1"/>
        <w:bidi/>
        <w:spacing w:before="300" w:after="140"/>
      </w:pPr>
      <w:r>
        <w:rPr>
          <w:rFonts w:ascii="Times New Roman" w:hAnsi="Times New Roman" w:cs="Times New Roman" w:eastAsia="Times New Roman"/>
          <w:b/>
          <w:bCs/>
          <w:sz w:val="32"/>
          <w:szCs w:val="32"/>
          <w:rtl/>
        </w:rPr>
        <w:t xml:space="preserve">3. مجموعة البيانات</w:t>
      </w:r>
    </w:p>
    <w:p>
      <w:pPr>
        <w:pStyle w:val="Heading2"/>
        <w:bidi/>
        <w:spacing w:before="200" w:after="100"/>
      </w:pPr>
      <w:r>
        <w:rPr>
          <w:rFonts w:ascii="Times New Roman" w:hAnsi="Times New Roman" w:cs="Times New Roman" w:eastAsia="Times New Roman"/>
          <w:b/>
          <w:bCs/>
          <w:sz w:val="28"/>
          <w:szCs w:val="28"/>
          <w:rtl/>
        </w:rPr>
        <w:t xml:space="preserve">3.1 الجمع والتوسيم</w:t>
      </w:r>
    </w:p>
    <w:p>
      <w:pPr>
        <w:bidi/>
        <w:spacing w:after="120" w:line="300"/>
        <w:jc w:val="both"/>
      </w:pPr>
      <w:r>
        <w:rPr>
          <w:rFonts w:ascii="Times New Roman" w:hAnsi="Times New Roman" w:cs="Times New Roman" w:eastAsia="Times New Roman"/>
          <w:sz w:val="28"/>
          <w:szCs w:val="28"/>
          <w:rtl/>
        </w:rPr>
        <w:t xml:space="preserve">بُنيت مجموعة البيانات على مرحلتين. في </w:t>
      </w:r>
      <w:r>
        <w:rPr>
          <w:rFonts w:ascii="Times New Roman" w:hAnsi="Times New Roman" w:cs="Times New Roman" w:eastAsia="Times New Roman"/>
          <w:b/>
          <w:bCs/>
          <w:sz w:val="28"/>
          <w:szCs w:val="28"/>
          <w:rtl/>
        </w:rPr>
        <w:t xml:space="preserve">المرحلة الميدانية</w:t>
      </w:r>
      <w:r>
        <w:rPr>
          <w:rFonts w:ascii="Times New Roman" w:hAnsi="Times New Roman" w:cs="Times New Roman" w:eastAsia="Times New Roman"/>
          <w:sz w:val="28"/>
          <w:szCs w:val="28"/>
          <w:rtl/>
        </w:rPr>
        <w:t xml:space="preserve">، زار فريق البحث المكاتب الإدارية الأربعة في الجامعة، وأجرى مقابلات مع الموظفين لتحديد أكثر أنماط الاستفسارات تكراراً، وفهم طبيعة المشكلات التي تصلهم، وتثبيت حدود كل فئة. وقد حدّدت هذه المرحلة الفئات الأربع ووفّرت دليلاً مرجعياً للتوسيم. وأضاف أعضاء الفريق استفسارات محاكية مبنية على خبرتهم الفعلية في البيئة الجامعية مع الحفاظ على الأسلوب الطبيعي للطلاب. وفي </w:t>
      </w:r>
      <w:r>
        <w:rPr>
          <w:rFonts w:ascii="Times New Roman" w:hAnsi="Times New Roman" w:cs="Times New Roman" w:eastAsia="Times New Roman"/>
          <w:b/>
          <w:bCs/>
          <w:sz w:val="28"/>
          <w:szCs w:val="28"/>
          <w:rtl/>
        </w:rPr>
        <w:t xml:space="preserve">المرحلة الرقمية</w:t>
      </w:r>
      <w:r>
        <w:rPr>
          <w:rFonts w:ascii="Times New Roman" w:hAnsi="Times New Roman" w:cs="Times New Roman" w:eastAsia="Times New Roman"/>
          <w:sz w:val="28"/>
          <w:szCs w:val="28"/>
          <w:rtl/>
        </w:rPr>
        <w:t xml:space="preserve">، جُمعت استفسارات من مجموعات طلابية على Facebook (منها مجموعة «سكوب الجامعات الخاصة») ومن مجموعات WhatsApp الخاصة بالدفعات، وهي مصادر تعكس لغة عفوية غير منقحة ومشكلات حقيقية. وُسم كل استفسار بالجهة الإدارية المسؤولة عن معالجته، وأُبقي على الأخطاء الإملائية والسمات العامية عمداً لأنها تمثل الواقع الذي سيعمل فيه النظام.</w:t>
      </w:r>
    </w:p>
    <w:p>
      <w:pPr>
        <w:bidi/>
        <w:spacing w:after="120" w:line="300"/>
        <w:jc w:val="both"/>
      </w:pPr>
      <w:r>
        <w:rPr>
          <w:rFonts w:ascii="Times New Roman" w:hAnsi="Times New Roman" w:cs="Times New Roman" w:eastAsia="Times New Roman"/>
          <w:sz w:val="28"/>
          <w:szCs w:val="28"/>
          <w:rtl/>
        </w:rPr>
        <w:t xml:space="preserve">تعرّف الفئات الأربع كما يلي: </w:t>
      </w:r>
      <w:r>
        <w:rPr>
          <w:rFonts w:ascii="Times New Roman" w:hAnsi="Times New Roman" w:cs="Times New Roman" w:eastAsia="Times New Roman"/>
          <w:b/>
          <w:bCs/>
          <w:sz w:val="28"/>
          <w:szCs w:val="28"/>
          <w:rtl/>
        </w:rPr>
        <w:t xml:space="preserve">الشؤون المالية</w:t>
      </w:r>
      <w:r>
        <w:rPr>
          <w:rFonts w:ascii="Times New Roman" w:hAnsi="Times New Roman" w:cs="Times New Roman" w:eastAsia="Times New Roman"/>
          <w:sz w:val="28"/>
          <w:szCs w:val="28"/>
          <w:rtl/>
        </w:rPr>
        <w:t xml:space="preserve"> (الأقساط، طرق الدفع، الرسوم، سعر الصرف، الغرامات، الحسومات، كشوف الحساب، الاسترداد)؛ </w:t>
      </w:r>
      <w:r>
        <w:rPr>
          <w:rFonts w:ascii="Times New Roman" w:hAnsi="Times New Roman" w:cs="Times New Roman" w:eastAsia="Times New Roman"/>
          <w:b/>
          <w:bCs/>
          <w:sz w:val="28"/>
          <w:szCs w:val="28"/>
          <w:rtl/>
        </w:rPr>
        <w:t xml:space="preserve">شؤون الطلاب</w:t>
      </w:r>
      <w:r>
        <w:rPr>
          <w:rFonts w:ascii="Times New Roman" w:hAnsi="Times New Roman" w:cs="Times New Roman" w:eastAsia="Times New Roman"/>
          <w:sz w:val="28"/>
          <w:szCs w:val="28"/>
          <w:rtl/>
        </w:rPr>
        <w:t xml:space="preserve"> (تسجيل المقررات والحذف والإضافة، متطلبات التخرج، النقل والمفاضلات، التواصل مع الأساتذة، الأنشطة)؛ </w:t>
      </w:r>
      <w:r>
        <w:rPr>
          <w:rFonts w:ascii="Times New Roman" w:hAnsi="Times New Roman" w:cs="Times New Roman" w:eastAsia="Times New Roman"/>
          <w:b/>
          <w:bCs/>
          <w:sz w:val="28"/>
          <w:szCs w:val="28"/>
          <w:rtl/>
        </w:rPr>
        <w:t xml:space="preserve">مكتب المعلوماتية</w:t>
      </w:r>
      <w:r>
        <w:rPr>
          <w:rFonts w:ascii="Times New Roman" w:hAnsi="Times New Roman" w:cs="Times New Roman" w:eastAsia="Times New Roman"/>
          <w:sz w:val="28"/>
          <w:szCs w:val="28"/>
          <w:rtl/>
        </w:rPr>
        <w:t xml:space="preserve"> (الحسابات وكلمات المرور، أعطال الموقع والتطبيق، الشبكة اللاسلكية، تعديل البيانات الشخصية، رسائل التصيّد)؛ </w:t>
      </w:r>
      <w:r>
        <w:rPr>
          <w:rFonts w:ascii="Times New Roman" w:hAnsi="Times New Roman" w:cs="Times New Roman" w:eastAsia="Times New Roman"/>
          <w:b/>
          <w:bCs/>
          <w:sz w:val="28"/>
          <w:szCs w:val="28"/>
          <w:rtl/>
        </w:rPr>
        <w:t xml:space="preserve">شؤون الامتحانات</w:t>
      </w:r>
      <w:r>
        <w:rPr>
          <w:rFonts w:ascii="Times New Roman" w:hAnsi="Times New Roman" w:cs="Times New Roman" w:eastAsia="Times New Roman"/>
          <w:sz w:val="28"/>
          <w:szCs w:val="28"/>
          <w:rtl/>
        </w:rPr>
        <w:t xml:space="preserve"> (الإنذارات والفصل الاستدراكي، الاعتراض على العلامات، الجداول والتعارضات، الامتحانات التعويضية، أنظمة القاعة والمخالفات).</w:t>
      </w:r>
    </w:p>
    <w:p>
      <w:pPr>
        <w:pStyle w:val="Heading2"/>
        <w:bidi/>
        <w:spacing w:before="200" w:after="100"/>
      </w:pPr>
      <w:r>
        <w:rPr>
          <w:rFonts w:ascii="Times New Roman" w:hAnsi="Times New Roman" w:cs="Times New Roman" w:eastAsia="Times New Roman"/>
          <w:b/>
          <w:bCs/>
          <w:sz w:val="28"/>
          <w:szCs w:val="28"/>
          <w:rtl/>
        </w:rPr>
        <w:t xml:space="preserve">3.2 الخصائص الإحصائية</w:t>
      </w:r>
    </w:p>
    <w:p>
      <w:pPr>
        <w:bidi/>
        <w:spacing w:after="120" w:line="300"/>
        <w:jc w:val="both"/>
      </w:pPr>
      <w:r>
        <w:rPr>
          <w:rFonts w:ascii="Times New Roman" w:hAnsi="Times New Roman" w:cs="Times New Roman" w:eastAsia="Times New Roman"/>
          <w:sz w:val="28"/>
          <w:szCs w:val="28"/>
          <w:rtl/>
        </w:rPr>
        <w:t xml:space="preserve">تضم المجموعة 2,000 استفسار بواقع 500 لكل فئة (25%)، دون أي تكرار حرفي بين النصوص. ويلخّص الجدول 2 الخصائص الكمية المحسوبة مباشرة من البيانات، ويوضح الشكل 1 توزيع الأطوال حسب الفئة.</w:t>
      </w:r>
    </w:p>
    <w:p>
      <w:pPr>
        <w:bidi/>
        <w:spacing w:before="60" w:after="200"/>
        <w:jc w:val="center"/>
      </w:pPr>
      <w:r>
        <w:rPr>
          <w:rFonts w:ascii="Times New Roman" w:hAnsi="Times New Roman" w:cs="Times New Roman" w:eastAsia="Times New Roman"/>
          <w:b/>
          <w:bCs/>
          <w:sz w:val="28"/>
          <w:szCs w:val="28"/>
          <w:rtl/>
        </w:rPr>
        <w:t xml:space="preserve">الجدول 2.</w:t>
      </w:r>
      <w:r>
        <w:rPr>
          <w:rFonts w:ascii="Times New Roman" w:hAnsi="Times New Roman" w:cs="Times New Roman" w:eastAsia="Times New Roman"/>
          <w:b w:val="false"/>
          <w:sz w:val="28"/>
          <w:szCs w:val="28"/>
          <w:rtl/>
        </w:rPr>
        <w:t xml:space="preserve"> الخصائص الكمية لمجموعة البيانات (الطول مقيس بعدد الكلمات المفصولة بمسافات).</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0"/>
        <w:gridCol w:w="47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الخاصية</w:t>
            </w:r>
          </w:p>
        </w:tc>
        <w:tc>
          <w:tcPr>
            <w:tcW w:type="dxa" w:w="4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القيمة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عدد الاستفسارات</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2,000 (500 لكل فئة)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متوسط الطول ± الانحراف المعياري</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14.91 ± 9.02 كلمة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الوسيط (الأدنى – الأقصى)</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 (2 – 77)</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متوسط الطول حسب الفئة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16.92، معلوماتية 15.45، مالية 13.84، شؤون طلاب 13.46</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توزيع الأطوال</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 كلمات: 0.6%؛ 4–10: 35.7%؛ 11–25: 53.7%؛ &gt;25: 10.1%</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المفردات (رموز فريدة)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6,677</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استفسارات تحوي مؤشراً لهجياً سورياً واحداً على الأقل</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54.4%</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استفسارات تبدأ بتحية أو تتضمنها</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28.8%</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استفسارات تحوي أرقاماً</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9.9%</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استفسارات تحوي تكراراً متتالياً للحرف (مط)</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استفسارات تحوي حروفاً لاتينية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r>
    </w:tbl>
    <w:p>
      <w:pPr>
        <w:spacing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1.</w:t>
      </w:r>
      <w:r>
        <w:rPr>
          <w:rFonts w:ascii="Times New Roman" w:hAnsi="Times New Roman" w:cs="Times New Roman" w:eastAsia="Times New Roman"/>
          <w:b w:val="false"/>
          <w:sz w:val="28"/>
          <w:szCs w:val="28"/>
          <w:rtl/>
        </w:rPr>
        <w:t xml:space="preserve"> توزيع طول الاستفسارات (بالكلمات) حسب الفئة.</w:t>
      </w:r>
    </w:p>
    <w:p>
      <w:pPr>
        <w:pStyle w:val="Heading2"/>
        <w:bidi/>
        <w:spacing w:before="200" w:after="100"/>
      </w:pPr>
      <w:r>
        <w:rPr>
          <w:rFonts w:ascii="Times New Roman" w:hAnsi="Times New Roman" w:cs="Times New Roman" w:eastAsia="Times New Roman"/>
          <w:b/>
          <w:bCs/>
          <w:sz w:val="28"/>
          <w:szCs w:val="28"/>
          <w:rtl/>
        </w:rPr>
        <w:t xml:space="preserve">3.3 الخصائص اللغوية</w:t>
      </w:r>
    </w:p>
    <w:p>
      <w:pPr>
        <w:bidi/>
        <w:spacing w:after="120" w:line="300"/>
        <w:jc w:val="both"/>
      </w:pPr>
      <w:r>
        <w:rPr>
          <w:rFonts w:ascii="Times New Roman" w:hAnsi="Times New Roman" w:cs="Times New Roman" w:eastAsia="Times New Roman"/>
          <w:sz w:val="28"/>
          <w:szCs w:val="28"/>
          <w:rtl/>
        </w:rPr>
        <w:t xml:space="preserve">قِسنا الطابع اللهجي بقائمة من المؤشرات العامية السورية الشائعة (مثل «شو، ايمت، اديش، قديش، هلق، فيني، بدي، ليش، هيك، كتير، يلي، لسا، مافي»). تحتوي 54.4% من الاستفسارات على مؤشر واحد على الأقل، وتتراوح النسبة بين 45.6% في الشؤون المالية و60.4% في مكتب المعلوماتية. وتُعدّ هذه النسبة حداً أدنى لأن القائمة لا تشمل كل الصيغ العامية. ومع ذلك تبقى المفردات المؤسسية الحاملة للمعنى فصيحة الجذر غالباً (التسجيل، الامتحان، الرسوم، الاعتراض)، ما يجعل النصوص هجينة: هيكل جملة عامي ومفردات موضوعية فصيحة. ويظهر التنوع الإملائي في حذف الهمزات، واستبدال الحروف المتقاربة، ومط الحروف، وتعدد صيغ الكلمة الواحدة.</w:t>
      </w:r>
    </w:p>
    <w:p>
      <w:pPr>
        <w:bidi/>
        <w:spacing w:after="120" w:line="300"/>
        <w:jc w:val="both"/>
      </w:pPr>
      <w:r>
        <w:rPr>
          <w:rFonts w:ascii="Times New Roman" w:hAnsi="Times New Roman" w:cs="Times New Roman" w:eastAsia="Times New Roman"/>
          <w:sz w:val="28"/>
          <w:szCs w:val="28"/>
          <w:rtl/>
        </w:rPr>
        <w:t xml:space="preserve">ونتوقع ثلاثة مصادر للصعوبة: </w:t>
      </w:r>
      <w:r>
        <w:rPr>
          <w:rFonts w:ascii="Times New Roman" w:hAnsi="Times New Roman" w:cs="Times New Roman" w:eastAsia="Times New Roman"/>
          <w:b/>
          <w:bCs/>
          <w:sz w:val="28"/>
          <w:szCs w:val="28"/>
          <w:rtl/>
        </w:rPr>
        <w:t xml:space="preserve">التداخل المعجمي</w:t>
      </w:r>
      <w:r>
        <w:rPr>
          <w:rFonts w:ascii="Times New Roman" w:hAnsi="Times New Roman" w:cs="Times New Roman" w:eastAsia="Times New Roman"/>
          <w:sz w:val="28"/>
          <w:szCs w:val="28"/>
          <w:rtl/>
        </w:rPr>
        <w:t xml:space="preserve"> (ترد «الدفع» و«المواد» و«الموقع» في أكثر من فئة)، و</w:t>
      </w:r>
      <w:r>
        <w:rPr>
          <w:rFonts w:ascii="Times New Roman" w:hAnsi="Times New Roman" w:cs="Times New Roman" w:eastAsia="Times New Roman"/>
          <w:b/>
          <w:bCs/>
          <w:sz w:val="28"/>
          <w:szCs w:val="28"/>
          <w:rtl/>
        </w:rPr>
        <w:t xml:space="preserve">الاختزال</w:t>
      </w:r>
      <w:r>
        <w:rPr>
          <w:rFonts w:ascii="Times New Roman" w:hAnsi="Times New Roman" w:cs="Times New Roman" w:eastAsia="Times New Roman"/>
          <w:sz w:val="28"/>
          <w:szCs w:val="28"/>
          <w:rtl/>
        </w:rPr>
        <w:t xml:space="preserve"> (استفسارات من كلمتين إلى ثلاث تفتقر إلى السياق)، و</w:t>
      </w:r>
      <w:r>
        <w:rPr>
          <w:rFonts w:ascii="Times New Roman" w:hAnsi="Times New Roman" w:cs="Times New Roman" w:eastAsia="Times New Roman"/>
          <w:b/>
          <w:bCs/>
          <w:sz w:val="28"/>
          <w:szCs w:val="28"/>
          <w:rtl/>
        </w:rPr>
        <w:t xml:space="preserve">تعدد الإشارات</w:t>
      </w:r>
      <w:r>
        <w:rPr>
          <w:rFonts w:ascii="Times New Roman" w:hAnsi="Times New Roman" w:cs="Times New Roman" w:eastAsia="Times New Roman"/>
          <w:sz w:val="28"/>
          <w:szCs w:val="28"/>
          <w:rtl/>
        </w:rPr>
        <w:t xml:space="preserve"> في الاستفسارات الطويلة التي قد تحمل مؤشرات تنتمي إلى أكثر من جهة.</w:t>
      </w:r>
    </w:p>
    <w:p>
      <w:pPr>
        <w:pStyle w:val="Heading1"/>
        <w:bidi/>
        <w:spacing w:before="300" w:after="140"/>
      </w:pPr>
      <w:r>
        <w:rPr>
          <w:rFonts w:ascii="Times New Roman" w:hAnsi="Times New Roman" w:cs="Times New Roman" w:eastAsia="Times New Roman"/>
          <w:b/>
          <w:bCs/>
          <w:sz w:val="32"/>
          <w:szCs w:val="32"/>
          <w:rtl/>
        </w:rPr>
        <w:t xml:space="preserve">4. المنهجية</w:t>
      </w:r>
    </w:p>
    <w:p>
      <w:pPr>
        <w:pStyle w:val="Heading2"/>
        <w:bidi/>
        <w:spacing w:before="200" w:after="100"/>
      </w:pPr>
      <w:r>
        <w:rPr>
          <w:rFonts w:ascii="Times New Roman" w:hAnsi="Times New Roman" w:cs="Times New Roman" w:eastAsia="Times New Roman"/>
          <w:b/>
          <w:bCs/>
          <w:sz w:val="28"/>
          <w:szCs w:val="28"/>
          <w:rtl/>
        </w:rPr>
        <w:t xml:space="preserve">4.1 صياغة المهمة</w:t>
      </w:r>
    </w:p>
    <w:p>
      <w:pPr>
        <w:bidi/>
        <w:spacing w:after="120" w:line="300"/>
        <w:jc w:val="both"/>
      </w:pPr>
      <w:r>
        <w:rPr>
          <w:rFonts w:ascii="Times New Roman" w:hAnsi="Times New Roman" w:cs="Times New Roman" w:eastAsia="Times New Roman"/>
          <w:sz w:val="28"/>
          <w:szCs w:val="28"/>
          <w:rtl/>
        </w:rPr>
        <w:t xml:space="preserve">نصوغ المهمة تصنيفاً نصياً متعدد الفئات بفئة وحيدة: لكل استفسار x يتنبأ المصنف بفئة ŷ من المجموعة {مالية، شؤون طلاب، معلوماتية، امتحانات}.</w:t>
      </w:r>
    </w:p>
    <w:p>
      <w:pPr>
        <w:pStyle w:val="Heading2"/>
        <w:bidi/>
        <w:spacing w:before="200" w:after="100"/>
      </w:pPr>
      <w:r>
        <w:rPr>
          <w:rFonts w:ascii="Times New Roman" w:hAnsi="Times New Roman" w:cs="Times New Roman" w:eastAsia="Times New Roman"/>
          <w:b/>
          <w:bCs/>
          <w:sz w:val="28"/>
          <w:szCs w:val="28"/>
          <w:rtl/>
        </w:rPr>
        <w:t xml:space="preserve">4.2 النماذج</w:t>
      </w:r>
    </w:p>
    <w:p>
      <w:pPr>
        <w:bidi/>
        <w:spacing w:after="120" w:line="300"/>
        <w:jc w:val="both"/>
      </w:pPr>
      <w:r>
        <w:rPr>
          <w:rFonts w:ascii="Times New Roman" w:hAnsi="Times New Roman" w:cs="Times New Roman" w:eastAsia="Times New Roman"/>
          <w:sz w:val="28"/>
          <w:szCs w:val="28"/>
          <w:rtl/>
        </w:rPr>
        <w:t xml:space="preserve">اخترنا ثلاثة نماذج بحجم BERT-base تمثل ثلاث فلسفات في التدريب المسبق (الجدول 3): AraBERTv2 (فصحى مع تجزئة صرفية)، وARBERTv2 (فصحى واسعة المصادر بقاموس أكبر)، وMARBERTv2 (منصات تواصل تمزج الفصحى باللهجات). ويتيح هذا الاختيار اختبار أثر نوع لغة التدريب المسبق على نص هجين. أُضيفت فوق تمثيل الرمز [CLS] طبقة تصنيف خطية بأربعة مخارج، وطُبّق الضبط الدقيق الكامل لجميع الطبقات، وهو الأسلوب المعتاد في تصنيف النصوص بنماذج BERT [21].</w:t>
      </w:r>
    </w:p>
    <w:p>
      <w:pPr>
        <w:bidi/>
        <w:spacing w:before="60" w:after="200"/>
        <w:jc w:val="center"/>
      </w:pPr>
      <w:r>
        <w:rPr>
          <w:rFonts w:ascii="Times New Roman" w:hAnsi="Times New Roman" w:cs="Times New Roman" w:eastAsia="Times New Roman"/>
          <w:b/>
          <w:bCs/>
          <w:sz w:val="28"/>
          <w:szCs w:val="28"/>
          <w:rtl/>
        </w:rPr>
        <w:t xml:space="preserve">الجدول 3.</w:t>
      </w:r>
      <w:r>
        <w:rPr>
          <w:rFonts w:ascii="Times New Roman" w:hAnsi="Times New Roman" w:cs="Times New Roman" w:eastAsia="Times New Roman"/>
          <w:b w:val="false"/>
          <w:sz w:val="28"/>
          <w:szCs w:val="28"/>
          <w:rtl/>
        </w:rPr>
        <w:t xml:space="preserve"> النماذج المستخدمة وخصائص تدريبها المسبق [7], [8], [9].</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300"/>
        <w:gridCol w:w="21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المعرّف على Hugging Face</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بيانات التدريب المسبق</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التجزئة</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aubmindlab/bert-base-arabertv02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نحو 77 GB</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Farasa + SentencePiece (60K)</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متنوعة المصادر</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WordPiece (100K)</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UBC-NLP/MARBERTv2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تغريدات: فصحى ولهجات</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WordPiece (100K)</w:t>
            </w:r>
          </w:p>
        </w:tc>
      </w:tr>
    </w:tbl>
    <w:p>
      <w:pPr>
        <w:pStyle w:val="Heading2"/>
        <w:bidi/>
        <w:spacing w:before="200" w:after="100"/>
      </w:pPr>
      <w:r>
        <w:rPr>
          <w:rFonts w:ascii="Times New Roman" w:hAnsi="Times New Roman" w:cs="Times New Roman" w:eastAsia="Times New Roman"/>
          <w:b/>
          <w:bCs/>
          <w:sz w:val="28"/>
          <w:szCs w:val="28"/>
          <w:rtl/>
        </w:rPr>
        <w:t xml:space="preserve">4.3 خطوط الأساس الكلاسيكية</w:t>
      </w:r>
    </w:p>
    <w:p>
      <w:pPr>
        <w:bidi/>
        <w:spacing w:after="120" w:line="300"/>
        <w:jc w:val="both"/>
      </w:pPr>
      <w:r>
        <w:rPr>
          <w:rFonts w:ascii="Times New Roman" w:hAnsi="Times New Roman" w:cs="Times New Roman" w:eastAsia="Times New Roman"/>
          <w:sz w:val="28"/>
          <w:szCs w:val="28"/>
          <w:rtl/>
        </w:rPr>
        <w:t xml:space="preserve">لتقدير القيمة المضافة الفعلية للمحوّلات، قارنّاها بثلاثة مصنّفات كلاسيكية: (1) Multinomial Naive Bayes على TF-IDF للكلمات المفردة والثنائية؛ (2) الانحدار اللوجستي (C = 10)، و(3) SVM خطي (C = 1) [18]، ويعتمد الأخيران على اتحاد سمات TF-IDF للكلمات (n = 1–2) والحروف ضمن حدود الكلمة (n = 2–5) مع تحجيم لوغاريتمي لتكرار المصطلح. لم تُضبط معاملات هذه المصنّفات، أي أنها خطوط أساس بإعدادات شائعة لا بأفضل إعداداتها. وتعالج سمات الحروف التنوع الإملائي بطبيعتها، لأن الصيغ المختلفة للكلمة الواحدة تشترك في معظم مقاطعها الحرفية.</w:t>
      </w:r>
    </w:p>
    <w:p>
      <w:pPr>
        <w:pStyle w:val="Heading2"/>
        <w:bidi/>
        <w:spacing w:before="200" w:after="100"/>
      </w:pPr>
      <w:r>
        <w:rPr>
          <w:rFonts w:ascii="Times New Roman" w:hAnsi="Times New Roman" w:cs="Times New Roman" w:eastAsia="Times New Roman"/>
          <w:b/>
          <w:bCs/>
          <w:sz w:val="28"/>
          <w:szCs w:val="28"/>
          <w:rtl/>
        </w:rPr>
        <w:t xml:space="preserve">4.4 المعالجة المسبقة والتجزئة</w:t>
      </w:r>
    </w:p>
    <w:p>
      <w:pPr>
        <w:bidi/>
        <w:spacing w:after="120" w:line="300"/>
        <w:jc w:val="both"/>
      </w:pPr>
      <w:r>
        <w:rPr>
          <w:rFonts w:ascii="Times New Roman" w:hAnsi="Times New Roman" w:cs="Times New Roman" w:eastAsia="Times New Roman"/>
          <w:sz w:val="28"/>
          <w:szCs w:val="28"/>
          <w:rtl/>
        </w:rPr>
        <w:t xml:space="preserve">مُرّرت النصوص إلى المجزّئ الخاص بكل نموذج دون تنظيف إضافي، للحفاظ على الطابع الواقعي للبيانات. حُدّد طول التسلسل الأقصى بـ 128 رمزاً، وهو كافٍ لأن متوسط الاستفسار 15 كلمة تقريباً. واستُخدم الحشو الديناميكي على مستوى الدفعة لتقليل الكلفة الحسابية.</w:t>
      </w:r>
    </w:p>
    <w:p>
      <w:pPr>
        <w:pStyle w:val="Heading2"/>
        <w:bidi/>
        <w:spacing w:before="200" w:after="100"/>
      </w:pPr>
      <w:r>
        <w:rPr>
          <w:rFonts w:ascii="Times New Roman" w:hAnsi="Times New Roman" w:cs="Times New Roman" w:eastAsia="Times New Roman"/>
          <w:b/>
          <w:bCs/>
          <w:sz w:val="28"/>
          <w:szCs w:val="28"/>
          <w:rtl/>
        </w:rPr>
        <w:t xml:space="preserve">4.5 بروتوكول التقييم</w:t>
      </w:r>
    </w:p>
    <w:p>
      <w:pPr>
        <w:bidi/>
        <w:spacing w:after="120" w:line="300"/>
        <w:jc w:val="both"/>
      </w:pPr>
      <w:r>
        <w:rPr>
          <w:rFonts w:ascii="Times New Roman" w:hAnsi="Times New Roman" w:cs="Times New Roman" w:eastAsia="Times New Roman"/>
          <w:sz w:val="28"/>
          <w:szCs w:val="28"/>
          <w:rtl/>
        </w:rPr>
        <w:t xml:space="preserve">اعتمدنا تحققاً متقاطعاً طبقياً خماسياً (StratifiedKFold، بذرة 42). في كل فولد تُخصص 400 عينة للاختبار (20%)، ويُقتطع من بيانات التدريب الباقية جزء طبقي بنسبة 10% (160 عينة) للتحقق ومراقبة التوقف المبكر، فيبقى 1,440 عينة للتدريب. ثُبّتت الفولدات قبل تدريب أي نموذج، فخضعت النماذج كلها، بما فيها خطوط الأساس، لتقسيمات متطابقة. وتُحسب المقاييس على فولد الاختبار ثم يؤخذ متوسطها عبر الفولدات الخمسة، وتُجمّع التنبؤات من الفولدات الخمسة لبناء مصفوفة ارتباك واحدة تغطي العينات الألفين.</w:t>
      </w:r>
    </w:p>
    <w:p>
      <w:pPr>
        <w:pStyle w:val="Heading2"/>
        <w:bidi/>
        <w:spacing w:before="200" w:after="100"/>
      </w:pPr>
      <w:r>
        <w:rPr>
          <w:rFonts w:ascii="Times New Roman" w:hAnsi="Times New Roman" w:cs="Times New Roman" w:eastAsia="Times New Roman"/>
          <w:b/>
          <w:bCs/>
          <w:sz w:val="28"/>
          <w:szCs w:val="28"/>
          <w:rtl/>
        </w:rPr>
        <w:t xml:space="preserve">4.6 السيناريو الأول: معاملات فائقة موحّدة</w:t>
      </w:r>
    </w:p>
    <w:p>
      <w:pPr>
        <w:bidi/>
        <w:spacing w:after="120" w:line="300"/>
        <w:jc w:val="both"/>
      </w:pPr>
      <w:r>
        <w:rPr>
          <w:rFonts w:ascii="Times New Roman" w:hAnsi="Times New Roman" w:cs="Times New Roman" w:eastAsia="Times New Roman"/>
          <w:sz w:val="28"/>
          <w:szCs w:val="28"/>
          <w:rtl/>
        </w:rPr>
        <w:t xml:space="preserve">لعزل أثر النموذج عن أثر الإعدادات، دُرّبت النماذج الثلاثة بالإعدادات نفسها (الجدول 4)، مع توقف مبكر بصبر حقبتين على خسارة التحقق، واستعادة أوزان أفضل حقبة عند نهاية التدريب.</w:t>
      </w:r>
    </w:p>
    <w:p>
      <w:pPr>
        <w:bidi/>
        <w:spacing w:before="60" w:after="200"/>
        <w:jc w:val="center"/>
      </w:pPr>
      <w:r>
        <w:rPr>
          <w:rFonts w:ascii="Times New Roman" w:hAnsi="Times New Roman" w:cs="Times New Roman" w:eastAsia="Times New Roman"/>
          <w:b/>
          <w:bCs/>
          <w:sz w:val="28"/>
          <w:szCs w:val="28"/>
          <w:rtl/>
        </w:rPr>
        <w:t xml:space="preserve">الجدول 4.</w:t>
      </w:r>
      <w:r>
        <w:rPr>
          <w:rFonts w:ascii="Times New Roman" w:hAnsi="Times New Roman" w:cs="Times New Roman" w:eastAsia="Times New Roman"/>
          <w:b w:val="false"/>
          <w:sz w:val="28"/>
          <w:szCs w:val="28"/>
          <w:rtl/>
        </w:rPr>
        <w:t xml:space="preserve"> المعاملات الفائقة الموحّدة في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0"/>
        <w:gridCol w:w="47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المعامل</w:t>
            </w:r>
          </w:p>
        </w:tc>
        <w:tc>
          <w:tcPr>
            <w:tcW w:type="dxa" w:w="4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القيمة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معدل التعلم</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10⁻⁵</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الدفعة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الحد الأقصى للحقب</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 (مع توقف مبكر، صبر = 2)</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انحلال الأوزان</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معيار اختيار أفضل نقطة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أدنى خسارة تحقق</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الدقة العددية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FP16</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البذرة</w:t>
            </w:r>
          </w:p>
        </w:tc>
        <w:tc>
          <w:tcPr>
            <w:tcW w:type="dxa" w:w="4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42 (random وNumPy وPyTorch وdata_seed)</w:t>
            </w:r>
          </w:p>
        </w:tc>
      </w:tr>
    </w:tbl>
    <w:p>
      <w:pPr>
        <w:pStyle w:val="Heading2"/>
        <w:bidi/>
        <w:spacing w:before="200" w:after="100"/>
      </w:pPr>
      <w:r>
        <w:rPr>
          <w:rFonts w:ascii="Times New Roman" w:hAnsi="Times New Roman" w:cs="Times New Roman" w:eastAsia="Times New Roman"/>
          <w:b/>
          <w:bCs/>
          <w:sz w:val="28"/>
          <w:szCs w:val="28"/>
          <w:rtl/>
        </w:rPr>
        <w:t xml:space="preserve">4.7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لأن الإعدادات الموحّدة قد تظلم نموذجاً لا تناسبه، ضُبطت المعاملات لكل نموذج على حدة بإطار Optuna [23] بثلاثين تجربة لكل نموذج (90 تجربة إجمالاً). شمل فضاء البحث معدل التعلم بأخذ لوغاريتمي في المجال [5×10⁻⁶، 5×10⁻⁵]، وحجم الدفعة من {8، 16، 32}، ونسبة الإحماء في [0، 0.1]، وحُدد عدد الحقب بالتوقف المبكر كما في السيناريو الأول. أُجري البحث على مجموعة التحقق المقتطعة من تدريب الفولد الأول، وكان هدف التحسين F1-Macro على مجموعة التحقق، مع تقليم التجارب الضعيفة بالمقلّم الوسيطي (MedianPruner، خمس تجارب تأسيسية). ثم أُعيد تقييم أفضل ثلاثة مرشحين لكل نموذج على الفولدات الخمسة، واعتُمد المرشح صاحب أفضل متوسط. وحُفظت الدراسات في قاعدة SQLite لاستئنافها عند انقطاع جلسات المعالجة.</w:t>
      </w:r>
    </w:p>
    <w:p>
      <w:pPr>
        <w:pStyle w:val="Heading2"/>
        <w:bidi/>
        <w:spacing w:before="200" w:after="100"/>
      </w:pPr>
      <w:r>
        <w:rPr>
          <w:rFonts w:ascii="Times New Roman" w:hAnsi="Times New Roman" w:cs="Times New Roman" w:eastAsia="Times New Roman"/>
          <w:b/>
          <w:bCs/>
          <w:sz w:val="28"/>
          <w:szCs w:val="28"/>
          <w:rtl/>
        </w:rPr>
        <w:t xml:space="preserve">4.8 مقاييس الأداء والاختبار الإحصائي</w:t>
      </w:r>
    </w:p>
    <w:p>
      <w:pPr>
        <w:bidi/>
        <w:spacing w:after="120" w:line="300"/>
        <w:jc w:val="both"/>
      </w:pPr>
      <w:r>
        <w:rPr>
          <w:rFonts w:ascii="Times New Roman" w:hAnsi="Times New Roman" w:cs="Times New Roman" w:eastAsia="Times New Roman"/>
          <w:sz w:val="28"/>
          <w:szCs w:val="28"/>
          <w:rtl/>
        </w:rPr>
        <w:t xml:space="preserve">لأن الفئات متوازنة، نعتمد الدقة الكلية (Accuracy) ومتوسطات الماكرو للدقة الصنفية (Precision) والاستدعاء (Recall) وF1، وتُعرَّف لكل فئة c كما يلي، ثم يؤخذ متوسطها الحسابي على الفئات الأربع:</w:t>
      </w:r>
    </w:p>
    <w:p>
      <w:pPr>
        <w:bidi w:val="false"/>
        <w:spacing w:after="80"/>
        <w:jc w:val="center"/>
      </w:pPr>
      <w:r>
        <w:rPr>
          <w:rFonts w:ascii="Times New Roman" w:hAnsi="Times New Roman" w:cs="Times New Roman"/>
          <w:i/>
          <w:iCs/>
          <w:sz w:val="28"/>
          <w:szCs w:val="28"/>
        </w:rPr>
        <w:t xml:space="preserve">Precision_c = TP_c / (TP_c + FP_c)      Recall_c = TP_c / (TP_c + FN_c)</w:t>
      </w:r>
    </w:p>
    <w:p>
      <w:pPr>
        <w:bidi w:val="false"/>
        <w:spacing w:after="80"/>
        <w:jc w:val="center"/>
      </w:pPr>
      <w:r>
        <w:rPr>
          <w:rFonts w:ascii="Times New Roman" w:hAnsi="Times New Roman" w:cs="Times New Roman"/>
          <w:i/>
          <w:iCs/>
          <w:sz w:val="28"/>
          <w:szCs w:val="28"/>
        </w:rPr>
        <w:t xml:space="preserve">F1_c = 2 · Precision_c · Recall_c / (Precision_c + Recall_c)</w:t>
      </w:r>
    </w:p>
    <w:p>
      <w:pPr>
        <w:bidi w:val="false"/>
        <w:spacing w:after="80"/>
        <w:jc w:val="center"/>
      </w:pPr>
      <w:r>
        <w:rPr>
          <w:rFonts w:ascii="Times New Roman" w:hAnsi="Times New Roman" w:cs="Times New Roman"/>
          <w:i/>
          <w:iCs/>
          <w:sz w:val="28"/>
          <w:szCs w:val="28"/>
        </w:rPr>
        <w:t xml:space="preserve">Macro-F1 = (1/4) · Σ_c F1_c</w:t>
      </w:r>
    </w:p>
    <w:p>
      <w:pPr>
        <w:bidi/>
        <w:spacing w:after="120" w:line="300"/>
        <w:jc w:val="both"/>
      </w:pPr>
      <w:r>
        <w:rPr>
          <w:rFonts w:ascii="Times New Roman" w:hAnsi="Times New Roman" w:cs="Times New Roman" w:eastAsia="Times New Roman"/>
          <w:sz w:val="28"/>
          <w:szCs w:val="28"/>
          <w:rtl/>
        </w:rPr>
        <w:t xml:space="preserve">ولتقدير عدم اليقين، نحسب فترة ثقة Wilson بمستوى 95% للدقة الكلية على العينات الألفين [26]. تعطي هذه الفترة تقديراً تقريبياً لعدم اليقين لكل نموذج على حدة، ولا تغني عن اختبار مزدوج مثل McNemar [27] الذي يتطلب تنبؤات كل عينة.</w:t>
      </w:r>
    </w:p>
    <w:p>
      <w:pPr>
        <w:pStyle w:val="Heading2"/>
        <w:bidi/>
        <w:spacing w:before="200" w:after="100"/>
      </w:pPr>
      <w:r>
        <w:rPr>
          <w:rFonts w:ascii="Times New Roman" w:hAnsi="Times New Roman" w:cs="Times New Roman" w:eastAsia="Times New Roman"/>
          <w:b/>
          <w:bCs/>
          <w:sz w:val="28"/>
          <w:szCs w:val="28"/>
          <w:rtl/>
        </w:rPr>
        <w:t xml:space="preserve">4.9 بيئة التنفيذ</w:t>
      </w:r>
    </w:p>
    <w:p>
      <w:pPr>
        <w:bidi/>
        <w:spacing w:after="120" w:line="300"/>
        <w:jc w:val="both"/>
      </w:pPr>
      <w:r>
        <w:rPr>
          <w:rFonts w:ascii="Times New Roman" w:hAnsi="Times New Roman" w:cs="Times New Roman" w:eastAsia="Times New Roman"/>
          <w:sz w:val="28"/>
          <w:szCs w:val="28"/>
          <w:rtl/>
        </w:rPr>
        <w:t xml:space="preserve">نُفّذت تجارب المحوّلات على Google Colab بوحدة معالجة رسومية، باستخدام مكتبات Transformers [24] وPyTorch وscikit-learn [25] وOptuna [23]. ونُفّذت خطوط الأساس الكلاسيكية بمكتبة scikit-learn على المعالج المركزي، واستغرق تدريبها وتقييمها على الفولدات الخمسة أقل من دقيقة.</w:t>
      </w:r>
    </w:p>
    <w:p>
      <w:pPr>
        <w:pStyle w:val="Heading1"/>
        <w:bidi/>
        <w:spacing w:before="300" w:after="140"/>
      </w:pPr>
      <w:r>
        <w:rPr>
          <w:rFonts w:ascii="Times New Roman" w:hAnsi="Times New Roman" w:cs="Times New Roman" w:eastAsia="Times New Roman"/>
          <w:b/>
          <w:bCs/>
          <w:sz w:val="32"/>
          <w:szCs w:val="32"/>
          <w:rtl/>
        </w:rPr>
        <w:t xml:space="preserve">5. النتائج</w:t>
      </w:r>
    </w:p>
    <w:p>
      <w:pPr>
        <w:pStyle w:val="Heading2"/>
        <w:bidi/>
        <w:spacing w:before="200" w:after="100"/>
      </w:pPr>
      <w:r>
        <w:rPr>
          <w:rFonts w:ascii="Times New Roman" w:hAnsi="Times New Roman" w:cs="Times New Roman" w:eastAsia="Times New Roman"/>
          <w:b/>
          <w:bCs/>
          <w:sz w:val="28"/>
          <w:szCs w:val="28"/>
          <w:rtl/>
        </w:rPr>
        <w:t xml:space="preserve">5.1 السيناريو الأول: إعدادات موحّدة</w:t>
      </w:r>
    </w:p>
    <w:p>
      <w:pPr>
        <w:bidi/>
        <w:spacing w:after="120" w:line="300"/>
        <w:jc w:val="both"/>
      </w:pPr>
      <w:r>
        <w:rPr>
          <w:rFonts w:ascii="Times New Roman" w:hAnsi="Times New Roman" w:cs="Times New Roman" w:eastAsia="Times New Roman"/>
          <w:sz w:val="28"/>
          <w:szCs w:val="28"/>
          <w:rtl/>
        </w:rPr>
        <w:t xml:space="preserve">يعرض الجدول 5 نتائج النماذج الثلاثة بإعدادات موحّدة. يتصدر AraBERTv2 بدقة 92.45% وF1-Macro يساوي 0.9243 و151 خطأً من 2,000 عينة، يليه MARBERTv2 (91.95%) ثم ARBERTv2 (91.05%). والفارق بين الأول والأخير 1.4 نقطة مئوية، أي 28 عينة.</w:t>
      </w:r>
    </w:p>
    <w:p>
      <w:pPr>
        <w:bidi/>
        <w:spacing w:before="60" w:after="200"/>
        <w:jc w:val="center"/>
      </w:pPr>
      <w:r>
        <w:rPr>
          <w:rFonts w:ascii="Times New Roman" w:hAnsi="Times New Roman" w:cs="Times New Roman" w:eastAsia="Times New Roman"/>
          <w:b/>
          <w:bCs/>
          <w:sz w:val="28"/>
          <w:szCs w:val="28"/>
          <w:rtl/>
        </w:rPr>
        <w:t xml:space="preserve">الجدول 5.</w:t>
      </w:r>
      <w:r>
        <w:rPr>
          <w:rFonts w:ascii="Times New Roman" w:hAnsi="Times New Roman" w:cs="Times New Roman" w:eastAsia="Times New Roman"/>
          <w:b w:val="false"/>
          <w:sz w:val="28"/>
          <w:szCs w:val="28"/>
          <w:rtl/>
        </w:rPr>
        <w:t xml:space="preserve"> نتائج السيناريو الأول (متوسط الفولدات الخمسة).</w:t>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950"/>
        <w:gridCol w:w="1300"/>
        <w:gridCol w:w="1450"/>
        <w:gridCol w:w="1350"/>
        <w:gridCol w:w="14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0.9255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0.9217</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0.9122</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r>
    </w:tbl>
    <w:p>
      <w:pPr>
        <w:bidi/>
        <w:spacing w:after="120" w:line="300"/>
        <w:jc w:val="both"/>
      </w:pPr>
      <w:r>
        <w:rPr>
          <w:rFonts w:ascii="Times New Roman" w:hAnsi="Times New Roman" w:cs="Times New Roman" w:eastAsia="Times New Roman"/>
          <w:sz w:val="28"/>
          <w:szCs w:val="28"/>
          <w:rtl/>
        </w:rPr>
        <w:t xml:space="preserve">ويوضح الجدول 6 حقبة أفضل نقطة لكل فولد. يتقارب ARBERTv2 أسرع (متوسط 1.6 حقبة)، بينما يحتاج AraBERTv2 إلى 3.0 حقب. ويدل التقارب المبكر جداً لـ ARBERTv2 على أن معدل التعلم الموحّد قد لا يناسبه، وهو ما يؤكده السيناريو الثاني.</w:t>
      </w:r>
    </w:p>
    <w:p>
      <w:pPr>
        <w:bidi/>
        <w:spacing w:before="60" w:after="200"/>
        <w:jc w:val="center"/>
      </w:pPr>
      <w:r>
        <w:rPr>
          <w:rFonts w:ascii="Times New Roman" w:hAnsi="Times New Roman" w:cs="Times New Roman" w:eastAsia="Times New Roman"/>
          <w:b/>
          <w:bCs/>
          <w:sz w:val="28"/>
          <w:szCs w:val="28"/>
          <w:rtl/>
        </w:rPr>
        <w:t xml:space="preserve">الجدول 6.</w:t>
      </w:r>
      <w:r>
        <w:rPr>
          <w:rFonts w:ascii="Times New Roman" w:hAnsi="Times New Roman" w:cs="Times New Roman" w:eastAsia="Times New Roman"/>
          <w:b w:val="false"/>
          <w:sz w:val="28"/>
          <w:szCs w:val="28"/>
          <w:rtl/>
        </w:rPr>
        <w:t xml:space="preserve"> الحقبة التي سُجّلت فيها أدنى خسارة تحقق في كل فولد.</w:t>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100"/>
        <w:gridCol w:w="1100"/>
        <w:gridCol w:w="1300"/>
      </w:tblGrid>
      <w:tr>
        <w:trPr>
          <w:tblHeader/>
        </w:trPr>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F2</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F3</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F4</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F5</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المتوسط</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3.0</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r>
    </w:tbl>
    <w:p>
      <w:pPr>
        <w:pStyle w:val="Heading2"/>
        <w:bidi/>
        <w:spacing w:before="200" w:after="100"/>
      </w:pPr>
      <w:r>
        <w:rPr>
          <w:rFonts w:ascii="Times New Roman" w:hAnsi="Times New Roman" w:cs="Times New Roman" w:eastAsia="Times New Roman"/>
          <w:b/>
          <w:bCs/>
          <w:sz w:val="28"/>
          <w:szCs w:val="28"/>
          <w:rtl/>
        </w:rPr>
        <w:t xml:space="preserve">5.2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يعرض الجدول 7 أفضل المعاملات لكل نموذج، والجدول 8 نتائجها. فضّل MARBERTv2 معدل تعلم منخفضاً جداً (5.24×10⁻⁶) مع دفعات صغيرة (8)، بينما فضّل AraBERTv2 وARBERTv2 معدلات أعلى بنحو ستة أضعاف مع دفعات أكبر (32). وأظهرت مخططات أهمية المعاملات أن معدل التعلم هو الأكثر تأثيراً، تليه نسبة الإحماء، بينما كان أثر حجم الدفعة محدوداً.</w:t>
      </w:r>
    </w:p>
    <w:p>
      <w:pPr>
        <w:bidi/>
        <w:spacing w:before="60" w:after="200"/>
        <w:jc w:val="center"/>
      </w:pPr>
      <w:r>
        <w:rPr>
          <w:rFonts w:ascii="Times New Roman" w:hAnsi="Times New Roman" w:cs="Times New Roman" w:eastAsia="Times New Roman"/>
          <w:b/>
          <w:bCs/>
          <w:sz w:val="28"/>
          <w:szCs w:val="28"/>
          <w:rtl/>
        </w:rPr>
        <w:t xml:space="preserve">الجدول 7.</w:t>
      </w:r>
      <w:r>
        <w:rPr>
          <w:rFonts w:ascii="Times New Roman" w:hAnsi="Times New Roman" w:cs="Times New Roman" w:eastAsia="Times New Roman"/>
          <w:b w:val="false"/>
          <w:sz w:val="28"/>
          <w:szCs w:val="28"/>
          <w:rtl/>
        </w:rPr>
        <w:t xml:space="preserve"> أفضل المعاملات الفائقة لكل نموذج بعد الضبط.</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100"/>
        <w:gridCol w:w="2200"/>
      </w:tblGrid>
      <w:tr>
        <w:trPr>
          <w:tblHeader/>
        </w:trPr>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معدل التعلم</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الدفعة</w:t>
            </w:r>
          </w:p>
        </w:tc>
        <w:tc>
          <w:tcPr>
            <w:tcW w:type="dxa" w:w="2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نسبة الإحماء</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3.44 × 10⁻⁵</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0.0366</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2.92 × 10⁻⁵</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0.0008</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5.24 × 10⁻⁶</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0.0182</w:t>
            </w:r>
          </w:p>
        </w:tc>
      </w:tr>
    </w:tbl>
    <w:p>
      <w:pPr>
        <w:bidi/>
        <w:spacing w:before="60" w:after="200"/>
        <w:jc w:val="center"/>
      </w:pPr>
      <w:r>
        <w:rPr>
          <w:rFonts w:ascii="Times New Roman" w:hAnsi="Times New Roman" w:cs="Times New Roman" w:eastAsia="Times New Roman"/>
          <w:b/>
          <w:bCs/>
          <w:sz w:val="28"/>
          <w:szCs w:val="28"/>
          <w:rtl/>
        </w:rPr>
        <w:t xml:space="preserve">الجدول 8.</w:t>
      </w:r>
      <w:r>
        <w:rPr>
          <w:rFonts w:ascii="Times New Roman" w:hAnsi="Times New Roman" w:cs="Times New Roman" w:eastAsia="Times New Roman"/>
          <w:b w:val="false"/>
          <w:sz w:val="28"/>
          <w:szCs w:val="28"/>
          <w:rtl/>
        </w:rPr>
        <w:t xml:space="preserve"> نتائج السيناريو الثاني والتحسن مقارنة بالسيناريو الأول.</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00"/>
        <w:gridCol w:w="115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ΔF1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0.9303</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146</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+0.0028</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0.9266</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+0.0146</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+0.0045</w:t>
            </w:r>
          </w:p>
        </w:tc>
      </w:tr>
    </w:tbl>
    <w:p>
      <w:pPr>
        <w:bidi/>
        <w:spacing w:after="120" w:line="300"/>
        <w:jc w:val="both"/>
      </w:pPr>
      <w:r>
        <w:rPr>
          <w:rFonts w:ascii="Times New Roman" w:hAnsi="Times New Roman" w:cs="Times New Roman" w:eastAsia="Times New Roman"/>
          <w:sz w:val="28"/>
          <w:szCs w:val="28"/>
          <w:rtl/>
        </w:rPr>
        <w:t xml:space="preserve">حسّن الضبط النماذج الثلاثة جميعاً، وكان أكبر تحسن لـ ARBERTv2 (+1.40 نقطة في الدقة) الذي انتقل من المرتبة الأخيرة إلى الثانية. وحافظ AraBERTv2 على الصدارة، لكن الفارق بين النماذج الثلاثة تقلص إلى 0.30 نقطة مئوية فقط (6 عينات). أي أن جزءاً كبيراً من الفروق في السيناريو الأول يعود إلى ملاءمة الإعدادات لا إلى النموذج نفسه.</w:t>
      </w:r>
    </w:p>
    <w:p>
      <w:pPr>
        <w:pStyle w:val="Heading2"/>
        <w:bidi/>
        <w:spacing w:before="200" w:after="100"/>
      </w:pPr>
      <w:r>
        <w:rPr>
          <w:rFonts w:ascii="Times New Roman" w:hAnsi="Times New Roman" w:cs="Times New Roman" w:eastAsia="Times New Roman"/>
          <w:b/>
          <w:bCs/>
          <w:sz w:val="28"/>
          <w:szCs w:val="28"/>
          <w:rtl/>
        </w:rPr>
        <w:t xml:space="preserve">5.3 المقارنة مع خطوط الأساس الكلاسيكية</w:t>
      </w:r>
    </w:p>
    <w:p>
      <w:pPr>
        <w:bidi/>
        <w:spacing w:after="120" w:line="300"/>
        <w:jc w:val="both"/>
      </w:pPr>
      <w:r>
        <w:rPr>
          <w:rFonts w:ascii="Times New Roman" w:hAnsi="Times New Roman" w:cs="Times New Roman" w:eastAsia="Times New Roman"/>
          <w:sz w:val="28"/>
          <w:szCs w:val="28"/>
          <w:rtl/>
        </w:rPr>
        <w:t xml:space="preserve">يعرض الجدول 9 نتائج خطوط الأساس على الفولدات ذاتها، ويوضح الشكل 2 الدقة الكلية لجميع الأنظمة مع فترات ثقة 95%. حقّق SVM الخطي على سمات الكلمات والحروف دقة 93.25% (F1-Macro = 0.9325)، أي أعلى من أفضل نموذج محوّلات بـ 0.55 نقطة، وحقق الانحدار اللوجستي 92.45%، مساوياً لـ AraBERTv2 في السيناريو الأول. بينما تأخر Naive Bayes على سمات الكلمات فقط (87.30%).</w:t>
      </w:r>
    </w:p>
    <w:p>
      <w:pPr>
        <w:bidi/>
        <w:spacing w:before="60" w:after="200"/>
        <w:jc w:val="center"/>
      </w:pPr>
      <w:r>
        <w:rPr>
          <w:rFonts w:ascii="Times New Roman" w:hAnsi="Times New Roman" w:cs="Times New Roman" w:eastAsia="Times New Roman"/>
          <w:b/>
          <w:bCs/>
          <w:sz w:val="28"/>
          <w:szCs w:val="28"/>
          <w:rtl/>
        </w:rPr>
        <w:t xml:space="preserve">الجدول 9.</w:t>
      </w:r>
      <w:r>
        <w:rPr>
          <w:rFonts w:ascii="Times New Roman" w:hAnsi="Times New Roman" w:cs="Times New Roman" w:eastAsia="Times New Roman"/>
          <w:b w:val="false"/>
          <w:sz w:val="28"/>
          <w:szCs w:val="28"/>
          <w:rtl/>
        </w:rPr>
        <w:t xml:space="preserve"> نتائج خطوط الأساس الكلاسيكية (متوسط الفولدات الخمسة، والانحراف المعياري بالنقاط المئوية).</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200"/>
        <w:gridCol w:w="1500"/>
        <w:gridCol w:w="1200"/>
        <w:gridCol w:w="900"/>
      </w:tblGrid>
      <w:tr>
        <w:trPr>
          <w:tblHeader/>
        </w:trPr>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السمات</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الانحراف المعياري للدقة</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Multinomial NB</w:t>
            </w:r>
          </w:p>
        </w:tc>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كلمات (1–2)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87.30%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0.62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0.8727</w:t>
            </w:r>
          </w:p>
        </w:tc>
        <w:tc>
          <w:tcPr>
            <w:tcW w:type="dxa" w:w="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254</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Logistic Regression</w:t>
            </w:r>
          </w:p>
        </w:tc>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كلمات (1–2) + حروف (2–5)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0.9247</w:t>
            </w:r>
          </w:p>
        </w:tc>
        <w:tc>
          <w:tcPr>
            <w:tcW w:type="dxa" w:w="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Linear SVM</w:t>
            </w:r>
          </w:p>
        </w:tc>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كلمات (1–2) + حروف (2–5)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93.25%</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0.57</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0.9325</w:t>
            </w:r>
          </w:p>
        </w:tc>
        <w:tc>
          <w:tcPr>
            <w:tcW w:type="dxa" w:w="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135</w:t>
            </w:r>
          </w:p>
        </w:tc>
      </w:tr>
    </w:tbl>
    <w:p>
      <w:pPr>
        <w:spacing w:before="120"/>
        <w:jc w:val="center"/>
      </w:pPr>
      <w:r>
        <w:drawing>
          <wp:inline distT="0" distB="0" distL="0" distR="0">
            <wp:extent cx="5524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8575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2.</w:t>
      </w:r>
      <w:r>
        <w:rPr>
          <w:rFonts w:ascii="Times New Roman" w:hAnsi="Times New Roman" w:cs="Times New Roman" w:eastAsia="Times New Roman"/>
          <w:b w:val="false"/>
          <w:sz w:val="28"/>
          <w:szCs w:val="28"/>
          <w:rtl/>
        </w:rPr>
        <w:t xml:space="preserve"> الدقة الكلية مع فترة ثقة Wilson بمستوى 95% (n = 2000). S1: إعدادات موحّدة، S2: ضبط بإطار Optuna.</w:t>
      </w:r>
    </w:p>
    <w:p>
      <w:pPr>
        <w:bidi/>
        <w:spacing w:after="120" w:line="300"/>
        <w:jc w:val="both"/>
      </w:pPr>
      <w:r>
        <w:rPr>
          <w:rFonts w:ascii="Times New Roman" w:hAnsi="Times New Roman" w:cs="Times New Roman" w:eastAsia="Times New Roman"/>
          <w:sz w:val="28"/>
          <w:szCs w:val="28"/>
          <w:rtl/>
        </w:rPr>
        <w:t xml:space="preserve">عرض فترة الثقة نحو ±1.1 نقطة مئوية، وتتداخل فترات جميع الأنظمة عدا Naive Bayes. فلا يمكن القول بوجود فرق دال إحصائياً بين أفضل نموذج محوّلات وSVM، ولا بين نماذج المحوّلات الثلاثة في السيناريو الثاني.</w:t>
      </w:r>
    </w:p>
    <w:p>
      <w:pPr>
        <w:pStyle w:val="Heading2"/>
        <w:bidi/>
        <w:spacing w:before="200" w:after="100"/>
      </w:pPr>
      <w:r>
        <w:rPr>
          <w:rFonts w:ascii="Times New Roman" w:hAnsi="Times New Roman" w:cs="Times New Roman" w:eastAsia="Times New Roman"/>
          <w:b/>
          <w:bCs/>
          <w:sz w:val="28"/>
          <w:szCs w:val="28"/>
          <w:rtl/>
        </w:rPr>
        <w:t xml:space="preserve">5.4 الأداء حسب الفئة ومصفوفات الارتباك</w:t>
      </w:r>
    </w:p>
    <w:p>
      <w:pPr>
        <w:bidi/>
        <w:spacing w:after="120" w:line="300"/>
        <w:jc w:val="both"/>
      </w:pPr>
      <w:r>
        <w:rPr>
          <w:rFonts w:ascii="Times New Roman" w:hAnsi="Times New Roman" w:cs="Times New Roman" w:eastAsia="Times New Roman"/>
          <w:sz w:val="28"/>
          <w:szCs w:val="28"/>
          <w:rtl/>
        </w:rPr>
        <w:t xml:space="preserve">يوضح الشكل 3 مصفوفات الارتباك المجمّعة من الفولدات الخمسة في السيناريو الأول، ويعرض الجدول 10 قيم F1 لكل فئة المحسوبة منها. الفئة الأسهل هي الشؤون المالية (F1 بين 0.938 و0.956)، والأصعب بفارق واضح هي شؤون الطلاب (F1 بين 0.853 و0.870) في النماذج الثلاثة.</w:t>
      </w:r>
    </w:p>
    <w:p>
      <w:pPr>
        <w:spacing w:before="12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3.</w:t>
      </w:r>
      <w:r>
        <w:rPr>
          <w:rFonts w:ascii="Times New Roman" w:hAnsi="Times New Roman" w:cs="Times New Roman" w:eastAsia="Times New Roman"/>
          <w:b w:val="false"/>
          <w:sz w:val="28"/>
          <w:szCs w:val="28"/>
          <w:rtl/>
        </w:rPr>
        <w:t xml:space="preserve"> مصفوفات الارتباك المجمّعة للسيناريو الأول (Fin: مالية، Stu: شؤون طلاب، IT: معلوماتية، Exa: امتحانات).</w:t>
      </w:r>
    </w:p>
    <w:p>
      <w:pPr>
        <w:bidi/>
        <w:spacing w:before="60" w:after="200"/>
        <w:jc w:val="center"/>
      </w:pPr>
      <w:r>
        <w:rPr>
          <w:rFonts w:ascii="Times New Roman" w:hAnsi="Times New Roman" w:cs="Times New Roman" w:eastAsia="Times New Roman"/>
          <w:b/>
          <w:bCs/>
          <w:sz w:val="28"/>
          <w:szCs w:val="28"/>
          <w:rtl/>
        </w:rPr>
        <w:t xml:space="preserve">الجدول 10.</w:t>
      </w:r>
      <w:r>
        <w:rPr>
          <w:rFonts w:ascii="Times New Roman" w:hAnsi="Times New Roman" w:cs="Times New Roman" w:eastAsia="Times New Roman"/>
          <w:b w:val="false"/>
          <w:sz w:val="28"/>
          <w:szCs w:val="28"/>
          <w:rtl/>
        </w:rPr>
        <w:t xml:space="preserve"> قيم F1 لكل فئة في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2000"/>
        <w:gridCol w:w="2000"/>
      </w:tblGrid>
      <w:tr>
        <w:trPr>
          <w:tblHeader/>
        </w:trPr>
        <w:tc>
          <w:tcPr>
            <w:tcW w:type="dxa" w:w="2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0.956</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0.869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0.870</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0.853</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0.933</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0.923</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0.922</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0.916</w:t>
            </w:r>
          </w:p>
        </w:tc>
      </w:tr>
    </w:tbl>
    <w:p>
      <w:pPr>
        <w:pStyle w:val="Heading2"/>
        <w:bidi/>
        <w:spacing w:before="200" w:after="100"/>
      </w:pPr>
      <w:r>
        <w:rPr>
          <w:rFonts w:ascii="Times New Roman" w:hAnsi="Times New Roman" w:cs="Times New Roman" w:eastAsia="Times New Roman"/>
          <w:b/>
          <w:bCs/>
          <w:sz w:val="28"/>
          <w:szCs w:val="28"/>
          <w:rtl/>
        </w:rPr>
        <w:t xml:space="preserve">5.5 تحليل الأخطاء</w:t>
      </w:r>
    </w:p>
    <w:p>
      <w:pPr>
        <w:bidi/>
        <w:spacing w:after="120" w:line="300"/>
        <w:jc w:val="both"/>
      </w:pPr>
      <w:r>
        <w:rPr>
          <w:rFonts w:ascii="Times New Roman" w:hAnsi="Times New Roman" w:cs="Times New Roman" w:eastAsia="Times New Roman"/>
          <w:sz w:val="28"/>
          <w:szCs w:val="28"/>
          <w:rtl/>
        </w:rPr>
        <w:t xml:space="preserve">يبيّن الجدول 11 توزيع الأخطاء على أزواج الارتباك. يستحوذ الزوج (امتحانات ↔ شؤون طلاب) بالاتجاهين على 39.1% إلى 46.4% من أخطاء كل نموذج، وهو الزوج الأكثر تكراراً في النماذج الثلاثة، وتمثل الأخطاء التي تكون شؤون الطلاب فيها الفئة الحقيقية بين 41.0% و45.8% من الأخطاء. وتتوزع أخطاء هذه الفئة على الفئات الثلاث الأخرى، لأن شؤون الطلاب واجهة عامة تتقاطع مفرداتها مع الجميع: «المواد» و«المعدل» مع الامتحانات، و«الدفع» مع المالية، و«الموقع» و«النظام» مع المعلوماتية.</w:t>
      </w:r>
    </w:p>
    <w:p>
      <w:pPr>
        <w:bidi/>
        <w:spacing w:before="60" w:after="200"/>
        <w:jc w:val="center"/>
      </w:pPr>
      <w:r>
        <w:rPr>
          <w:rFonts w:ascii="Times New Roman" w:hAnsi="Times New Roman" w:cs="Times New Roman" w:eastAsia="Times New Roman"/>
          <w:b/>
          <w:bCs/>
          <w:sz w:val="28"/>
          <w:szCs w:val="28"/>
          <w:rtl/>
        </w:rPr>
        <w:t xml:space="preserve">الجدول 11.</w:t>
      </w:r>
      <w:r>
        <w:rPr>
          <w:rFonts w:ascii="Times New Roman" w:hAnsi="Times New Roman" w:cs="Times New Roman" w:eastAsia="Times New Roman"/>
          <w:b w:val="false"/>
          <w:sz w:val="28"/>
          <w:szCs w:val="28"/>
          <w:rtl/>
        </w:rPr>
        <w:t xml:space="preserve"> توزيع الأخطاء حسب أزواج الارتباك (الحقيقي ← المتنبأ به) في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1900"/>
      </w:tblGrid>
      <w:tr>
        <w:trPr>
          <w:tblHeader/>
        </w:trPr>
        <w:tc>
          <w:tcPr>
            <w:tcW w:type="dxa" w:w="3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الزوج</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27</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23</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بقية الأزواج (5 أزواج)</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23</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r>
    </w:tbl>
    <w:p>
      <w:pPr>
        <w:bidi/>
        <w:spacing w:after="120" w:line="300"/>
        <w:jc w:val="both"/>
      </w:pPr>
      <w:r>
        <w:rPr>
          <w:rFonts w:ascii="Times New Roman" w:hAnsi="Times New Roman" w:cs="Times New Roman" w:eastAsia="Times New Roman"/>
          <w:sz w:val="28"/>
          <w:szCs w:val="28"/>
          <w:rtl/>
        </w:rPr>
        <w:t xml:space="preserve">ويلخص الجدول 12 تقاطع الأخطاء بين النماذج. أخطأت النماذج الثلاثة معاً في 73 استفساراً، تمثل 40.8% إلى 48.3% من أخطاء كل نموذج، واختلفت النماذج في الفئة المتنبأ بها في 16 منها. أما الأخطاء الحصرية فبلغت 29 لـ AraBERTv2 مقابل 64 لـ ARBERTv2. وإجمالاً أُخطئ في 279 عينة مختلفة على الأقل من نموذج واحد، بينما صنّف نموذج واحد على الأقل 1,927 عينة تصنيفاً صحيحاً؛ أي أن سقف الأداء الممكن نظرياً بالتجميع (Oracle) يبلغ 96.35%، ما يدل على تكامل جزئي بين النماذج يمكن استثماره.</w:t>
      </w:r>
    </w:p>
    <w:p>
      <w:pPr>
        <w:bidi/>
        <w:spacing w:before="60" w:after="200"/>
        <w:jc w:val="center"/>
      </w:pPr>
      <w:r>
        <w:rPr>
          <w:rFonts w:ascii="Times New Roman" w:hAnsi="Times New Roman" w:cs="Times New Roman" w:eastAsia="Times New Roman"/>
          <w:b/>
          <w:bCs/>
          <w:sz w:val="28"/>
          <w:szCs w:val="28"/>
          <w:rtl/>
        </w:rPr>
        <w:t xml:space="preserve">الجدول 12.</w:t>
      </w:r>
      <w:r>
        <w:rPr>
          <w:rFonts w:ascii="Times New Roman" w:hAnsi="Times New Roman" w:cs="Times New Roman" w:eastAsia="Times New Roman"/>
          <w:b w:val="false"/>
          <w:sz w:val="28"/>
          <w:szCs w:val="28"/>
          <w:rtl/>
        </w:rPr>
        <w:t xml:space="preserve"> تقاطع الأخطاء بين النماذج الثلاثة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5000"/>
        <w:gridCol w:w="3900"/>
      </w:tblGrid>
      <w:tr>
        <w:trPr>
          <w:tblHeader/>
        </w:trPr>
        <w:tc>
          <w:tcPr>
            <w:tcW w:type="dxa" w:w="5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نطاق التقاطع</w:t>
            </w:r>
          </w:p>
        </w:tc>
        <w:tc>
          <w:tcPr>
            <w:tcW w:type="dxa" w:w="3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عدد العينات</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مشتركة بين النماذج الثلاثة</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وMARBERTv2 فقط</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وARBERTv2 فقط</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 وARBERTv2 فقط</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AraBERTv2</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MARBERTv2</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47</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ARBERTv2</w:t>
            </w:r>
          </w:p>
        </w:tc>
        <w:tc>
          <w:tcPr>
            <w:tcW w:type="dxa" w:w="3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64</w:t>
            </w:r>
          </w:p>
        </w:tc>
      </w:tr>
    </w:tbl>
    <w:p>
      <w:pPr>
        <w:bidi/>
        <w:spacing w:after="120" w:line="300"/>
        <w:jc w:val="both"/>
      </w:pPr>
      <w:r>
        <w:rPr>
          <w:rFonts w:ascii="Times New Roman" w:hAnsi="Times New Roman" w:cs="Times New Roman" w:eastAsia="Times New Roman"/>
          <w:sz w:val="28"/>
          <w:szCs w:val="28"/>
          <w:rtl/>
        </w:rPr>
        <w:t xml:space="preserve">وتوضح أمثلة من الأخطاء المشتركة طبيعة الغموض: استفسار «هلق انا دفعت فيني نزل المواد عالموقع مباشر؟» (شؤون طلاب) صنّفته النماذج الثلاثة مالياً لهيمنة كلمة «دفعت»، مع أن جوهر السؤال هو تسجيل المواد. واستفسار «بدي الكوود الخاص بجامعتنا» (معلوماتية) خالٍ من أي فعل تقني أو إشارة إلى منصة، فتوزعت تنبؤات النماذج بين شؤون الطلاب والمالية. أما استفسار «ممكن ينشال الحجب عني لأن نزلت علامتي ... وطبعا سددت يلي عليي» (مالية) فيحمل ثلاث إشارات متنافسة: «علامتي» للامتحانات، و«الحجب» للمعلوماتية، و«سددت» للمالية.</w:t>
      </w:r>
    </w:p>
    <w:p>
      <w:pPr>
        <w:pStyle w:val="Heading1"/>
        <w:bidi/>
        <w:spacing w:before="300" w:after="140"/>
      </w:pPr>
      <w:r>
        <w:rPr>
          <w:rFonts w:ascii="Times New Roman" w:hAnsi="Times New Roman" w:cs="Times New Roman" w:eastAsia="Times New Roman"/>
          <w:b/>
          <w:bCs/>
          <w:sz w:val="32"/>
          <w:szCs w:val="32"/>
          <w:rtl/>
        </w:rPr>
        <w:t xml:space="preserve">6. المناقشة</w:t>
      </w:r>
    </w:p>
    <w:p>
      <w:pPr>
        <w:pStyle w:val="Heading2"/>
        <w:bidi/>
        <w:spacing w:before="200" w:after="100"/>
      </w:pPr>
      <w:r>
        <w:rPr>
          <w:rFonts w:ascii="Times New Roman" w:hAnsi="Times New Roman" w:cs="Times New Roman" w:eastAsia="Times New Roman"/>
          <w:b/>
          <w:bCs/>
          <w:sz w:val="28"/>
          <w:szCs w:val="28"/>
          <w:rtl/>
        </w:rPr>
        <w:t xml:space="preserve">6.1 لماذا تفوّق AraBERTv2 على MARBERTv2 رغم الطابع العامي؟</w:t>
      </w:r>
    </w:p>
    <w:p>
      <w:pPr>
        <w:bidi/>
        <w:spacing w:after="120" w:line="300"/>
        <w:jc w:val="both"/>
      </w:pPr>
      <w:r>
        <w:rPr>
          <w:rFonts w:ascii="Times New Roman" w:hAnsi="Times New Roman" w:cs="Times New Roman" w:eastAsia="Times New Roman"/>
          <w:sz w:val="28"/>
          <w:szCs w:val="28"/>
          <w:rtl/>
        </w:rPr>
        <w:t xml:space="preserve">قد يُتوقع أن يتفوق MARBERTv2 لأن أكثر من نصف الاستفسارات يحمل مؤشرات عامية. لكن النتائج تتسق مع أفضلية AraBERT في تصنيف المواضيع على معيار ARLUE [8]، ويمكن تفسيرها بعاملين: الأول أن المفردات الحاسمة للتصنيف مؤسسية فصيحة الجذر (التسجيل، الامتحان، الرسوم، الاعتراض) حتى في الجمل العامية، وهي مفردات كثيفة في بيانات تدريب AraBERTv2؛ والثاني أن عامية الاستفسارات الجامعية مخففة وقريبة من الفصحى مقارنة بعامية التغريدات، ما يقلص الفجوة بين توزيع بيانات التدريب المسبق وبيانات المهمة [10]. ولا نعدّ الفارق بين النموذجين حاسماً، فهو 0.30 نقطة مئوية في السيناريو الثاني، ضمن هامش عدم اليقين.</w:t>
      </w:r>
    </w:p>
    <w:p>
      <w:pPr>
        <w:pStyle w:val="Heading2"/>
        <w:bidi/>
        <w:spacing w:before="200" w:after="100"/>
      </w:pPr>
      <w:r>
        <w:rPr>
          <w:rFonts w:ascii="Times New Roman" w:hAnsi="Times New Roman" w:cs="Times New Roman" w:eastAsia="Times New Roman"/>
          <w:b/>
          <w:bCs/>
          <w:sz w:val="28"/>
          <w:szCs w:val="28"/>
          <w:rtl/>
        </w:rPr>
        <w:t xml:space="preserve">6.2 هل تحتاج المهمة إلى المحوّلات؟</w:t>
      </w:r>
    </w:p>
    <w:p>
      <w:pPr>
        <w:bidi/>
        <w:spacing w:after="120" w:line="300"/>
        <w:jc w:val="both"/>
      </w:pPr>
      <w:r>
        <w:rPr>
          <w:rFonts w:ascii="Times New Roman" w:hAnsi="Times New Roman" w:cs="Times New Roman" w:eastAsia="Times New Roman"/>
          <w:sz w:val="28"/>
          <w:szCs w:val="28"/>
          <w:rtl/>
        </w:rPr>
        <w:t xml:space="preserve">أهم نتيجة في هذا البحث أن SVM الخطي غير المضبوط على سمات الكلمات والحروف نافس أفضل نماذج المحوّلات، بل تجاوزها بفارق غير دال إحصائياً. وهذا يتسق مع ما وثقته الأدبيات من قوة خطوط الأساس القائمة على n-gram في تصنيف المواضيع [19]. ونفسر ذلك بثلاثة عوامل: (أ) تحكم المهمةَ إشاراتٌ معجمية قوية، فكلمات مثل «قسط» و«كلمة السر» و«اعتراض» تكفي غالباً لتحديد الجهة؛ (ب) تتعامل سمات الحروف مع التنوع الإملائي لأن «ايمت» و«ايمتا» تشتركان في معظم مقاطعهما الحرفية، وهي ميزة لا يضمنها مجزّئ مدرّب على الفصحى؛ (ج) حجم البيانات (1,440 عينة تدريب لكل فولد) صغير نسبياً مقارنة بنماذج يتجاوز عدد معاملاتها 110 ملايين، وهي بيئة يُعرف فيها عدم استقرار الضبط الدقيق وحساسيته للبذرة [22].</w:t>
      </w:r>
    </w:p>
    <w:p>
      <w:pPr>
        <w:bidi/>
        <w:spacing w:after="120" w:line="300"/>
        <w:jc w:val="both"/>
      </w:pPr>
      <w:r>
        <w:rPr>
          <w:rFonts w:ascii="Times New Roman" w:hAnsi="Times New Roman" w:cs="Times New Roman" w:eastAsia="Times New Roman"/>
          <w:sz w:val="28"/>
          <w:szCs w:val="28"/>
          <w:rtl/>
        </w:rPr>
        <w:t xml:space="preserve">ولهذه النتيجة دلالة عملية: يُدرَّب SVM ويُقيَّم في ثوانٍ على المعالج المركزي، ويُستدعى بزمن وكلفة أقل بكثير من نموذج بحجم BERT-base، وهذا مهم لمؤسسات تعليمية ذات موارد محدودة. غير أن هذا لا يعني أن المحوّلات بلا قيمة؛ فقد تعمم أفضل على صياغات جديدة لم ترد في التدريب، أو على فئات أوسع، أو عند تجميعها مع المصنفات الكلاسيكية، إذ يدل سقف التجميع (96.35%) على أن النماذج تخطئ في عينات مختلفة جزئياً. وهذه فرضيات تحتاج إلى اختبار خارج التوزيع، ولا تثبتها نتائجنا الحالية.</w:t>
      </w:r>
    </w:p>
    <w:p>
      <w:pPr>
        <w:pStyle w:val="Heading2"/>
        <w:bidi/>
        <w:spacing w:before="200" w:after="100"/>
      </w:pPr>
      <w:r>
        <w:rPr>
          <w:rFonts w:ascii="Times New Roman" w:hAnsi="Times New Roman" w:cs="Times New Roman" w:eastAsia="Times New Roman"/>
          <w:b/>
          <w:bCs/>
          <w:sz w:val="28"/>
          <w:szCs w:val="28"/>
          <w:rtl/>
        </w:rPr>
        <w:t xml:space="preserve">6.3 حساسية الإعدادات</w:t>
      </w:r>
    </w:p>
    <w:p>
      <w:pPr>
        <w:bidi/>
        <w:spacing w:after="120" w:line="300"/>
        <w:jc w:val="both"/>
      </w:pPr>
      <w:r>
        <w:rPr>
          <w:rFonts w:ascii="Times New Roman" w:hAnsi="Times New Roman" w:cs="Times New Roman" w:eastAsia="Times New Roman"/>
          <w:sz w:val="28"/>
          <w:szCs w:val="28"/>
          <w:rtl/>
        </w:rPr>
        <w:t xml:space="preserve">غيّر ضبط المعاملات ترتيب النماذج: انتقل ARBERTv2 من المرتبة الأخيرة إلى الثانية، وتقلص الفارق بين الأول والأخير من 1.40 إلى 0.30 نقطة. فالمقارنات المنشورة بإعدادات موحّدة قد تعكس ملاءمة الإعدادات أكثر مما تعكس جودة النموذج، ولذلك نوصي بإجراء السيناريوهين معاً في أي مقارنة بين النماذج المدرّبة مسبقاً.</w:t>
      </w:r>
    </w:p>
    <w:p>
      <w:pPr>
        <w:pStyle w:val="Heading2"/>
        <w:bidi/>
        <w:spacing w:before="200" w:after="100"/>
      </w:pPr>
      <w:r>
        <w:rPr>
          <w:rFonts w:ascii="Times New Roman" w:hAnsi="Times New Roman" w:cs="Times New Roman" w:eastAsia="Times New Roman"/>
          <w:b/>
          <w:bCs/>
          <w:sz w:val="28"/>
          <w:szCs w:val="28"/>
          <w:rtl/>
        </w:rPr>
        <w:t xml:space="preserve">6.4 مهددات الصلاحية</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مصدر البيانات وتمثيلها:</w:t>
      </w:r>
      <w:r>
        <w:rPr>
          <w:rFonts w:ascii="Times New Roman" w:hAnsi="Times New Roman" w:cs="Times New Roman" w:eastAsia="Times New Roman"/>
          <w:sz w:val="28"/>
          <w:szCs w:val="28"/>
          <w:rtl/>
        </w:rPr>
        <w:t xml:space="preserve"> جُمعت البيانات من جامعة خاصة واحدة وبيئة لهجية واحدة، ويتضمن جزء منها استفسارات محاكية كتبها فريق البحث، ما قد يُدخل أنماطاً أسلوبية تجعل المهمة أسهل من الواقع. ولم نفصل في هذه النسخة بين العينات الحقيقية والمحاكية لتقييم كل منها منفردة.</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التوسيم:</w:t>
      </w:r>
      <w:r>
        <w:rPr>
          <w:rFonts w:ascii="Times New Roman" w:hAnsi="Times New Roman" w:cs="Times New Roman" w:eastAsia="Times New Roman"/>
          <w:sz w:val="28"/>
          <w:szCs w:val="28"/>
          <w:rtl/>
        </w:rPr>
        <w:t xml:space="preserve"> لم نحسب معامل اتفاق بين موسّمين مستقلين، وبعض الاستفسارات الحدية قد تنتمي فعلياً إلى أكثر من جهة؛ ويُرجّح أن جزءاً من الأخطاء المشتركة (73 عينة) يعكس غموضاً في التوسيم لا قصوراً في النماذج.</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انحياز اختيار الإعدادات:</w:t>
      </w:r>
      <w:r>
        <w:rPr>
          <w:rFonts w:ascii="Times New Roman" w:hAnsi="Times New Roman" w:cs="Times New Roman" w:eastAsia="Times New Roman"/>
          <w:sz w:val="28"/>
          <w:szCs w:val="28"/>
          <w:rtl/>
        </w:rPr>
        <w:t xml:space="preserve"> اختير أفضل المرشحين الثلاثة في السيناريو الثاني بناءً على متوسط الأداء على فولدات الاختبار نفسها، وهذا قد يرفع نتائج هذا السيناريو قليلاً. والحل المنهجي هو التحقق المتقاطع المتداخل (Nested CV) [29]. ولم تُضبط خطوط الأساس الكلاسيكية إطلاقاً، فالمقارنة لا تحابيها.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التباين الإحصائي:</w:t>
      </w:r>
      <w:r>
        <w:rPr>
          <w:rFonts w:ascii="Times New Roman" w:hAnsi="Times New Roman" w:cs="Times New Roman" w:eastAsia="Times New Roman"/>
          <w:sz w:val="28"/>
          <w:szCs w:val="28"/>
          <w:rtl/>
        </w:rPr>
        <w:t xml:space="preserve"> دُرّب كل نموذج ببذرة واحدة، ولم تُحفظ تنبؤات كل عينة لإجراء اختبار McNemar المزدوج، فاكتفينا بفترات ثقة لكل نموذج منفرداً.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الخصوصية:</w:t>
      </w:r>
      <w:r>
        <w:rPr>
          <w:rFonts w:ascii="Times New Roman" w:hAnsi="Times New Roman" w:cs="Times New Roman" w:eastAsia="Times New Roman"/>
          <w:sz w:val="28"/>
          <w:szCs w:val="28"/>
          <w:rtl/>
        </w:rPr>
        <w:t xml:space="preserve"> تتضمن بعض الاستفسارات أسماء وأرقاماً جامعية كتبها الطلاب بأنفسهم، ونوصي بإخفاء هذه البيانات الشخصية في أي إصدار عام للمجموعة.</w:t>
      </w:r>
    </w:p>
    <w:p>
      <w:pPr>
        <w:pStyle w:val="Heading1"/>
        <w:bidi/>
        <w:spacing w:before="300" w:after="140"/>
      </w:pPr>
      <w:r>
        <w:rPr>
          <w:rFonts w:ascii="Times New Roman" w:hAnsi="Times New Roman" w:cs="Times New Roman" w:eastAsia="Times New Roman"/>
          <w:b/>
          <w:bCs/>
          <w:sz w:val="32"/>
          <w:szCs w:val="32"/>
          <w:rtl/>
        </w:rPr>
        <w:t xml:space="preserve">7. الخلاصة والعمل المستقبلي</w:t>
      </w:r>
    </w:p>
    <w:p>
      <w:pPr>
        <w:bidi/>
        <w:spacing w:after="120" w:line="300"/>
        <w:jc w:val="both"/>
      </w:pPr>
      <w:r>
        <w:rPr>
          <w:rFonts w:ascii="Times New Roman" w:hAnsi="Times New Roman" w:cs="Times New Roman" w:eastAsia="Times New Roman"/>
          <w:sz w:val="28"/>
          <w:szCs w:val="28"/>
          <w:rtl/>
        </w:rPr>
        <w:t xml:space="preserve">قدّم هذا البحث مجموعة بيانات عربية جديدة ومتوازنة من 2,000 استفسار طلابي جامعي هجين بين الفصحى والعامية السورية، وقارن منهجياً ثلاثة نماذج محوّلات عربية وثلاثة خطوط أساس كلاسيكية على فولدات موحّدة. تصدر AraBERTv2 نماذج المحوّلات في السيناريوهين (F1-Macro = 0.9271 بعد الضبط)، ما يؤكد ملاءمة النماذج المدرّبة على الفصحى لمهام التصنيف الموضوعي حتى مع حضور العامية. لكن الفروق بين النماذج الثلاثة بعد الضبط ضئيلة، وقد نافسها مصنّف SVM على سمات الكلمات والحروف (93.25%) دون فرق دال إحصائياً. وتبيّن أن فئة شؤون الطلاب هي مركز الالتباس، وأن قرابة 40% من الأخطاء مشتركة بين النماذج وتعكس غموضاً متأصلاً في النصوص.</w:t>
      </w:r>
    </w:p>
    <w:p>
      <w:pPr>
        <w:bidi/>
        <w:spacing w:after="120" w:line="300"/>
        <w:jc w:val="both"/>
      </w:pPr>
      <w:r>
        <w:rPr>
          <w:rFonts w:ascii="Times New Roman" w:hAnsi="Times New Roman" w:cs="Times New Roman" w:eastAsia="Times New Roman"/>
          <w:sz w:val="28"/>
          <w:szCs w:val="28"/>
          <w:rtl/>
        </w:rPr>
        <w:t xml:space="preserve">ونقترح للعمل المستقبلي: (1) توسيع المجموعة لتشمل جامعات ولهجات أخرى، مع التوسيم المستقل وحساب معامل الاتفاق؛ (2) اختبار التعميم خارج التوزيع على استفسارات حقيقية جُمعت بعد بناء النموذج؛ (3) تجميع المحوّلات مع المصنفات الكلاسيكية لاستثمار تكاملها؛ (4) دراسة التصنيف متعدد الوسوم أو الهرمي للاستفسارات الحدية؛ (5) مقارنة نماذج لغوية كبيرة عربية ومتعددة اللغات في وضع التعلم بالأمثلة القليلة؛ (6) إدماج آلية لتقدير عدم اليقين تحيل الاستفسارات منخفضة الثقة إلى مراجعة بشرية.</w:t>
      </w:r>
    </w:p>
    <w:p>
      <w:pPr>
        <w:pStyle w:val="Heading1"/>
        <w:bidi/>
        <w:spacing w:before="300" w:after="140"/>
      </w:pPr>
      <w:r>
        <w:rPr>
          <w:rFonts w:ascii="Times New Roman" w:hAnsi="Times New Roman" w:cs="Times New Roman" w:eastAsia="Times New Roman"/>
          <w:b/>
          <w:bCs/>
          <w:sz w:val="32"/>
          <w:szCs w:val="32"/>
          <w:rtl/>
        </w:rPr>
        <w:t xml:space="preserve">توافر البيانات والشيفرة</w:t>
      </w:r>
    </w:p>
    <w:p>
      <w:pPr>
        <w:bidi/>
        <w:spacing w:after="120" w:line="300"/>
        <w:jc w:val="both"/>
      </w:pPr>
      <w:r>
        <w:rPr>
          <w:rFonts w:ascii="Times New Roman" w:hAnsi="Times New Roman" w:cs="Times New Roman" w:eastAsia="Times New Roman"/>
          <w:sz w:val="28"/>
          <w:szCs w:val="28"/>
          <w:rtl/>
        </w:rPr>
        <w:t xml:space="preserve">مجموعة البيانات متاحة على منصة Hugging Face بالمعرّف daliaalkelani/University_Student_Inquiries_Dataset_new3، وشيفرة تجارب المحوّلات وخطوط الأساس متاحة في المستودع: https://github.com/Daliaalkilani/Arabic-Nlp-University-Routing</w:t>
      </w:r>
    </w:p>
    <w:p>
      <w:pPr>
        <w:pStyle w:val="Heading1"/>
        <w:bidi/>
        <w:spacing w:before="300" w:after="140"/>
      </w:pPr>
      <w:r>
        <w:rPr>
          <w:rFonts w:ascii="Times New Roman" w:hAnsi="Times New Roman" w:cs="Times New Roman" w:eastAsia="Times New Roman"/>
          <w:b/>
          <w:bCs/>
          <w:sz w:val="32"/>
          <w:szCs w:val="32"/>
          <w:rtl/>
        </w:rPr>
        <w:t xml:space="preserve">شكر وتقدير</w:t>
      </w:r>
    </w:p>
    <w:p>
      <w:pPr>
        <w:bidi/>
        <w:spacing w:after="120" w:line="300"/>
        <w:jc w:val="both"/>
      </w:pPr>
      <w:r>
        <w:rPr>
          <w:rFonts w:ascii="Times New Roman" w:hAnsi="Times New Roman" w:cs="Times New Roman" w:eastAsia="Times New Roman"/>
          <w:sz w:val="28"/>
          <w:szCs w:val="28"/>
          <w:rtl/>
        </w:rPr>
        <w:t xml:space="preserve">يشكر المؤلفون موظفي مكاتب الشؤون المالية وشؤون الطلاب والمعلوماتية والامتحانات في الجامعة الوطنية الخاصة على تعاونهم في مرحلة الجمع الميداني.</w:t>
      </w:r>
    </w:p>
    <w:p>
      <w:pPr>
        <w:pStyle w:val="Heading1"/>
        <w:bidi/>
        <w:spacing w:before="300" w:after="140"/>
      </w:pPr>
      <w:r>
        <w:rPr>
          <w:rFonts w:ascii="Times New Roman" w:hAnsi="Times New Roman" w:cs="Times New Roman" w:eastAsia="Times New Roman"/>
          <w:b/>
          <w:bCs/>
          <w:sz w:val="32"/>
          <w:szCs w:val="32"/>
          <w:rtl/>
        </w:rPr>
        <w:t xml:space="preserve">تضارب المصالح</w:t>
      </w:r>
    </w:p>
    <w:p>
      <w:pPr>
        <w:bidi/>
        <w:spacing w:after="120" w:line="300"/>
        <w:jc w:val="both"/>
      </w:pPr>
      <w:r>
        <w:rPr>
          <w:rFonts w:ascii="Times New Roman" w:hAnsi="Times New Roman" w:cs="Times New Roman" w:eastAsia="Times New Roman"/>
          <w:sz w:val="28"/>
          <w:szCs w:val="28"/>
          <w:rtl/>
        </w:rPr>
        <w:t xml:space="preserve">يصرّح المؤلفون بعدم وجود أي تضارب في المصالح.</w:t>
      </w:r>
    </w:p>
    <w:p>
      <w:pPr>
        <w:pStyle w:val="Heading1"/>
        <w:bidi/>
        <w:spacing w:before="300" w:after="140"/>
      </w:pPr>
      <w:r>
        <w:rPr>
          <w:rFonts w:ascii="Times New Roman" w:hAnsi="Times New Roman" w:cs="Times New Roman" w:eastAsia="Times New Roman"/>
          <w:b/>
          <w:bCs/>
          <w:sz w:val="32"/>
          <w:szCs w:val="32"/>
          <w:rtl/>
        </w:rPr>
        <w:t xml:space="preserve">المراجع</w:t>
      </w:r>
    </w:p>
    <w:p>
      <w:pPr>
        <w:bidi w:val="false"/>
        <w:spacing w:after="60"/>
        <w:ind w:left="400" w:hanging="400"/>
        <w:jc w:val="left"/>
      </w:pPr>
      <w:r>
        <w:rPr>
          <w:rFonts w:ascii="Times New Roman" w:hAnsi="Times New Roman" w:cs="Times New Roman"/>
          <w:sz w:val="28"/>
          <w:szCs w:val="28"/>
          <w:rtl w:val="false"/>
        </w:rPr>
        <w:t xml:space="preserve">[1] C. W. Okonkwo and A. Ade-Ibijola, "Chatbots applications in education: A systematic review," Computers and Education: Artificial Intelligence, vol. 2, p. 100033, 2021.</w:t>
      </w:r>
    </w:p>
    <w:p>
      <w:pPr>
        <w:bidi w:val="false"/>
        <w:spacing w:after="60"/>
        <w:ind w:left="400" w:hanging="400"/>
        <w:jc w:val="left"/>
      </w:pPr>
      <w:r>
        <w:rPr>
          <w:rFonts w:ascii="Times New Roman" w:hAnsi="Times New Roman" w:cs="Times New Roman"/>
          <w:sz w:val="28"/>
          <w:szCs w:val="28"/>
          <w:rtl w:val="false"/>
        </w:rPr>
        <w:t xml:space="preserve">[2] N. Y. Habash, Introduction to Arabic Natural Language Processing. San Rafael, CA, USA: Morgan &amp; Claypool, 2010.</w:t>
      </w:r>
    </w:p>
    <w:p>
      <w:pPr>
        <w:bidi w:val="false"/>
        <w:spacing w:after="60"/>
        <w:ind w:left="400" w:hanging="400"/>
        <w:jc w:val="left"/>
      </w:pPr>
      <w:r>
        <w:rPr>
          <w:rFonts w:ascii="Times New Roman" w:hAnsi="Times New Roman" w:cs="Times New Roman"/>
          <w:sz w:val="28"/>
          <w:szCs w:val="28"/>
          <w:rtl w:val="false"/>
        </w:rPr>
        <w:t xml:space="preserve">[3] K. Darwish et al., "A panoramic survey of natural language processing in the Arab world," Communications of the ACM, vol. 64, no. 4, pp. 72–81, 2021.</w:t>
      </w:r>
    </w:p>
    <w:p>
      <w:pPr>
        <w:bidi w:val="false"/>
        <w:spacing w:after="60"/>
        <w:ind w:left="400" w:hanging="400"/>
        <w:jc w:val="left"/>
      </w:pPr>
      <w:r>
        <w:rPr>
          <w:rFonts w:ascii="Times New Roman" w:hAnsi="Times New Roman" w:cs="Times New Roman"/>
          <w:sz w:val="28"/>
          <w:szCs w:val="28"/>
          <w:rtl w:val="false"/>
        </w:rPr>
        <w:t xml:space="preserve">[4] O. F. Zaidan and C. Callison-Burch, "Arabic dialect identification," Computational Linguistics, vol. 40, no. 1, pp. 171–202, 2014.</w:t>
      </w:r>
    </w:p>
    <w:p>
      <w:pPr>
        <w:bidi w:val="false"/>
        <w:spacing w:after="60"/>
        <w:ind w:left="400" w:hanging="400"/>
        <w:jc w:val="left"/>
      </w:pPr>
      <w:r>
        <w:rPr>
          <w:rFonts w:ascii="Times New Roman" w:hAnsi="Times New Roman" w:cs="Times New Roman"/>
          <w:sz w:val="28"/>
          <w:szCs w:val="28"/>
          <w:rtl w:val="false"/>
        </w:rPr>
        <w:t xml:space="preserve">[5] A. Vaswani et al., "Attention is all you need," in Advances in Neural Information Processing Systems (NeurIPS), 2017, pp. 5998–6008.</w:t>
      </w:r>
    </w:p>
    <w:p>
      <w:pPr>
        <w:bidi w:val="false"/>
        <w:spacing w:after="60"/>
        <w:ind w:left="400" w:hanging="400"/>
        <w:jc w:val="left"/>
      </w:pPr>
      <w:r>
        <w:rPr>
          <w:rFonts w:ascii="Times New Roman" w:hAnsi="Times New Roman" w:cs="Times New Roman"/>
          <w:sz w:val="28"/>
          <w:szCs w:val="28"/>
          <w:rtl w:val="false"/>
        </w:rPr>
        <w:t xml:space="preserve">[6] J. Devlin, M.-W. Chang, K. Lee, and K. Toutanova, "BERT: Pre-training of deep bidirectional transformers for language understanding," in Proc. NAACL-HLT, 2019, pp. 4171–4186.</w:t>
      </w:r>
    </w:p>
    <w:p>
      <w:pPr>
        <w:bidi w:val="false"/>
        <w:spacing w:after="60"/>
        <w:ind w:left="400" w:hanging="400"/>
        <w:jc w:val="left"/>
      </w:pPr>
      <w:r>
        <w:rPr>
          <w:rFonts w:ascii="Times New Roman" w:hAnsi="Times New Roman" w:cs="Times New Roman"/>
          <w:sz w:val="28"/>
          <w:szCs w:val="28"/>
          <w:rtl w:val="false"/>
        </w:rPr>
        <w:t xml:space="preserve">[7] W. Antoun, F. Baly, and H. Hajj, "AraBERT: Transformer-based model for Arabic language understanding," in Proc. 4th Workshop on Open-Source Arabic Corpora and Processing Tools (OSACT4), 2020, pp. 9–15.</w:t>
      </w:r>
    </w:p>
    <w:p>
      <w:pPr>
        <w:bidi w:val="false"/>
        <w:spacing w:after="60"/>
        <w:ind w:left="400" w:hanging="400"/>
        <w:jc w:val="left"/>
      </w:pPr>
      <w:r>
        <w:rPr>
          <w:rFonts w:ascii="Times New Roman" w:hAnsi="Times New Roman" w:cs="Times New Roman"/>
          <w:sz w:val="28"/>
          <w:szCs w:val="28"/>
          <w:rtl w:val="false"/>
        </w:rPr>
        <w:t xml:space="preserve">[8] M. Abdul-Mageed, A. Elmadany, and E. M. B. Nagoudi, "ARBERT &amp; MARBERT: Deep bidirectional transformers for Arabic," in Proc. ACL-IJCNLP, 2021, pp. 7088–7105.</w:t>
      </w:r>
    </w:p>
    <w:p>
      <w:pPr>
        <w:bidi w:val="false"/>
        <w:spacing w:after="60"/>
        <w:ind w:left="400" w:hanging="400"/>
        <w:jc w:val="left"/>
      </w:pPr>
      <w:r>
        <w:rPr>
          <w:rFonts w:ascii="Times New Roman" w:hAnsi="Times New Roman" w:cs="Times New Roman"/>
          <w:sz w:val="28"/>
          <w:szCs w:val="28"/>
          <w:rtl w:val="false"/>
        </w:rPr>
        <w:t xml:space="preserve">[9] A. Elmadany, E. M. B. Nagoudi, and M. Abdul-Mageed, "ORCA: A challenging benchmark for Arabic language understanding," in Findings of the Association for Computational Linguistics: ACL 2023, 2023.</w:t>
      </w:r>
    </w:p>
    <w:p>
      <w:pPr>
        <w:bidi w:val="false"/>
        <w:spacing w:after="60"/>
        <w:ind w:left="400" w:hanging="400"/>
        <w:jc w:val="left"/>
      </w:pPr>
      <w:r>
        <w:rPr>
          <w:rFonts w:ascii="Times New Roman" w:hAnsi="Times New Roman" w:cs="Times New Roman"/>
          <w:sz w:val="28"/>
          <w:szCs w:val="28"/>
          <w:rtl w:val="false"/>
        </w:rPr>
        <w:t xml:space="preserve">[10] G. Inoue, B. Alhafni, N. Baimukan, H. Bouamor, and N. Habash, "The interplay of variant, size, and task type in Arabic pre-trained language models," in Proc. 6th Arabic Natural Language Processing Workshop (WANLP), 2021, pp. 92–104.</w:t>
      </w:r>
    </w:p>
    <w:p>
      <w:pPr>
        <w:bidi w:val="false"/>
        <w:spacing w:after="60"/>
        <w:ind w:left="400" w:hanging="400"/>
        <w:jc w:val="left"/>
      </w:pPr>
      <w:r>
        <w:rPr>
          <w:rFonts w:ascii="Times New Roman" w:hAnsi="Times New Roman" w:cs="Times New Roman"/>
          <w:sz w:val="28"/>
          <w:szCs w:val="28"/>
          <w:rtl w:val="false"/>
        </w:rPr>
        <w:t xml:space="preserve">[11] A. S. Alammary, "BERT models for Arabic text classification: A systematic review," Applied Sciences, vol. 12, no. 11, p. 5720, 2022.</w:t>
      </w:r>
    </w:p>
    <w:p>
      <w:pPr>
        <w:bidi w:val="false"/>
        <w:spacing w:after="60"/>
        <w:ind w:left="400" w:hanging="400"/>
        <w:jc w:val="left"/>
      </w:pPr>
      <w:r>
        <w:rPr>
          <w:rFonts w:ascii="Times New Roman" w:hAnsi="Times New Roman" w:cs="Times New Roman"/>
          <w:sz w:val="28"/>
          <w:szCs w:val="28"/>
          <w:rtl w:val="false"/>
        </w:rPr>
        <w:t xml:space="preserve">[12] K. Darwish and H. Mubarak, "Farasa: A new fast and accurate Arabic word segmenter," in Proc. 10th Int. Conf. Language Resources and Evaluation (LREC), 2016, pp. 1070–1074.</w:t>
      </w:r>
    </w:p>
    <w:p>
      <w:pPr>
        <w:bidi w:val="false"/>
        <w:spacing w:after="60"/>
        <w:ind w:left="400" w:hanging="400"/>
        <w:jc w:val="left"/>
      </w:pPr>
      <w:r>
        <w:rPr>
          <w:rFonts w:ascii="Times New Roman" w:hAnsi="Times New Roman" w:cs="Times New Roman"/>
          <w:sz w:val="28"/>
          <w:szCs w:val="28"/>
          <w:rtl w:val="false"/>
        </w:rPr>
        <w:t xml:space="preserve">[13] T. Kudo and J. Richardson, "SentencePiece: A simple and language independent subword tokenizer and detokenizer for neural text processing," in Proc. EMNLP: System Demonstrations, 2018, pp. 66–71.</w:t>
      </w:r>
    </w:p>
    <w:p>
      <w:pPr>
        <w:bidi w:val="false"/>
        <w:spacing w:after="60"/>
        <w:ind w:left="400" w:hanging="400"/>
        <w:jc w:val="left"/>
      </w:pPr>
      <w:r>
        <w:rPr>
          <w:rFonts w:ascii="Times New Roman" w:hAnsi="Times New Roman" w:cs="Times New Roman"/>
          <w:sz w:val="28"/>
          <w:szCs w:val="28"/>
          <w:rtl w:val="false"/>
        </w:rPr>
        <w:t xml:space="preserve">[14] Z. Alyafeai, M. S. Al-shaibani, M. Ghaleb, and I. Ahmad, "Evaluating various tokenizers for Arabic text classification," Neural Processing Letters, vol. 55, 2023.</w:t>
      </w:r>
    </w:p>
    <w:p>
      <w:pPr>
        <w:bidi w:val="false"/>
        <w:spacing w:after="60"/>
        <w:ind w:left="400" w:hanging="400"/>
        <w:jc w:val="left"/>
      </w:pPr>
      <w:r>
        <w:rPr>
          <w:rFonts w:ascii="Times New Roman" w:hAnsi="Times New Roman" w:cs="Times New Roman"/>
          <w:sz w:val="28"/>
          <w:szCs w:val="28"/>
          <w:rtl w:val="false"/>
        </w:rPr>
        <w:t xml:space="preserve">[15] H. Alamoudi, "Arabic sentiment analysis for student evaluation using machine learning and the AraBERT transformer," Engineering, Technology &amp; Applied Science Research, vol. 13, no. 5, pp. 11945–11952, 2023.</w:t>
      </w:r>
    </w:p>
    <w:p>
      <w:pPr>
        <w:bidi w:val="false"/>
        <w:spacing w:after="60"/>
        <w:ind w:left="400" w:hanging="400"/>
        <w:jc w:val="left"/>
      </w:pPr>
      <w:r>
        <w:rPr>
          <w:rFonts w:ascii="Times New Roman" w:hAnsi="Times New Roman" w:cs="Times New Roman"/>
          <w:sz w:val="28"/>
          <w:szCs w:val="28"/>
          <w:rtl w:val="false"/>
        </w:rPr>
        <w:t xml:space="preserve">[16] N. S. Alturayeif and H. Luqman, "Fine-grained sentiment analysis of Arabic COVID-19 tweets using BERT-based transformers and dynamically weighted loss function," Applied Sciences, vol. 11, no. 22, p. 10694, 2021.</w:t>
      </w:r>
    </w:p>
    <w:p>
      <w:pPr>
        <w:bidi w:val="false"/>
        <w:spacing w:after="60"/>
        <w:ind w:left="400" w:hanging="400"/>
        <w:jc w:val="left"/>
      </w:pPr>
      <w:r>
        <w:rPr>
          <w:rFonts w:ascii="Times New Roman" w:hAnsi="Times New Roman" w:cs="Times New Roman"/>
          <w:sz w:val="28"/>
          <w:szCs w:val="28"/>
          <w:rtl w:val="false"/>
        </w:rPr>
        <w:t xml:space="preserve">[17] N. K. Al-Harbi and M. Alghieth, "Assessing BERT-based models for Arabic and low-resource languages in crime text classification," PeerJ Computer Science, vol. 11, p. e3017, 2025.</w:t>
      </w:r>
    </w:p>
    <w:p>
      <w:pPr>
        <w:bidi w:val="false"/>
        <w:spacing w:after="60"/>
        <w:ind w:left="400" w:hanging="400"/>
        <w:jc w:val="left"/>
      </w:pPr>
      <w:r>
        <w:rPr>
          <w:rFonts w:ascii="Times New Roman" w:hAnsi="Times New Roman" w:cs="Times New Roman"/>
          <w:sz w:val="28"/>
          <w:szCs w:val="28"/>
          <w:rtl w:val="false"/>
        </w:rPr>
        <w:t xml:space="preserve">[18] T. Joachims, "Text categorization with support vector machines: Learning with many relevant features," in Proc. European Conf. Machine Learning (ECML), 1998, pp. 137–142.</w:t>
      </w:r>
    </w:p>
    <w:p>
      <w:pPr>
        <w:bidi w:val="false"/>
        <w:spacing w:after="60"/>
        <w:ind w:left="400" w:hanging="400"/>
        <w:jc w:val="left"/>
      </w:pPr>
      <w:r>
        <w:rPr>
          <w:rFonts w:ascii="Times New Roman" w:hAnsi="Times New Roman" w:cs="Times New Roman"/>
          <w:sz w:val="28"/>
          <w:szCs w:val="28"/>
          <w:rtl w:val="false"/>
        </w:rPr>
        <w:t xml:space="preserve">[19] S. Wang and C. D. Manning, "Baselines and bigrams: Simple, good sentiment and topic classification," in Proc. 50th Annual Meeting of the ACL, 2012, pp. 90–94.</w:t>
      </w:r>
    </w:p>
    <w:p>
      <w:pPr>
        <w:bidi w:val="false"/>
        <w:spacing w:after="60"/>
        <w:ind w:left="400" w:hanging="400"/>
        <w:jc w:val="left"/>
      </w:pPr>
      <w:r>
        <w:rPr>
          <w:rFonts w:ascii="Times New Roman" w:hAnsi="Times New Roman" w:cs="Times New Roman"/>
          <w:sz w:val="28"/>
          <w:szCs w:val="28"/>
          <w:rtl w:val="false"/>
        </w:rPr>
        <w:t xml:space="preserve">[20] Y. Kim, "Convolutional neural networks for sentence classification," in Proc. EMNLP, 2014, pp. 1746–1751.</w:t>
      </w:r>
    </w:p>
    <w:p>
      <w:pPr>
        <w:bidi w:val="false"/>
        <w:spacing w:after="60"/>
        <w:ind w:left="400" w:hanging="400"/>
        <w:jc w:val="left"/>
      </w:pPr>
      <w:r>
        <w:rPr>
          <w:rFonts w:ascii="Times New Roman" w:hAnsi="Times New Roman" w:cs="Times New Roman"/>
          <w:sz w:val="28"/>
          <w:szCs w:val="28"/>
          <w:rtl w:val="false"/>
        </w:rPr>
        <w:t xml:space="preserve">[21] C. Sun, X. Qiu, Y. Xu, and X. Huang, "How to fine-tune BERT for text classification?" in Proc. China National Conf. Chinese Computational Linguistics (CCL), 2019, pp. 194–206.</w:t>
      </w:r>
    </w:p>
    <w:p>
      <w:pPr>
        <w:bidi w:val="false"/>
        <w:spacing w:after="60"/>
        <w:ind w:left="400" w:hanging="400"/>
        <w:jc w:val="left"/>
      </w:pPr>
      <w:r>
        <w:rPr>
          <w:rFonts w:ascii="Times New Roman" w:hAnsi="Times New Roman" w:cs="Times New Roman"/>
          <w:sz w:val="28"/>
          <w:szCs w:val="28"/>
          <w:rtl w:val="false"/>
        </w:rPr>
        <w:t xml:space="preserve">[22] M. Mosbach, M. Andriushchenko, and D. Klakow, "On the stability of fine-tuning BERT: Misconceptions, explanations, and strong baselines," in Proc. Int. Conf. Learning Representations (ICLR), 2021.</w:t>
      </w:r>
    </w:p>
    <w:p>
      <w:pPr>
        <w:bidi w:val="false"/>
        <w:spacing w:after="60"/>
        <w:ind w:left="400" w:hanging="400"/>
        <w:jc w:val="left"/>
      </w:pPr>
      <w:r>
        <w:rPr>
          <w:rFonts w:ascii="Times New Roman" w:hAnsi="Times New Roman" w:cs="Times New Roman"/>
          <w:sz w:val="28"/>
          <w:szCs w:val="28"/>
          <w:rtl w:val="false"/>
        </w:rPr>
        <w:t xml:space="preserve">[23] T. Akiba, S. Sano, T. Yanase, T. Ohta, and M. Koyama, "Optuna: A next-generation hyperparameter optimization framework," in Proc. 25th ACM SIGKDD, 2019, pp. 2623–2631.</w:t>
      </w:r>
    </w:p>
    <w:p>
      <w:pPr>
        <w:bidi w:val="false"/>
        <w:spacing w:after="60"/>
        <w:ind w:left="400" w:hanging="400"/>
        <w:jc w:val="left"/>
      </w:pPr>
      <w:r>
        <w:rPr>
          <w:rFonts w:ascii="Times New Roman" w:hAnsi="Times New Roman" w:cs="Times New Roman"/>
          <w:sz w:val="28"/>
          <w:szCs w:val="28"/>
          <w:rtl w:val="false"/>
        </w:rPr>
        <w:t xml:space="preserve">[24] T. Wolf et al., "Transformers: State-of-the-art natural language processing," in Proc. EMNLP: System Demonstrations, 2020, pp. 38–45.</w:t>
      </w:r>
    </w:p>
    <w:p>
      <w:pPr>
        <w:bidi w:val="false"/>
        <w:spacing w:after="60"/>
        <w:ind w:left="400" w:hanging="400"/>
        <w:jc w:val="left"/>
      </w:pPr>
      <w:r>
        <w:rPr>
          <w:rFonts w:ascii="Times New Roman" w:hAnsi="Times New Roman" w:cs="Times New Roman"/>
          <w:sz w:val="28"/>
          <w:szCs w:val="28"/>
          <w:rtl w:val="false"/>
        </w:rPr>
        <w:t xml:space="preserve">[25] F. Pedregosa et al., "Scikit-learn: Machine learning in Python," Journal of Machine Learning Research, vol. 12, pp. 2825–2830, 2011.</w:t>
      </w:r>
    </w:p>
    <w:p>
      <w:pPr>
        <w:bidi w:val="false"/>
        <w:spacing w:after="60"/>
        <w:ind w:left="400" w:hanging="400"/>
        <w:jc w:val="left"/>
      </w:pPr>
      <w:r>
        <w:rPr>
          <w:rFonts w:ascii="Times New Roman" w:hAnsi="Times New Roman" w:cs="Times New Roman"/>
          <w:sz w:val="28"/>
          <w:szCs w:val="28"/>
          <w:rtl w:val="false"/>
        </w:rPr>
        <w:t xml:space="preserve">[26] E. B. Wilson, "Probable inference, the law of succession, and statistical inference," Journal of the American Statistical Association, vol. 22, no. 158, pp. 209–212, 1927.</w:t>
      </w:r>
    </w:p>
    <w:p>
      <w:pPr>
        <w:bidi w:val="false"/>
        <w:spacing w:after="60"/>
        <w:ind w:left="400" w:hanging="400"/>
        <w:jc w:val="left"/>
      </w:pPr>
      <w:r>
        <w:rPr>
          <w:rFonts w:ascii="Times New Roman" w:hAnsi="Times New Roman" w:cs="Times New Roman"/>
          <w:sz w:val="28"/>
          <w:szCs w:val="28"/>
          <w:rtl w:val="false"/>
        </w:rPr>
        <w:t xml:space="preserve">[27] T. G. Dietterich, "Approximate statistical tests for comparing supervised classification learning algorithms," Neural Computation, vol. 10, no. 7, pp. 1895–1923, 1998.</w:t>
      </w:r>
    </w:p>
    <w:p>
      <w:pPr>
        <w:bidi w:val="false"/>
        <w:spacing w:after="60"/>
        <w:ind w:left="400" w:hanging="400"/>
        <w:jc w:val="left"/>
      </w:pPr>
      <w:r>
        <w:rPr>
          <w:rFonts w:ascii="Times New Roman" w:hAnsi="Times New Roman" w:cs="Times New Roman"/>
          <w:sz w:val="28"/>
          <w:szCs w:val="28"/>
          <w:rtl w:val="false"/>
        </w:rPr>
        <w:t xml:space="preserve">[28] X. Zhang, J. Zhao, and Y. LeCun, "Character-level convolutional networks for text classification," in Advances in Neural Information Processing Systems (NeurIPS), 2015, pp. 649–657.</w:t>
      </w:r>
    </w:p>
    <w:p>
      <w:pPr>
        <w:bidi w:val="false"/>
        <w:spacing w:after="60"/>
        <w:ind w:left="400" w:hanging="400"/>
        <w:jc w:val="left"/>
      </w:pPr>
      <w:r>
        <w:rPr>
          <w:rFonts w:ascii="Times New Roman" w:hAnsi="Times New Roman" w:cs="Times New Roman"/>
          <w:sz w:val="28"/>
          <w:szCs w:val="28"/>
          <w:rtl w:val="false"/>
        </w:rPr>
        <w:t xml:space="preserve">[29] G. C. Cawley and N. L. C. Talbot, "On over-fitting in model selection and subsequent selection bias in performance evaluation," Journal of Machine Learning Research, vol. 11, pp. 2079–2107, 2010.</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lvl>
  </w:abstractNum>
  <w:abstractNum w:abstractNumId="3" w15:restartNumberingAfterBreak="0">
    <w:multiLevelType w:val="hybridMultilevel"/>
    <w:lvl w:ilvl="0" w15:tentative="1">
      <w:start w:val="1"/>
      <w:numFmt w:val="decimal"/>
      <w:lvlText w:val="%1."/>
      <w:lvlJc w:val="right"/>
      <w:pPr>
        <w:ind w:righ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Times New Roman" w:eastAsia="Times New Roman"/>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bidi/>
      <w:outlineLvl w:val="0"/>
    </w:pPr>
    <w:rPr>
      <w:rFonts w:ascii="Times New Roman" w:hAnsi="Times New Roman" w:cs="Times New Roman" w:eastAsia="Times New Roman"/>
      <w:b/>
      <w:bCs/>
      <w:color w:val="1F3864"/>
      <w:sz w:val="32"/>
      <w:szCs w:val="32"/>
    </w:rPr>
  </w:style>
  <w:style w:type="paragraph" w:styleId="Heading2">
    <w:name w:val="Heading 2"/>
    <w:basedOn w:val="Normal"/>
    <w:next w:val="Normal"/>
    <w:qFormat/>
    <w:pPr>
      <w:bidi/>
      <w:outlineLvl w:val="1"/>
    </w:pPr>
    <w:rPr>
      <w:rFonts w:ascii="Times New Roman" w:hAnsi="Times New Roman" w:cs="Times New Roman" w:eastAsia="Times New Roman"/>
      <w:b/>
      <w:bCs/>
      <w:color w:val="2E559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be59d7f1c645585ff59c8b233661d44e2c75c19.png"/><Relationship Id="rId8" Type="http://schemas.openxmlformats.org/officeDocument/2006/relationships/image" Target="media/d60d6d303c1534ad89d2ecefb1fe184006b009a0.png"/><Relationship Id="rId9" Type="http://schemas.openxmlformats.org/officeDocument/2006/relationships/image" Target="media/ead1cd543fb956e7a09e476fec50f3515953733f.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تصنيف استفسارات الطلاب الجامعية العربية</dc:title>
  <dc:creator>Arabic-Nlp-University-Routing</dc:creator>
  <cp:lastModifiedBy>Un-named</cp:lastModifiedBy>
  <cp:revision>1</cp:revision>
  <dcterms:created xsi:type="dcterms:W3CDTF">2026-10-14T13:52:42.647Z</dcterms:created>
  <dcterms:modified xsi:type="dcterms:W3CDTF">2026-10-14T13:52:42.648Z</dcterms:modified>
</cp:coreProperties>
</file>

<file path=docProps/custom.xml><?xml version="1.0" encoding="utf-8"?>
<Properties xmlns="http://schemas.openxmlformats.org/officeDocument/2006/custom-properties" xmlns:vt="http://schemas.openxmlformats.org/officeDocument/2006/docPropsVTypes"/>
</file>