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#1</w:t>
        <w:br w:type="textWrapping"/>
        <w:t xml:space="preserve">Mostrar cómo las imágenes fueron cargadas correctamente en docker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419100</wp:posOffset>
            </wp:positionV>
            <wp:extent cx="5731200" cy="32131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#2</w:t>
        <w:br w:type="textWrapping"/>
        <w:t xml:space="preserve">Mostrar imagen del comando CMD donde se le pide que muestre los contenedores cargados correctamente en Docker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-653886</wp:posOffset>
            </wp:positionH>
            <wp:positionV relativeFrom="paragraph">
              <wp:posOffset>571500</wp:posOffset>
            </wp:positionV>
            <wp:extent cx="7039336" cy="196809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336" cy="1968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#3</w:t>
        <w:br w:type="textWrapping"/>
        <w:t xml:space="preserve">Mostrar imagen en DBeaver de cómo se cargó correctamente la conexión de MySQL con Docker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-690895</wp:posOffset>
            </wp:positionH>
            <wp:positionV relativeFrom="paragraph">
              <wp:posOffset>114300</wp:posOffset>
            </wp:positionV>
            <wp:extent cx="7101221" cy="37814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221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