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5953"/>
        <w:gridCol w:w="4252"/>
      </w:tblGrid>
      <w:tr>
        <w:tc>
          <w:tcPr>
            <w:tcW w:type="dxa" w:w="5953"/>
            <w:tcBorders>
              <w:top w:val="nil"/>
              <w:left w:val="nil"/>
              <w:bottom w:val="nil"/>
              <w:right w:val="nil"/>
              <w:insideH w:val="nil"/>
              <w:insideV w:val="nil"/>
            </w:tcBorders>
          </w:tcPr>
          <w:p/>
          <w:p>
            <w:pPr>
              <w:spacing w:before="0" w:after="80" w:line="300" w:lineRule="auto"/>
            </w:pPr>
          </w:p>
          <w:p>
            <w:pPr>
              <w:spacing w:before="0" w:after="0" w:line="300" w:lineRule="auto"/>
            </w:pPr>
            <w:r>
              <w:rPr>
                <w:rFonts w:ascii="Calibri" w:hAnsi="Calibri"/>
                <w:b/>
                <w:i w:val="0"/>
                <w:color w:val="0F4C5C"/>
                <w:sz w:val="44"/>
                <w:rFonts w:ascii="Calibri" w:hAnsi="Calibri" w:cs="Calibri"/>
              </w:rPr>
              <w:t>● MANOVA</w:t>
            </w:r>
            <w:r>
              <w:rPr>
                <w:rFonts w:ascii="Calibri" w:hAnsi="Calibri"/>
                <w:b/>
                <w:i w:val="0"/>
                <w:color w:val="BE3455"/>
                <w:sz w:val="44"/>
                <w:rFonts w:ascii="Calibri" w:hAnsi="Calibri" w:cs="Calibri"/>
              </w:rPr>
              <w:t xml:space="preserve"> LABS</w:t>
            </w:r>
          </w:p>
          <w:p>
            <w:pPr>
              <w:spacing w:before="0" w:after="160" w:line="300" w:lineRule="auto"/>
            </w:pPr>
            <w:r>
              <w:rPr>
                <w:rFonts w:ascii="Calibri" w:hAnsi="Calibri"/>
                <w:b w:val="0"/>
                <w:i/>
                <w:color w:val="64748B"/>
                <w:sz w:val="20"/>
                <w:rFonts w:ascii="Calibri" w:hAnsi="Calibri" w:cs="Calibri"/>
              </w:rPr>
              <w:t>Software · Web · Civic Tech</w:t>
            </w:r>
          </w:p>
          <w:p>
            <w:pPr>
              <w:spacing w:before="0" w:after="80" w:line="300" w:lineRule="auto"/>
            </w:pPr>
            <w:r>
              <w:rPr>
                <w:rFonts w:ascii="Calibri" w:hAnsi="Calibri"/>
                <w:b w:val="0"/>
                <w:i w:val="0"/>
                <w:color w:val="64748B"/>
                <w:sz w:val="18"/>
                <w:rFonts w:ascii="Calibri" w:hAnsi="Calibri" w:cs="Calibri"/>
              </w:rPr>
              <w:t>Lusaka, Zambia</w:t>
            </w:r>
          </w:p>
          <w:p>
            <w:pPr>
              <w:spacing w:before="0" w:after="0" w:line="300" w:lineRule="auto"/>
            </w:pPr>
            <w:r>
              <w:rPr>
                <w:rFonts w:ascii="Calibri" w:hAnsi="Calibri"/>
                <w:b w:val="0"/>
                <w:i w:val="0"/>
                <w:color w:val="64748B"/>
                <w:sz w:val="18"/>
                <w:rFonts w:ascii="Calibri" w:hAnsi="Calibri" w:cs="Calibri"/>
              </w:rPr>
              <w:t>info@manovalabs.co  ·  manovalabs.co</w:t>
            </w:r>
          </w:p>
        </w:tc>
        <w:tc>
          <w:tcPr>
            <w:tcW w:type="dxa" w:w="4252"/>
            <w:tcBorders>
              <w:top w:val="nil"/>
              <w:left w:val="nil"/>
              <w:bottom w:val="nil"/>
              <w:right w:val="nil"/>
              <w:insideH w:val="nil"/>
              <w:insideV w:val="nil"/>
            </w:tcBorders>
          </w:tcPr>
          <w:p/>
          <w:p>
            <w:pPr>
              <w:spacing w:before="0" w:after="80" w:line="300" w:lineRule="auto"/>
            </w:pPr>
          </w:p>
          <w:p>
            <w:pPr>
              <w:spacing w:before="0" w:after="40" w:line="300" w:lineRule="auto"/>
              <w:jc w:val="right"/>
            </w:pPr>
            <w:r>
              <w:rPr>
                <w:rFonts w:ascii="Calibri" w:hAnsi="Calibri"/>
                <w:b/>
                <w:i w:val="0"/>
                <w:color w:val="BE3455"/>
                <w:sz w:val="44"/>
                <w:rFonts w:ascii="Calibri" w:hAnsi="Calibri" w:cs="Calibri"/>
              </w:rPr>
              <w:t>QUOTATION</w:t>
            </w:r>
          </w:p>
          <w:p>
            <w:pPr>
              <w:spacing w:before="0" w:after="0" w:line="300" w:lineRule="auto"/>
              <w:jc w:val="right"/>
            </w:pPr>
            <w:r>
              <w:rPr>
                <w:rFonts w:ascii="Calibri" w:hAnsi="Calibri"/>
                <w:b w:val="0"/>
                <w:i w:val="0"/>
                <w:color w:val="64748B"/>
                <w:sz w:val="20"/>
                <w:rFonts w:ascii="Calibri" w:hAnsi="Calibri" w:cs="Calibri"/>
              </w:rPr>
              <w:t xml:space="preserve">Quote no.: </w:t>
            </w:r>
            <w:r>
              <w:rPr>
                <w:rFonts w:ascii="Calibri" w:hAnsi="Calibri"/>
                <w:b/>
                <w:i w:val="0"/>
                <w:color w:val="1F2937"/>
                <w:sz w:val="20"/>
                <w:rFonts w:ascii="Calibri" w:hAnsi="Calibri" w:cs="Calibri"/>
              </w:rPr>
              <w:t>ML-2026-0001</w:t>
            </w:r>
          </w:p>
          <w:p>
            <w:pPr>
              <w:spacing w:before="0" w:after="0" w:line="300" w:lineRule="auto"/>
              <w:jc w:val="right"/>
            </w:pPr>
            <w:r>
              <w:rPr>
                <w:rFonts w:ascii="Calibri" w:hAnsi="Calibri"/>
                <w:b w:val="0"/>
                <w:i w:val="0"/>
                <w:color w:val="64748B"/>
                <w:sz w:val="20"/>
                <w:rFonts w:ascii="Calibri" w:hAnsi="Calibri" w:cs="Calibri"/>
              </w:rPr>
              <w:t xml:space="preserve">Date: </w:t>
            </w:r>
            <w:r>
              <w:rPr>
                <w:rFonts w:ascii="Calibri" w:hAnsi="Calibri"/>
                <w:b/>
                <w:i w:val="0"/>
                <w:color w:val="1F2937"/>
                <w:sz w:val="20"/>
                <w:rFonts w:ascii="Calibri" w:hAnsi="Calibri" w:cs="Calibri"/>
              </w:rPr>
              <w:t>2026-09-23</w:t>
            </w:r>
          </w:p>
          <w:p>
            <w:pPr>
              <w:spacing w:before="0" w:after="0" w:line="300" w:lineRule="auto"/>
              <w:jc w:val="right"/>
            </w:pPr>
            <w:r>
              <w:rPr>
                <w:rFonts w:ascii="Calibri" w:hAnsi="Calibri"/>
                <w:b w:val="0"/>
                <w:i w:val="0"/>
                <w:color w:val="64748B"/>
                <w:sz w:val="20"/>
                <w:rFonts w:ascii="Calibri" w:hAnsi="Calibri" w:cs="Calibri"/>
              </w:rPr>
              <w:t xml:space="preserve">Valid until: </w:t>
            </w:r>
            <w:r>
              <w:rPr>
                <w:rFonts w:ascii="Calibri" w:hAnsi="Calibri"/>
                <w:b/>
                <w:i w:val="0"/>
                <w:color w:val="1F2937"/>
                <w:sz w:val="20"/>
                <w:rFonts w:ascii="Calibri" w:hAnsi="Calibri" w:cs="Calibri"/>
              </w:rPr>
              <w:t>2026-12-31</w:t>
            </w:r>
          </w:p>
          <w:p>
            <w:pPr>
              <w:spacing w:before="0" w:after="0" w:line="300" w:lineRule="auto"/>
              <w:jc w:val="right"/>
            </w:pPr>
            <w:r>
              <w:rPr>
                <w:rFonts w:ascii="Calibri" w:hAnsi="Calibri"/>
                <w:b w:val="0"/>
                <w:i w:val="0"/>
                <w:color w:val="64748B"/>
                <w:sz w:val="20"/>
                <w:rFonts w:ascii="Calibri" w:hAnsi="Calibri" w:cs="Calibri"/>
              </w:rPr>
              <w:t xml:space="preserve">Currency: </w:t>
            </w:r>
            <w:r>
              <w:rPr>
                <w:rFonts w:ascii="Calibri" w:hAnsi="Calibri"/>
                <w:b/>
                <w:i w:val="0"/>
                <w:color w:val="1F2937"/>
                <w:sz w:val="20"/>
                <w:rFonts w:ascii="Calibri" w:hAnsi="Calibri" w:cs="Calibri"/>
              </w:rPr>
              <w:t>ZMW (K)</w:t>
            </w:r>
          </w:p>
        </w:tc>
      </w:tr>
    </w:tbl>
    <w:p>
      <w:pPr>
        <w:spacing w:before="80" w:after="80" w:line="300" w:lineRule="auto"/>
        <w:pBdr>
          <w:bottom w:val="single" w:sz="8" w:color="0F4C5C"/>
        </w:pBdr>
      </w:pPr>
    </w:p>
    <w:tbl>
      <w:tblPr>
        <w:tblW w:type="auto" w:w="0"/>
        <w:tblLayout w:type="fixed"/>
        <w:tblLook w:firstColumn="1" w:firstRow="1" w:lastColumn="0" w:lastRow="0" w:noHBand="0" w:noVBand="1" w:val="04A0"/>
      </w:tblPr>
      <w:tblGrid>
        <w:gridCol w:w="6520"/>
        <w:gridCol w:w="3685"/>
      </w:tblGrid>
      <w:tr>
        <w:tc>
          <w:tcPr>
            <w:tcW w:type="dxa" w:w="6520"/>
            <w:tcBorders>
              <w:top w:val="nil"/>
              <w:left w:val="nil"/>
              <w:bottom w:val="nil"/>
              <w:right w:val="nil"/>
              <w:insideH w:val="nil"/>
              <w:insideV w:val="nil"/>
            </w:tcBorders>
          </w:tcPr>
          <w:p/>
          <w:p>
            <w:pPr>
              <w:spacing w:before="40" w:after="40" w:line="300" w:lineRule="auto"/>
            </w:pPr>
            <w:r>
              <w:rPr>
                <w:rFonts w:ascii="Calibri" w:hAnsi="Calibri"/>
                <w:b/>
                <w:i w:val="0"/>
                <w:color w:val="64748B"/>
                <w:sz w:val="18"/>
                <w:rFonts w:ascii="Calibri" w:hAnsi="Calibri" w:cs="Calibri"/>
              </w:rPr>
              <w:t>Bill to</w:t>
            </w:r>
          </w:p>
          <w:p>
            <w:pPr>
              <w:spacing w:before="0" w:after="0" w:line="300" w:lineRule="auto"/>
            </w:pPr>
            <w:r>
              <w:rPr>
                <w:rFonts w:ascii="Calibri" w:hAnsi="Calibri"/>
                <w:b/>
                <w:i w:val="0"/>
                <w:color w:val="1F2937"/>
                <w:sz w:val="22"/>
                <w:rFonts w:ascii="Calibri" w:hAnsi="Calibri" w:cs="Calibri"/>
              </w:rPr>
              <w:t>The Fistula and Childbirth Injuries</w:t>
            </w:r>
          </w:p>
          <w:p>
            <w:pPr>
              <w:spacing w:before="0" w:after="40" w:line="300" w:lineRule="auto"/>
            </w:pPr>
            <w:r>
              <w:rPr>
                <w:rFonts w:ascii="Calibri" w:hAnsi="Calibri"/>
                <w:b/>
                <w:i w:val="0"/>
                <w:color w:val="1F2937"/>
                <w:sz w:val="22"/>
                <w:rFonts w:ascii="Calibri" w:hAnsi="Calibri" w:cs="Calibri"/>
              </w:rPr>
              <w:t>Association of Zambia (FCIAZ)</w:t>
            </w:r>
          </w:p>
          <w:p>
            <w:pPr>
              <w:spacing w:before="0" w:after="0" w:line="300" w:lineRule="auto"/>
            </w:pPr>
            <w:r>
              <w:rPr>
                <w:rFonts w:ascii="Calibri" w:hAnsi="Calibri"/>
                <w:b w:val="0"/>
                <w:i w:val="0"/>
                <w:color w:val="64748B"/>
                <w:sz w:val="20"/>
                <w:rFonts w:ascii="Calibri" w:hAnsi="Calibri" w:cs="Calibri"/>
              </w:rPr>
              <w:t>Office of the Publicity Secretary</w:t>
            </w:r>
          </w:p>
          <w:p>
            <w:pPr>
              <w:spacing w:before="0" w:after="0" w:line="300" w:lineRule="auto"/>
            </w:pPr>
            <w:r>
              <w:rPr>
                <w:rFonts w:ascii="Calibri" w:hAnsi="Calibri"/>
                <w:b w:val="0"/>
                <w:i w:val="0"/>
                <w:color w:val="64748B"/>
                <w:sz w:val="20"/>
                <w:rFonts w:ascii="Calibri" w:hAnsi="Calibri" w:cs="Calibri"/>
              </w:rPr>
              <w:t>Attn: Dr. Lucas Tembo, Publicity Secretary</w:t>
            </w:r>
          </w:p>
          <w:p>
            <w:pPr>
              <w:spacing w:before="0" w:after="160" w:line="300" w:lineRule="auto"/>
            </w:pPr>
            <w:r>
              <w:rPr>
                <w:rFonts w:ascii="Calibri" w:hAnsi="Calibri"/>
                <w:b w:val="0"/>
                <w:i w:val="0"/>
                <w:color w:val="64748B"/>
                <w:sz w:val="20"/>
                <w:rFonts w:ascii="Calibri" w:hAnsi="Calibri" w:cs="Calibri"/>
              </w:rPr>
              <w:t>info@fciaz.org.zm</w:t>
            </w:r>
          </w:p>
        </w:tc>
        <w:tc>
          <w:tcPr>
            <w:tcW w:type="dxa" w:w="3685"/>
            <w:tcBorders>
              <w:top w:val="nil"/>
              <w:left w:val="nil"/>
              <w:bottom w:val="nil"/>
              <w:right w:val="nil"/>
              <w:insideH w:val="nil"/>
              <w:insideV w:val="nil"/>
            </w:tcBorders>
          </w:tcPr>
          <w:p/>
          <w:p>
            <w:pPr>
              <w:spacing w:before="40" w:after="40" w:line="300" w:lineRule="auto"/>
              <w:jc w:val="right"/>
            </w:pPr>
            <w:r>
              <w:rPr>
                <w:rFonts w:ascii="Calibri" w:hAnsi="Calibri"/>
                <w:b/>
                <w:i w:val="0"/>
                <w:color w:val="64748B"/>
                <w:sz w:val="18"/>
                <w:rFonts w:ascii="Calibri" w:hAnsi="Calibri" w:cs="Calibri"/>
              </w:rPr>
              <w:t>Subject</w:t>
            </w:r>
          </w:p>
          <w:p>
            <w:pPr>
              <w:spacing w:before="0" w:after="40" w:line="300" w:lineRule="auto"/>
              <w:jc w:val="right"/>
            </w:pPr>
            <w:r>
              <w:rPr>
                <w:rFonts w:ascii="Calibri" w:hAnsi="Calibri"/>
                <w:b/>
                <w:i w:val="0"/>
                <w:color w:val="1F2937"/>
                <w:sz w:val="22"/>
                <w:rFonts w:ascii="Calibri" w:hAnsi="Calibri" w:cs="Calibri"/>
              </w:rPr>
              <w:t>Multilingual public website for FCIAZ</w:t>
            </w:r>
          </w:p>
        </w:tc>
      </w:tr>
    </w:tbl>
    <w:p>
      <w:pPr>
        <w:spacing w:before="160" w:after="120" w:line="300" w:lineRule="auto"/>
      </w:pPr>
      <w:r>
        <w:rPr>
          <w:rFonts w:ascii="Calibri" w:hAnsi="Calibri"/>
          <w:b w:val="0"/>
          <w:i w:val="0"/>
          <w:sz w:val="22"/>
          <w:rFonts w:ascii="Calibri" w:hAnsi="Calibri" w:cs="Calibri"/>
        </w:rPr>
        <w:t>Dear Dr. Kasanda and the FCIAZ Executive Committee,</w:t>
      </w:r>
    </w:p>
    <w:p>
      <w:pPr>
        <w:spacing w:before="0" w:after="120" w:line="300" w:lineRule="auto"/>
      </w:pPr>
      <w:r>
        <w:rPr>
          <w:rFonts w:ascii="Calibri" w:hAnsi="Calibri"/>
          <w:b w:val="0"/>
          <w:i w:val="0"/>
          <w:sz w:val="22"/>
          <w:rFonts w:ascii="Calibri" w:hAnsi="Calibri" w:cs="Calibri"/>
        </w:rPr>
        <w:t>Thank you for the opportunity to submit this quotation for the design and build of the FCIAZ public website. The scope covers a production-ready, trilingual (English · Icibemba · Chinyanja) website that supports the Association's Advocacy, Treatment and Rehabilitation mandate — including a donations page for bank and mobile-money channels, a self-hosted newsletter, enquiry and volunteer signup forms, and a stakeholder directory suitable for donor and government engagement.</w:t>
      </w:r>
    </w:p>
    <w:p>
      <w:pPr>
        <w:spacing w:before="0" w:after="200" w:line="300" w:lineRule="auto"/>
      </w:pPr>
      <w:r>
        <w:rPr>
          <w:rFonts w:ascii="Calibri" w:hAnsi="Calibri"/>
          <w:b w:val="0"/>
          <w:i/>
          <w:color w:val="64748B"/>
          <w:sz w:val="22"/>
          <w:rFonts w:ascii="Calibri" w:hAnsi="Calibri" w:cs="Calibri"/>
        </w:rPr>
        <w:t>This quotation is valid for thirty (30) days from the date of issue. Prices are quoted in Zambian Kwacha (ZMW). Hosting (Cloudflare Workers free tier), the Supabase free tier, the official FCIAZ domain name, and any paid third-party service fees that FCIAZ elects to use are billed separately at cost by FCIAZ.</w:t>
      </w:r>
    </w:p>
    <w:p>
      <w:pPr>
        <w:spacing w:before="0" w:after="240" w:line="300" w:lineRule="auto"/>
      </w:pPr>
      <w:r>
        <w:rPr>
          <w:rFonts w:ascii="Calibri" w:hAnsi="Calibri"/>
          <w:b w:val="0"/>
          <w:i/>
          <w:color w:val="64748B"/>
          <w:sz w:val="21"/>
          <w:rFonts w:ascii="Calibri" w:hAnsi="Calibri" w:cs="Calibri"/>
        </w:rPr>
        <w:t>Pricing note: Manova Labs is providing this engagement at a deep founder-friendly rate in support of FCIAZ's public-health mission. The build invoice is K2,500. During the engagement, seven additional features were added beyond the original scope at no additional charge: Sanity CMS integration, dynamic news and events pages, Cloudflare + OpenNext deployment migration, the modern UI design system, full multilingual translations across three languages, security hardening, and PWA / favicon setup. The commercial reference value of all delivered work is approximately K25,400, so the founder-friendly reduction across the engagement is around 90%. The line items below show what was charged for each component alongside its commercial reference.</w:t>
      </w:r>
    </w:p>
    <w:p>
      <w:pPr>
        <w:spacing w:before="120" w:after="120" w:line="300" w:lineRule="auto"/>
      </w:pPr>
      <w:r>
        <w:rPr>
          <w:rFonts w:ascii="Calibri" w:hAnsi="Calibri"/>
          <w:b/>
          <w:i w:val="0"/>
          <w:color w:val="0F4C5C"/>
          <w:sz w:val="28"/>
          <w:rFonts w:ascii="Calibri" w:hAnsi="Calibri" w:cs="Calibri"/>
        </w:rPr>
        <w:t>1. Project understanding</w:t>
      </w:r>
    </w:p>
    <w:p>
      <w:pPr>
        <w:spacing w:before="0" w:after="80" w:line="300" w:lineRule="auto"/>
      </w:pPr>
      <w:r>
        <w:rPr>
          <w:rFonts w:ascii="Calibri" w:hAnsi="Calibri"/>
          <w:b w:val="0"/>
          <w:i w:val="0"/>
          <w:sz w:val="22"/>
          <w:rFonts w:ascii="Calibri" w:hAnsi="Calibri" w:cs="Calibri"/>
        </w:rPr>
        <w:t>FCIAZ is a newly constituted Zambian association addressing obstetric fistula and related childbirth injuries through Advocacy, Treatment and Rehabilitation. As Publicity Secretary, you require a credible, accessible web presence that:</w:t>
      </w:r>
    </w:p>
    <w:p>
      <w:pPr>
        <w:pStyle w:val="ListBullet"/>
        <w:spacing w:after="40"/>
      </w:pPr>
      <w:r>
        <w:rPr>
          <w:rFonts w:ascii="Calibri" w:hAnsi="Calibri"/>
          <w:b w:val="0"/>
          <w:i w:val="0"/>
          <w:color w:val="1F2937"/>
          <w:sz w:val="22"/>
          <w:rFonts w:ascii="Calibri" w:hAnsi="Calibri" w:cs="Calibri"/>
        </w:rPr>
        <w:t>introduces FCIAZ to the Zambian public, donors, professional bodies and the Ministry of Health;</w:t>
      </w:r>
    </w:p>
    <w:p>
      <w:pPr>
        <w:pStyle w:val="ListBullet"/>
        <w:spacing w:after="40"/>
      </w:pPr>
      <w:r>
        <w:rPr>
          <w:rFonts w:ascii="Calibri" w:hAnsi="Calibri"/>
          <w:b w:val="0"/>
          <w:i w:val="0"/>
          <w:color w:val="1F2937"/>
          <w:sz w:val="22"/>
          <w:rFonts w:ascii="Calibri" w:hAnsi="Calibri" w:cs="Calibri"/>
        </w:rPr>
        <w:t>operates in the three working languages of Zambia — English, Icibemba and Chinyanja;</w:t>
      </w:r>
    </w:p>
    <w:p>
      <w:pPr>
        <w:pStyle w:val="ListBullet"/>
        <w:spacing w:after="40"/>
      </w:pPr>
      <w:r>
        <w:rPr>
          <w:rFonts w:ascii="Calibri" w:hAnsi="Calibri"/>
          <w:b w:val="0"/>
          <w:i w:val="0"/>
          <w:color w:val="1F2937"/>
          <w:sz w:val="22"/>
          <w:rFonts w:ascii="Calibri" w:hAnsi="Calibri" w:cs="Calibri"/>
        </w:rPr>
        <w:t>channels donations through official bank and mobile-money options (MTN MoMo, Airtel Money, Zamtel Money);</w:t>
      </w:r>
    </w:p>
    <w:p>
      <w:pPr>
        <w:pStyle w:val="ListBullet"/>
        <w:spacing w:after="40"/>
      </w:pPr>
      <w:r>
        <w:rPr>
          <w:rFonts w:ascii="Calibri" w:hAnsi="Calibri"/>
          <w:b w:val="0"/>
          <w:i w:val="0"/>
          <w:color w:val="1F2937"/>
          <w:sz w:val="22"/>
          <w:rFonts w:ascii="Calibri" w:hAnsi="Calibri" w:cs="Calibri"/>
        </w:rPr>
        <w:t>supports recruitment of volunteers and partner organisations;</w:t>
      </w:r>
    </w:p>
    <w:p>
      <w:pPr>
        <w:pStyle w:val="ListBullet"/>
        <w:spacing w:after="40"/>
      </w:pPr>
      <w:r>
        <w:rPr>
          <w:rFonts w:ascii="Calibri" w:hAnsi="Calibri"/>
          <w:b w:val="0"/>
          <w:i w:val="0"/>
          <w:color w:val="1F2937"/>
          <w:sz w:val="22"/>
          <w:rFonts w:ascii="Calibri" w:hAnsi="Calibri" w:cs="Calibri"/>
        </w:rPr>
        <w:t>demonstrates professional governance in support of the Fistula Foundation grant application and PACRA registration.</w:t>
      </w:r>
    </w:p>
    <w:p>
      <w:pPr>
        <w:spacing w:before="240" w:after="120" w:line="300" w:lineRule="auto"/>
      </w:pPr>
      <w:r>
        <w:rPr>
          <w:rFonts w:ascii="Calibri" w:hAnsi="Calibri"/>
          <w:b/>
          <w:i w:val="0"/>
          <w:color w:val="0F4C5C"/>
          <w:sz w:val="28"/>
          <w:rFonts w:ascii="Calibri" w:hAnsi="Calibri" w:cs="Calibri"/>
        </w:rPr>
        <w:t>2. Scope of work and deliverables</w:t>
      </w:r>
    </w:p>
    <w:p>
      <w:pPr>
        <w:spacing w:before="160" w:after="40" w:line="300" w:lineRule="auto"/>
      </w:pPr>
      <w:r>
        <w:rPr>
          <w:rFonts w:ascii="Calibri" w:hAnsi="Calibri"/>
          <w:b/>
          <w:i w:val="0"/>
          <w:color w:val="0F4C5C"/>
          <w:sz w:val="24"/>
          <w:rFonts w:ascii="Calibri" w:hAnsi="Calibri" w:cs="Calibri"/>
        </w:rPr>
        <w:t>Information architecture and design</w:t>
      </w:r>
    </w:p>
    <w:p>
      <w:pPr>
        <w:pStyle w:val="ListBullet"/>
        <w:spacing w:after="40"/>
      </w:pPr>
      <w:r>
        <w:rPr>
          <w:rFonts w:ascii="Calibri" w:hAnsi="Calibri"/>
          <w:b w:val="0"/>
          <w:i w:val="0"/>
          <w:color w:val="1F2937"/>
          <w:sz w:val="21"/>
          <w:rFonts w:ascii="Calibri" w:hAnsi="Calibri" w:cs="Calibri"/>
        </w:rPr>
        <w:t>Information architecture for 11 page templates</w:t>
      </w:r>
    </w:p>
    <w:p>
      <w:pPr>
        <w:pStyle w:val="ListBullet"/>
        <w:spacing w:after="40"/>
      </w:pPr>
      <w:r>
        <w:rPr>
          <w:rFonts w:ascii="Calibri" w:hAnsi="Calibri"/>
          <w:b w:val="0"/>
          <w:i w:val="0"/>
          <w:color w:val="1F2937"/>
          <w:sz w:val="21"/>
          <w:rFonts w:ascii="Calibri" w:hAnsi="Calibri" w:cs="Calibri"/>
        </w:rPr>
        <w:t>Responsive layout (mobile, tablet, desktop) following accessibility guidelines (WCAG 2.1 AA)</w:t>
      </w:r>
    </w:p>
    <w:p>
      <w:pPr>
        <w:pStyle w:val="ListBullet"/>
        <w:spacing w:after="40"/>
      </w:pPr>
      <w:r>
        <w:rPr>
          <w:rFonts w:ascii="Calibri" w:hAnsi="Calibri"/>
          <w:b w:val="0"/>
          <w:i w:val="0"/>
          <w:color w:val="1F2937"/>
          <w:sz w:val="21"/>
          <w:rFonts w:ascii="Calibri" w:hAnsi="Calibri" w:cs="Calibri"/>
        </w:rPr>
        <w:t>Brand colour palette (deep teal · warm rose · gold) and typography system</w:t>
      </w:r>
    </w:p>
    <w:p>
      <w:pPr>
        <w:pStyle w:val="ListBullet"/>
        <w:spacing w:after="40"/>
      </w:pPr>
      <w:r>
        <w:rPr>
          <w:rFonts w:ascii="Calibri" w:hAnsi="Calibri"/>
          <w:b w:val="0"/>
          <w:i w:val="0"/>
          <w:color w:val="1F2937"/>
          <w:sz w:val="21"/>
          <w:rFonts w:ascii="Calibri" w:hAnsi="Calibri" w:cs="Calibri"/>
        </w:rPr>
        <w:t>Logo lock-up and OG share image (placeholder; replaced when final artwork is delivered)</w:t>
      </w:r>
    </w:p>
    <w:p>
      <w:pPr>
        <w:spacing w:before="160" w:after="40" w:line="300" w:lineRule="auto"/>
      </w:pPr>
      <w:r>
        <w:rPr>
          <w:rFonts w:ascii="Calibri" w:hAnsi="Calibri"/>
          <w:b/>
          <w:i w:val="0"/>
          <w:color w:val="0F4C5C"/>
          <w:sz w:val="24"/>
          <w:rFonts w:ascii="Calibri" w:hAnsi="Calibri" w:cs="Calibri"/>
        </w:rPr>
        <w:t>Frontend build — eleven pages, three locales each</w:t>
      </w:r>
    </w:p>
    <w:p>
      <w:pPr>
        <w:pStyle w:val="ListBullet"/>
        <w:spacing w:after="40"/>
      </w:pPr>
      <w:r>
        <w:rPr>
          <w:rFonts w:ascii="Calibri" w:hAnsi="Calibri"/>
          <w:b w:val="0"/>
          <w:i w:val="0"/>
          <w:color w:val="1F2937"/>
          <w:sz w:val="21"/>
          <w:rFonts w:ascii="Calibri" w:hAnsi="Calibri" w:cs="Calibri"/>
        </w:rPr>
        <w:t>Home, About, What We Do, Stakeholders, Get Involved, Donate, Resources, News, Contact, Volunteer, plus a localised 404 page</w:t>
      </w:r>
    </w:p>
    <w:p>
      <w:pPr>
        <w:pStyle w:val="ListBullet"/>
        <w:spacing w:after="40"/>
      </w:pPr>
      <w:r>
        <w:rPr>
          <w:rFonts w:ascii="Calibri" w:hAnsi="Calibri"/>
          <w:b w:val="0"/>
          <w:i w:val="0"/>
          <w:color w:val="1F2937"/>
          <w:sz w:val="21"/>
          <w:rFonts w:ascii="Calibri" w:hAnsi="Calibri" w:cs="Calibri"/>
        </w:rPr>
        <w:t>Sticky accessible header, language switcher (EN/BEM/NYA), mobile menu</w:t>
      </w:r>
    </w:p>
    <w:p>
      <w:pPr>
        <w:pStyle w:val="ListBullet"/>
        <w:spacing w:after="40"/>
      </w:pPr>
      <w:r>
        <w:rPr>
          <w:rFonts w:ascii="Calibri" w:hAnsi="Calibri"/>
          <w:b w:val="0"/>
          <w:i w:val="0"/>
          <w:color w:val="1F2937"/>
          <w:sz w:val="21"/>
          <w:rFonts w:ascii="Calibri" w:hAnsi="Calibri" w:cs="Calibri"/>
        </w:rPr>
        <w:t>Footer with newsletter signup, quick links, social and contact details</w:t>
      </w:r>
    </w:p>
    <w:p>
      <w:pPr>
        <w:spacing w:before="160" w:after="40" w:line="300" w:lineRule="auto"/>
      </w:pPr>
      <w:r>
        <w:rPr>
          <w:rFonts w:ascii="Calibri" w:hAnsi="Calibri"/>
          <w:b/>
          <w:i w:val="0"/>
          <w:color w:val="0F4C5C"/>
          <w:sz w:val="24"/>
          <w:rFonts w:ascii="Calibri" w:hAnsi="Calibri" w:cs="Calibri"/>
        </w:rPr>
        <w:t>Donations page</w:t>
      </w:r>
    </w:p>
    <w:p>
      <w:pPr>
        <w:pStyle w:val="ListBullet"/>
        <w:spacing w:after="40"/>
      </w:pPr>
      <w:r>
        <w:rPr>
          <w:rFonts w:ascii="Calibri" w:hAnsi="Calibri"/>
          <w:b w:val="0"/>
          <w:i w:val="0"/>
          <w:color w:val="1F2937"/>
          <w:sz w:val="21"/>
          <w:rFonts w:ascii="Calibri" w:hAnsi="Calibri" w:cs="Calibri"/>
        </w:rPr>
        <w:t>Bank transfer section with bank, account, branch and SWIFT fields</w:t>
      </w:r>
    </w:p>
    <w:p>
      <w:pPr>
        <w:pStyle w:val="ListBullet"/>
        <w:spacing w:after="40"/>
      </w:pPr>
      <w:r>
        <w:rPr>
          <w:rFonts w:ascii="Calibri" w:hAnsi="Calibri"/>
          <w:b w:val="0"/>
          <w:i w:val="0"/>
          <w:color w:val="1F2937"/>
          <w:sz w:val="21"/>
          <w:rFonts w:ascii="Calibri" w:hAnsi="Calibri" w:cs="Calibri"/>
        </w:rPr>
        <w:t>Three mobile-money providers — MTN MoMo, Airtel Money, Zamtel Money — each with its own 5-step send-money instructions and provider-specific icons</w:t>
      </w:r>
    </w:p>
    <w:p>
      <w:pPr>
        <w:pStyle w:val="ListBullet"/>
        <w:spacing w:after="40"/>
      </w:pPr>
      <w:r>
        <w:rPr>
          <w:rFonts w:ascii="Calibri" w:hAnsi="Calibri"/>
          <w:b w:val="0"/>
          <w:i w:val="0"/>
          <w:color w:val="1F2937"/>
          <w:sz w:val="21"/>
          <w:rFonts w:ascii="Calibri" w:hAnsi="Calibri" w:cs="Calibri"/>
        </w:rPr>
        <w:t>Pending-bank-detail notice (auto-shown until the FCIAZ bank account is open)</w:t>
      </w:r>
    </w:p>
    <w:p>
      <w:pPr>
        <w:pStyle w:val="ListBullet"/>
        <w:spacing w:after="40"/>
      </w:pPr>
      <w:r>
        <w:rPr>
          <w:rFonts w:ascii="Calibri" w:hAnsi="Calibri"/>
          <w:b w:val="0"/>
          <w:i w:val="0"/>
          <w:color w:val="1F2937"/>
          <w:sz w:val="21"/>
          <w:rFonts w:ascii="Calibri" w:hAnsi="Calibri" w:cs="Calibri"/>
        </w:rPr>
        <w:t>Other-ways-to-give section (in-kind, legacy, corporate)</w:t>
      </w:r>
    </w:p>
    <w:p>
      <w:pPr>
        <w:spacing w:before="160" w:after="40" w:line="300" w:lineRule="auto"/>
      </w:pPr>
      <w:r>
        <w:rPr>
          <w:rFonts w:ascii="Calibri" w:hAnsi="Calibri"/>
          <w:b/>
          <w:i w:val="0"/>
          <w:color w:val="0F4C5C"/>
          <w:sz w:val="24"/>
          <w:rFonts w:ascii="Calibri" w:hAnsi="Calibri" w:cs="Calibri"/>
        </w:rPr>
        <w:t>Forms and backend integrations</w:t>
      </w:r>
    </w:p>
    <w:p>
      <w:pPr>
        <w:pStyle w:val="ListBullet"/>
        <w:spacing w:after="40"/>
      </w:pPr>
      <w:r>
        <w:rPr>
          <w:rFonts w:ascii="Calibri" w:hAnsi="Calibri"/>
          <w:b w:val="0"/>
          <w:i w:val="0"/>
          <w:color w:val="1F2937"/>
          <w:sz w:val="21"/>
          <w:rFonts w:ascii="Calibri" w:hAnsi="Calibri" w:cs="Calibri"/>
        </w:rPr>
        <w:t>Self-hosted newsletter (Supabase) with duplicate detection and re-subscribe handling</w:t>
      </w:r>
    </w:p>
    <w:p>
      <w:pPr>
        <w:pStyle w:val="ListBullet"/>
        <w:spacing w:after="40"/>
      </w:pPr>
      <w:r>
        <w:rPr>
          <w:rFonts w:ascii="Calibri" w:hAnsi="Calibri"/>
          <w:b w:val="0"/>
          <w:i w:val="0"/>
          <w:color w:val="1F2937"/>
          <w:sz w:val="21"/>
          <w:rFonts w:ascii="Calibri" w:hAnsi="Calibri" w:cs="Calibri"/>
        </w:rPr>
        <w:t>Contact form (writes to Supabase and emails the secretariat via Resend)</w:t>
      </w:r>
    </w:p>
    <w:p>
      <w:pPr>
        <w:pStyle w:val="ListBullet"/>
        <w:spacing w:after="40"/>
      </w:pPr>
      <w:r>
        <w:rPr>
          <w:rFonts w:ascii="Calibri" w:hAnsi="Calibri"/>
          <w:b w:val="0"/>
          <w:i w:val="0"/>
          <w:color w:val="1F2937"/>
          <w:sz w:val="21"/>
          <w:rFonts w:ascii="Calibri" w:hAnsi="Calibri" w:cs="Calibri"/>
        </w:rPr>
        <w:t>Volunteer application form (writes to Supabase, notifies secretariat, acknowledges applicant)</w:t>
      </w:r>
    </w:p>
    <w:p>
      <w:pPr>
        <w:pStyle w:val="ListBullet"/>
        <w:spacing w:after="40"/>
      </w:pPr>
      <w:r>
        <w:rPr>
          <w:rFonts w:ascii="Calibri" w:hAnsi="Calibri"/>
          <w:b w:val="0"/>
          <w:i w:val="0"/>
          <w:color w:val="1F2937"/>
          <w:sz w:val="21"/>
          <w:rFonts w:ascii="Calibri" w:hAnsi="Calibri" w:cs="Calibri"/>
        </w:rPr>
        <w:t>Server-side Zod validation; graceful failure when Supabase/Resend are not configured</w:t>
      </w:r>
    </w:p>
    <w:p>
      <w:pPr>
        <w:spacing w:before="160" w:after="40" w:line="300" w:lineRule="auto"/>
      </w:pPr>
      <w:r>
        <w:rPr>
          <w:rFonts w:ascii="Calibri" w:hAnsi="Calibri"/>
          <w:b/>
          <w:i w:val="0"/>
          <w:color w:val="0F4C5C"/>
          <w:sz w:val="24"/>
          <w:rFonts w:ascii="Calibri" w:hAnsi="Calibri" w:cs="Calibri"/>
        </w:rPr>
        <w:t>Multilingual support</w:t>
      </w:r>
    </w:p>
    <w:p>
      <w:pPr>
        <w:pStyle w:val="ListBullet"/>
        <w:spacing w:after="40"/>
      </w:pPr>
      <w:r>
        <w:rPr>
          <w:rFonts w:ascii="Calibri" w:hAnsi="Calibri"/>
          <w:b w:val="0"/>
          <w:i w:val="0"/>
          <w:color w:val="1F2937"/>
          <w:sz w:val="21"/>
          <w:rFonts w:ascii="Calibri" w:hAnsi="Calibri" w:cs="Calibri"/>
        </w:rPr>
        <w:t>next-intl locale routing under /en, /bem, /nya</w:t>
      </w:r>
    </w:p>
    <w:p>
      <w:pPr>
        <w:pStyle w:val="ListBullet"/>
        <w:spacing w:after="40"/>
      </w:pPr>
      <w:r>
        <w:rPr>
          <w:rFonts w:ascii="Calibri" w:hAnsi="Calibri"/>
          <w:b w:val="0"/>
          <w:i w:val="0"/>
          <w:color w:val="1F2937"/>
          <w:sz w:val="21"/>
          <w:rFonts w:ascii="Calibri" w:hAnsi="Calibri" w:cs="Calibri"/>
        </w:rPr>
        <w:t>Draft translation files in all three languages (Bemba and Nyanja drafts to be verified by FCIAZ)</w:t>
      </w:r>
    </w:p>
    <w:p>
      <w:pPr>
        <w:pStyle w:val="ListBullet"/>
        <w:spacing w:after="40"/>
      </w:pPr>
      <w:r>
        <w:rPr>
          <w:rFonts w:ascii="Calibri" w:hAnsi="Calibri"/>
          <w:b w:val="0"/>
          <w:i w:val="0"/>
          <w:color w:val="1F2937"/>
          <w:sz w:val="21"/>
          <w:rFonts w:ascii="Calibri" w:hAnsi="Calibri" w:cs="Calibri"/>
        </w:rPr>
        <w:t>Per-locale metadata and OpenGraph for SEO</w:t>
      </w:r>
    </w:p>
    <w:p>
      <w:pPr>
        <w:spacing w:before="160" w:after="40" w:line="300" w:lineRule="auto"/>
      </w:pPr>
      <w:r>
        <w:rPr>
          <w:rFonts w:ascii="Calibri" w:hAnsi="Calibri"/>
          <w:b/>
          <w:i w:val="0"/>
          <w:color w:val="0F4C5C"/>
          <w:sz w:val="24"/>
          <w:rFonts w:ascii="Calibri" w:hAnsi="Calibri" w:cs="Calibri"/>
        </w:rPr>
        <w:t>Stakeholder engagement</w:t>
      </w:r>
    </w:p>
    <w:p>
      <w:pPr>
        <w:pStyle w:val="ListBullet"/>
        <w:spacing w:after="40"/>
      </w:pPr>
      <w:r>
        <w:rPr>
          <w:rFonts w:ascii="Calibri" w:hAnsi="Calibri"/>
          <w:b w:val="0"/>
          <w:i w:val="0"/>
          <w:color w:val="1F2937"/>
          <w:sz w:val="21"/>
          <w:rFonts w:ascii="Calibri" w:hAnsi="Calibri" w:cs="Calibri"/>
        </w:rPr>
        <w:t>Stakeholders page grouped by Government, Professional bodies, Development partners, Academic, Media, Community</w:t>
      </w:r>
    </w:p>
    <w:p>
      <w:pPr>
        <w:pStyle w:val="ListBullet"/>
        <w:spacing w:after="40"/>
      </w:pPr>
      <w:r>
        <w:rPr>
          <w:rFonts w:ascii="Calibri" w:hAnsi="Calibri"/>
          <w:b w:val="0"/>
          <w:i w:val="0"/>
          <w:color w:val="1F2937"/>
          <w:sz w:val="21"/>
          <w:rFonts w:ascii="Calibri" w:hAnsi="Calibri" w:cs="Calibri"/>
        </w:rPr>
        <w:t>Floating WhatsApp button linking to wa.me/&lt;number&gt;</w:t>
      </w:r>
    </w:p>
    <w:p>
      <w:pPr>
        <w:pStyle w:val="ListBullet"/>
        <w:spacing w:after="40"/>
      </w:pPr>
      <w:r>
        <w:rPr>
          <w:rFonts w:ascii="Calibri" w:hAnsi="Calibri"/>
          <w:b w:val="0"/>
          <w:i w:val="0"/>
          <w:color w:val="1F2937"/>
          <w:sz w:val="21"/>
          <w:rFonts w:ascii="Calibri" w:hAnsi="Calibri" w:cs="Calibri"/>
        </w:rPr>
        <w:t>Social profiles in footer (Facebook, X, LinkedIn, Instagram, YouTube)</w:t>
      </w:r>
    </w:p>
    <w:p>
      <w:pPr>
        <w:spacing w:before="160" w:after="40" w:line="300" w:lineRule="auto"/>
      </w:pPr>
      <w:r>
        <w:rPr>
          <w:rFonts w:ascii="Calibri" w:hAnsi="Calibri"/>
          <w:b/>
          <w:i w:val="0"/>
          <w:color w:val="0F4C5C"/>
          <w:sz w:val="24"/>
          <w:rFonts w:ascii="Calibri" w:hAnsi="Calibri" w:cs="Calibri"/>
        </w:rPr>
        <w:t>SEO, accessibility and performance</w:t>
      </w:r>
    </w:p>
    <w:p>
      <w:pPr>
        <w:pStyle w:val="ListBullet"/>
        <w:spacing w:after="40"/>
      </w:pPr>
      <w:r>
        <w:rPr>
          <w:rFonts w:ascii="Calibri" w:hAnsi="Calibri"/>
          <w:b w:val="0"/>
          <w:i w:val="0"/>
          <w:color w:val="1F2937"/>
          <w:sz w:val="21"/>
          <w:rFonts w:ascii="Calibri" w:hAnsi="Calibri" w:cs="Calibri"/>
        </w:rPr>
        <w:t>Per-page metadata, OG image, robots.txt, semantic HTML</w:t>
      </w:r>
    </w:p>
    <w:p>
      <w:pPr>
        <w:pStyle w:val="ListBullet"/>
        <w:spacing w:after="40"/>
      </w:pPr>
      <w:r>
        <w:rPr>
          <w:rFonts w:ascii="Calibri" w:hAnsi="Calibri"/>
          <w:b w:val="0"/>
          <w:i w:val="0"/>
          <w:color w:val="1F2937"/>
          <w:sz w:val="21"/>
          <w:rFonts w:ascii="Calibri" w:hAnsi="Calibri" w:cs="Calibri"/>
        </w:rPr>
        <w:t>Skip-to-content link, focus styles, accessible form labels</w:t>
      </w:r>
    </w:p>
    <w:p>
      <w:pPr>
        <w:pStyle w:val="ListBullet"/>
        <w:spacing w:after="40"/>
      </w:pPr>
      <w:r>
        <w:rPr>
          <w:rFonts w:ascii="Calibri" w:hAnsi="Calibri"/>
          <w:b w:val="0"/>
          <w:i w:val="0"/>
          <w:color w:val="1F2937"/>
          <w:sz w:val="21"/>
          <w:rFonts w:ascii="Calibri" w:hAnsi="Calibri" w:cs="Calibri"/>
        </w:rPr>
        <w:t>Static pre-rendering of all 33 routes (11 × 3 locales)</w:t>
      </w:r>
    </w:p>
    <w:p>
      <w:pPr>
        <w:pStyle w:val="ListBullet"/>
        <w:spacing w:after="40"/>
      </w:pPr>
      <w:r>
        <w:rPr>
          <w:rFonts w:ascii="Calibri" w:hAnsi="Calibri"/>
          <w:b w:val="0"/>
          <w:i w:val="0"/>
          <w:color w:val="1F2937"/>
          <w:sz w:val="21"/>
          <w:rFonts w:ascii="Calibri" w:hAnsi="Calibri" w:cs="Calibri"/>
        </w:rPr>
        <w:t>Search-engine-friendly slugs and language alternates</w:t>
      </w:r>
    </w:p>
    <w:p>
      <w:pPr>
        <w:spacing w:before="160" w:after="40" w:line="300" w:lineRule="auto"/>
      </w:pPr>
      <w:r>
        <w:rPr>
          <w:rFonts w:ascii="Calibri" w:hAnsi="Calibri"/>
          <w:b/>
          <w:i w:val="0"/>
          <w:color w:val="0F4C5C"/>
          <w:sz w:val="24"/>
          <w:rFonts w:ascii="Calibri" w:hAnsi="Calibri" w:cs="Calibri"/>
        </w:rPr>
        <w:t>Deployment and documentation</w:t>
      </w:r>
    </w:p>
    <w:p>
      <w:pPr>
        <w:pStyle w:val="ListBullet"/>
        <w:spacing w:after="40"/>
      </w:pPr>
      <w:r>
        <w:rPr>
          <w:rFonts w:ascii="Calibri" w:hAnsi="Calibri"/>
          <w:b w:val="0"/>
          <w:i w:val="0"/>
          <w:color w:val="1F2937"/>
          <w:sz w:val="21"/>
          <w:rFonts w:ascii="Calibri" w:hAnsi="Calibri" w:cs="Calibri"/>
        </w:rPr>
        <w:t>Cloudflare Workers build configuration (free tier)</w:t>
      </w:r>
    </w:p>
    <w:p>
      <w:pPr>
        <w:pStyle w:val="ListBullet"/>
        <w:spacing w:after="40"/>
      </w:pPr>
      <w:r>
        <w:rPr>
          <w:rFonts w:ascii="Calibri" w:hAnsi="Calibri"/>
          <w:b w:val="0"/>
          <w:i w:val="0"/>
          <w:color w:val="1F2937"/>
          <w:sz w:val="21"/>
          <w:rFonts w:ascii="Calibri" w:hAnsi="Calibri" w:cs="Calibri"/>
        </w:rPr>
        <w:t>Setup documentation in .env.example covering Supabase, Resend, WhatsApp, bank and mobile-money details</w:t>
      </w:r>
    </w:p>
    <w:p>
      <w:pPr>
        <w:pStyle w:val="ListBullet"/>
        <w:spacing w:after="40"/>
      </w:pPr>
      <w:r>
        <w:rPr>
          <w:rFonts w:ascii="Calibri" w:hAnsi="Calibri"/>
          <w:b w:val="0"/>
          <w:i w:val="0"/>
          <w:color w:val="1F2937"/>
          <w:sz w:val="21"/>
          <w:rFonts w:ascii="Calibri" w:hAnsi="Calibri" w:cs="Calibri"/>
        </w:rPr>
        <w:t>README with deployment, customisation and known-follow-ups section</w:t>
      </w:r>
    </w:p>
    <w:p>
      <w:pPr>
        <w:pStyle w:val="ListBullet"/>
        <w:spacing w:after="40"/>
      </w:pPr>
      <w:r>
        <w:rPr>
          <w:rFonts w:ascii="Calibri" w:hAnsi="Calibri"/>
          <w:b w:val="0"/>
          <w:i w:val="0"/>
          <w:color w:val="1F2937"/>
          <w:sz w:val="21"/>
          <w:rFonts w:ascii="Calibri" w:hAnsi="Calibri" w:cs="Calibri"/>
        </w:rPr>
        <w:t>Supabase schema.sql with RLS policies for newsletter, volunteer and contact tables</w:t>
      </w:r>
    </w:p>
    <w:p>
      <w:pPr>
        <w:pStyle w:val="ListBullet"/>
        <w:spacing w:after="40"/>
      </w:pPr>
      <w:r>
        <w:rPr>
          <w:rFonts w:ascii="Calibri" w:hAnsi="Calibri"/>
          <w:b w:val="0"/>
          <w:i w:val="0"/>
          <w:color w:val="1F2937"/>
          <w:sz w:val="21"/>
          <w:rFonts w:ascii="Calibri" w:hAnsi="Calibri" w:cs="Calibri"/>
        </w:rPr>
        <w:t>30-day post-launch support window for bug fixes and minor copy edits</w:t>
      </w:r>
    </w:p>
    <w:p>
      <w:pPr>
        <w:spacing w:before="240" w:after="120" w:line="300" w:lineRule="auto"/>
      </w:pPr>
      <w:r>
        <w:rPr>
          <w:rFonts w:ascii="Calibri" w:hAnsi="Calibri"/>
          <w:b/>
          <w:i w:val="0"/>
          <w:color w:val="0F4C5C"/>
          <w:sz w:val="28"/>
          <w:rFonts w:ascii="Calibri" w:hAnsi="Calibri" w:cs="Calibri"/>
        </w:rPr>
        <w:t>3. Pricing</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tcPr>
          <w:p>
            <w:r>
              <w:t>Item</w:t>
            </w:r>
          </w:p>
        </w:tc>
        <w:tc>
          <w:tcPr>
            <w:tcW w:type="dxa" w:w="2409"/>
          </w:tcPr>
          <w:p>
            <w:r>
              <w:t>Description</w:t>
            </w:r>
          </w:p>
        </w:tc>
        <w:tc>
          <w:tcPr>
            <w:tcW w:type="dxa" w:w="2409"/>
          </w:tcPr>
          <w:p>
            <w:r>
              <w:t>Quoted (K)</w:t>
            </w:r>
          </w:p>
        </w:tc>
        <w:tc>
          <w:tcPr>
            <w:tcW w:type="dxa" w:w="2409"/>
          </w:tcPr>
          <w:p>
            <w:r>
              <w:t>Commercial reference (K)</w:t>
            </w:r>
          </w:p>
        </w:tc>
      </w:tr>
      <w:tr>
        <w:tc>
          <w:tcPr>
            <w:tcW w:type="dxa" w:w="2409"/>
          </w:tcPr>
          <w:p>
            <w:r>
              <w:t>Discovery, architecture, and responsive design</w:t>
            </w:r>
          </w:p>
        </w:tc>
        <w:tc>
          <w:tcPr>
            <w:tcW w:type="dxa" w:w="2409"/>
          </w:tcPr>
          <w:p>
            <w:r>
              <w:t>Requirements workshop, sitemap, page specifications, component design, brand palette, accessibility baseline.</w:t>
            </w:r>
          </w:p>
        </w:tc>
        <w:tc>
          <w:tcPr>
            <w:tcW w:type="dxa" w:w="2409"/>
          </w:tcPr>
          <w:p>
            <w:r>
              <w:t>500</w:t>
            </w:r>
          </w:p>
        </w:tc>
        <w:tc>
          <w:tcPr>
            <w:tcW w:type="dxa" w:w="2409"/>
          </w:tcPr>
          <w:p>
            <w:r>
              <w:t>2,500</w:t>
            </w:r>
          </w:p>
        </w:tc>
      </w:tr>
      <w:tr>
        <w:tc>
          <w:tcPr>
            <w:tcW w:type="dxa" w:w="2409"/>
          </w:tcPr>
          <w:p>
            <w:r>
              <w:t>Frontend build (11 pages, 3 locales, responsive)</w:t>
            </w:r>
          </w:p>
        </w:tc>
        <w:tc>
          <w:tcPr>
            <w:tcW w:type="dxa" w:w="2409"/>
          </w:tcPr>
          <w:p>
            <w:r>
              <w:t>All public pages, header, footer, language switcher, mobile menu, sticky accessible navigation.</w:t>
            </w:r>
          </w:p>
        </w:tc>
        <w:tc>
          <w:tcPr>
            <w:tcW w:type="dxa" w:w="2409"/>
          </w:tcPr>
          <w:p>
            <w:r>
              <w:t>1,000</w:t>
            </w:r>
          </w:p>
        </w:tc>
        <w:tc>
          <w:tcPr>
            <w:tcW w:type="dxa" w:w="2409"/>
          </w:tcPr>
          <w:p>
            <w:r>
              <w:t>8,000</w:t>
            </w:r>
          </w:p>
        </w:tc>
      </w:tr>
      <w:tr>
        <w:tc>
          <w:tcPr>
            <w:tcW w:type="dxa" w:w="2409"/>
          </w:tcPr>
          <w:p>
            <w:r>
              <w:t>Donations page — bank + MTN MoMo + Airtel Money + Zamtel Money</w:t>
            </w:r>
          </w:p>
        </w:tc>
        <w:tc>
          <w:tcPr>
            <w:tcW w:type="dxa" w:w="2409"/>
          </w:tcPr>
          <w:p>
            <w:r>
              <w:t>Manual donations layout, per-provider step-by-step instructions, pending-bank-detail notice.</w:t>
            </w:r>
          </w:p>
        </w:tc>
        <w:tc>
          <w:tcPr>
            <w:tcW w:type="dxa" w:w="2409"/>
          </w:tcPr>
          <w:p>
            <w:r>
              <w:t>200</w:t>
            </w:r>
          </w:p>
        </w:tc>
        <w:tc>
          <w:tcPr>
            <w:tcW w:type="dxa" w:w="2409"/>
          </w:tcPr>
          <w:p>
            <w:r>
              <w:t>1,000</w:t>
            </w:r>
          </w:p>
        </w:tc>
      </w:tr>
      <w:tr>
        <w:tc>
          <w:tcPr>
            <w:tcW w:type="dxa" w:w="2409"/>
          </w:tcPr>
          <w:p>
            <w:r>
              <w:t>Forms and backend (newsletter, contact, volunteer)</w:t>
            </w:r>
          </w:p>
        </w:tc>
        <w:tc>
          <w:tcPr>
            <w:tcW w:type="dxa" w:w="2409"/>
          </w:tcPr>
          <w:p>
            <w:r>
              <w:t>Self-hosted Supabase storage, Resend transactional email, server actions with Zod validation, WhatsApp floating button.</w:t>
            </w:r>
          </w:p>
        </w:tc>
        <w:tc>
          <w:tcPr>
            <w:tcW w:type="dxa" w:w="2409"/>
          </w:tcPr>
          <w:p>
            <w:r>
              <w:t>300</w:t>
            </w:r>
          </w:p>
        </w:tc>
        <w:tc>
          <w:tcPr>
            <w:tcW w:type="dxa" w:w="2409"/>
          </w:tcPr>
          <w:p>
            <w:r>
              <w:t>1,500</w:t>
            </w:r>
          </w:p>
        </w:tc>
      </w:tr>
      <w:tr>
        <w:tc>
          <w:tcPr>
            <w:tcW w:type="dxa" w:w="2409"/>
          </w:tcPr>
          <w:p>
            <w:r>
              <w:t>SEO, accessibility, performance, deployment</w:t>
            </w:r>
          </w:p>
        </w:tc>
        <w:tc>
          <w:tcPr>
            <w:tcW w:type="dxa" w:w="2409"/>
          </w:tcPr>
          <w:p>
            <w:r>
              <w:t>Per-locale metadata, OG image, robots.txt, semantic HTML, static pre-rendering, Cloudflare Workers setup.</w:t>
            </w:r>
          </w:p>
        </w:tc>
        <w:tc>
          <w:tcPr>
            <w:tcW w:type="dxa" w:w="2409"/>
          </w:tcPr>
          <w:p>
            <w:r>
              <w:t>300</w:t>
            </w:r>
          </w:p>
        </w:tc>
        <w:tc>
          <w:tcPr>
            <w:tcW w:type="dxa" w:w="2409"/>
          </w:tcPr>
          <w:p>
            <w:r>
              <w:t>1,200</w:t>
            </w:r>
          </w:p>
        </w:tc>
      </w:tr>
      <w:tr>
        <w:tc>
          <w:tcPr>
            <w:tcW w:type="dxa" w:w="2409"/>
          </w:tcPr>
          <w:p>
            <w:r>
              <w:t>Documentation, handoff, and 30-day post-launch support</w:t>
            </w:r>
          </w:p>
        </w:tc>
        <w:tc>
          <w:tcPr>
            <w:tcW w:type="dxa" w:w="2409"/>
          </w:tcPr>
          <w:p>
            <w:r>
              <w:t>README, .env.example, Supabase schema, hand-off notes, plus 30 days of bug fixes and minor copy edits.</w:t>
            </w:r>
          </w:p>
        </w:tc>
        <w:tc>
          <w:tcPr>
            <w:tcW w:type="dxa" w:w="2409"/>
          </w:tcPr>
          <w:p>
            <w:r>
              <w:t>200</w:t>
            </w:r>
          </w:p>
        </w:tc>
        <w:tc>
          <w:tcPr>
            <w:tcW w:type="dxa" w:w="2409"/>
          </w:tcPr>
          <w:p>
            <w:r>
              <w:t>800</w:t>
            </w:r>
          </w:p>
        </w:tc>
      </w:tr>
      <w:tr>
        <w:tc>
          <w:tcPr>
            <w:tcW w:type="dxa" w:w="2409"/>
          </w:tcPr>
          <w:p>
            <w:r>
              <w:t>Subtotal — originally scoped items</w:t>
            </w:r>
          </w:p>
        </w:tc>
        <w:tc>
          <w:tcPr>
            <w:tcW w:type="dxa" w:w="2409"/>
          </w:tcPr>
          <w:p>
            <w:r/>
          </w:p>
        </w:tc>
        <w:tc>
          <w:tcPr>
            <w:tcW w:type="dxa" w:w="2409"/>
          </w:tcPr>
          <w:p>
            <w:r>
              <w:t>2,500</w:t>
            </w:r>
          </w:p>
        </w:tc>
        <w:tc>
          <w:tcPr>
            <w:tcW w:type="dxa" w:w="2409"/>
          </w:tcPr>
          <w:p>
            <w:r>
              <w:t>15,000</w:t>
            </w:r>
          </w:p>
        </w:tc>
      </w:tr>
      <w:tr>
        <w:tc>
          <w:tcPr>
            <w:tcW w:type="dxa" w:w="2409"/>
          </w:tcPr>
          <w:p>
            <w:r>
              <w:t>Sanity CMS integration (added during development)</w:t>
            </w:r>
          </w:p>
        </w:tc>
        <w:tc>
          <w:tcPr>
            <w:tcW w:type="dxa" w:w="2409"/>
          </w:tcPr>
          <w:p>
            <w:r>
              <w:t>Studio with i18n schemas (post, event, resource, siteSettings), GROQ queries, image pipeline, hardcoded fallback for offline operation.</w:t>
            </w:r>
          </w:p>
        </w:tc>
        <w:tc>
          <w:tcPr>
            <w:tcW w:type="dxa" w:w="2409"/>
          </w:tcPr>
          <w:p>
            <w:r>
              <w:t>0</w:t>
            </w:r>
          </w:p>
        </w:tc>
        <w:tc>
          <w:tcPr>
            <w:tcW w:type="dxa" w:w="2409"/>
          </w:tcPr>
          <w:p>
            <w:r>
              <w:t>2,500</w:t>
            </w:r>
          </w:p>
        </w:tc>
      </w:tr>
      <w:tr>
        <w:tc>
          <w:tcPr>
            <w:tcW w:type="dxa" w:w="2409"/>
          </w:tcPr>
          <w:p>
            <w:r>
              <w:t>Dynamic news and events pages (added)</w:t>
            </w:r>
          </w:p>
        </w:tc>
        <w:tc>
          <w:tcPr>
            <w:tcW w:type="dxa" w:w="2409"/>
          </w:tcPr>
          <w:p>
            <w:r>
              <w:t>/news/[slug] and /events/[slug] dynamic routes backed by Sanity content.</w:t>
            </w:r>
          </w:p>
        </w:tc>
        <w:tc>
          <w:tcPr>
            <w:tcW w:type="dxa" w:w="2409"/>
          </w:tcPr>
          <w:p>
            <w:r>
              <w:t>0</w:t>
            </w:r>
          </w:p>
        </w:tc>
        <w:tc>
          <w:tcPr>
            <w:tcW w:type="dxa" w:w="2409"/>
          </w:tcPr>
          <w:p>
            <w:r>
              <w:t>800</w:t>
            </w:r>
          </w:p>
        </w:tc>
      </w:tr>
      <w:tr>
        <w:tc>
          <w:tcPr>
            <w:tcW w:type="dxa" w:w="2409"/>
          </w:tcPr>
          <w:p>
            <w:r>
              <w:t>Cloudflare + OpenNext deployment migration (added)</w:t>
            </w:r>
          </w:p>
        </w:tc>
        <w:tc>
          <w:tcPr>
            <w:tcW w:type="dxa" w:w="2409"/>
          </w:tcPr>
          <w:p>
            <w:r>
              <w:t>Migrated from Vercel to Cloudflare Workers via @opennextjs/cloudflare; wrangler + open-next.config.ts; production security headers.</w:t>
            </w:r>
          </w:p>
        </w:tc>
        <w:tc>
          <w:tcPr>
            <w:tcW w:type="dxa" w:w="2409"/>
          </w:tcPr>
          <w:p>
            <w:r>
              <w:t>0</w:t>
            </w:r>
          </w:p>
        </w:tc>
        <w:tc>
          <w:tcPr>
            <w:tcW w:type="dxa" w:w="2409"/>
          </w:tcPr>
          <w:p>
            <w:r>
              <w:t>1,500</w:t>
            </w:r>
          </w:p>
        </w:tc>
      </w:tr>
      <w:tr>
        <w:tc>
          <w:tcPr>
            <w:tcW w:type="dxa" w:w="2409"/>
          </w:tcPr>
          <w:p>
            <w:r>
              <w:t>Modern UI design system (added)</w:t>
            </w:r>
          </w:p>
        </w:tc>
        <w:tc>
          <w:tcPr>
            <w:tcW w:type="dxa" w:w="2409"/>
          </w:tcPr>
          <w:p>
            <w:r>
              <w:t>Mesh gradients, glass cards, aurora animations, hover micro-interactions across every page.</w:t>
            </w:r>
          </w:p>
        </w:tc>
        <w:tc>
          <w:tcPr>
            <w:tcW w:type="dxa" w:w="2409"/>
          </w:tcPr>
          <w:p>
            <w:r>
              <w:t>0</w:t>
            </w:r>
          </w:p>
        </w:tc>
        <w:tc>
          <w:tcPr>
            <w:tcW w:type="dxa" w:w="2409"/>
          </w:tcPr>
          <w:p>
            <w:r>
              <w:t>2,000</w:t>
            </w:r>
          </w:p>
        </w:tc>
      </w:tr>
      <w:tr>
        <w:tc>
          <w:tcPr>
            <w:tcW w:type="dxa" w:w="2409"/>
          </w:tcPr>
          <w:p>
            <w:r>
              <w:t>Multilingual translations across three languages (added)</w:t>
            </w:r>
          </w:p>
        </w:tc>
        <w:tc>
          <w:tcPr>
            <w:tcW w:type="dxa" w:w="2409"/>
          </w:tcPr>
          <w:p>
            <w:r>
              <w:t>Full Bemba and Nyanja translation coverage, clinical phrasing flagged for FCIAZ review.</w:t>
            </w:r>
          </w:p>
        </w:tc>
        <w:tc>
          <w:tcPr>
            <w:tcW w:type="dxa" w:w="2409"/>
          </w:tcPr>
          <w:p>
            <w:r>
              <w:t>0</w:t>
            </w:r>
          </w:p>
        </w:tc>
        <w:tc>
          <w:tcPr>
            <w:tcW w:type="dxa" w:w="2409"/>
          </w:tcPr>
          <w:p>
            <w:r>
              <w:t>1,800</w:t>
            </w:r>
          </w:p>
        </w:tc>
      </w:tr>
      <w:tr>
        <w:tc>
          <w:tcPr>
            <w:tcW w:type="dxa" w:w="2409"/>
          </w:tcPr>
          <w:p>
            <w:r>
              <w:t>Security hardening (added)</w:t>
            </w:r>
          </w:p>
        </w:tc>
        <w:tc>
          <w:tcPr>
            <w:tcW w:type="dxa" w:w="2409"/>
          </w:tcPr>
          <w:p>
            <w:r>
              <w:t>CSP, HSTS, Permissions-Policy, IP-based rate limiting on forms, sanitized error logs.</w:t>
            </w:r>
          </w:p>
        </w:tc>
        <w:tc>
          <w:tcPr>
            <w:tcW w:type="dxa" w:w="2409"/>
          </w:tcPr>
          <w:p>
            <w:r>
              <w:t>0</w:t>
            </w:r>
          </w:p>
        </w:tc>
        <w:tc>
          <w:tcPr>
            <w:tcW w:type="dxa" w:w="2409"/>
          </w:tcPr>
          <w:p>
            <w:r>
              <w:t>1,200</w:t>
            </w:r>
          </w:p>
        </w:tc>
      </w:tr>
      <w:tr>
        <w:tc>
          <w:tcPr>
            <w:tcW w:type="dxa" w:w="2409"/>
          </w:tcPr>
          <w:p>
            <w:r>
              <w:t>PWA and favicon setup (added)</w:t>
            </w:r>
          </w:p>
        </w:tc>
        <w:tc>
          <w:tcPr>
            <w:tcW w:type="dxa" w:w="2409"/>
          </w:tcPr>
          <w:p>
            <w:r>
              <w:t>Real favicons in multiple sizes, web app manifest, installable PWA.</w:t>
            </w:r>
          </w:p>
        </w:tc>
        <w:tc>
          <w:tcPr>
            <w:tcW w:type="dxa" w:w="2409"/>
          </w:tcPr>
          <w:p>
            <w:r>
              <w:t>0</w:t>
            </w:r>
          </w:p>
        </w:tc>
        <w:tc>
          <w:tcPr>
            <w:tcW w:type="dxa" w:w="2409"/>
          </w:tcPr>
          <w:p>
            <w:r>
              <w:t>600</w:t>
            </w:r>
          </w:p>
        </w:tc>
      </w:tr>
      <w:tr>
        <w:tc>
          <w:tcPr>
            <w:tcW w:type="dxa" w:w="2409"/>
          </w:tcPr>
          <w:p>
            <w:r>
              <w:t>Subtotal — features added beyond original scope</w:t>
            </w:r>
          </w:p>
        </w:tc>
        <w:tc>
          <w:tcPr>
            <w:tcW w:type="dxa" w:w="2409"/>
          </w:tcPr>
          <w:p>
            <w:r>
              <w:t>At no additional charge under the founder-friendly rate.</w:t>
            </w:r>
          </w:p>
        </w:tc>
        <w:tc>
          <w:tcPr>
            <w:tcW w:type="dxa" w:w="2409"/>
          </w:tcPr>
          <w:p>
            <w:r>
              <w:t>0</w:t>
            </w:r>
          </w:p>
        </w:tc>
        <w:tc>
          <w:tcPr>
            <w:tcW w:type="dxa" w:w="2409"/>
          </w:tcPr>
          <w:p>
            <w:r>
              <w:t>10,400</w:t>
            </w:r>
          </w:p>
        </w:tc>
      </w:tr>
      <w:tr>
        <w:tc>
          <w:tcPr>
            <w:tcW w:type="dxa" w:w="2409"/>
          </w:tcPr>
          <w:p>
            <w:r>
              <w:t>TOTAL</w:t>
            </w:r>
          </w:p>
        </w:tc>
        <w:tc>
          <w:tcPr>
            <w:tcW w:type="dxa" w:w="2409"/>
          </w:tcPr>
          <w:p>
            <w:r>
              <w:t>Total amount invoiced to FCIAZ</w:t>
            </w:r>
          </w:p>
        </w:tc>
        <w:tc>
          <w:tcPr>
            <w:tcW w:type="dxa" w:w="2409"/>
          </w:tcPr>
          <w:p>
            <w:r>
              <w:t>K 2,500</w:t>
            </w:r>
          </w:p>
        </w:tc>
        <w:tc>
          <w:tcPr>
            <w:tcW w:type="dxa" w:w="2409"/>
          </w:tcPr>
          <w:p>
            <w:r>
              <w:t>K 25,400</w:t>
            </w:r>
          </w:p>
        </w:tc>
      </w:tr>
    </w:tbl>
    <w:p>
      <w:pPr>
        <w:spacing w:before="40" w:after="0" w:line="300" w:lineRule="auto"/>
      </w:pPr>
    </w:p>
    <w:p>
      <w:pPr>
        <w:spacing w:before="120" w:after="160" w:line="300" w:lineRule="auto"/>
      </w:pPr>
      <w:r>
        <w:rPr>
          <w:rFonts w:ascii="Calibri" w:hAnsi="Calibri"/>
          <w:b w:val="0"/>
          <w:i/>
          <w:color w:val="64748B"/>
          <w:sz w:val="20"/>
          <w:rFonts w:ascii="Calibri" w:hAnsi="Calibri" w:cs="Calibri"/>
        </w:rPr>
        <w:t>Total: two thousand five hundred Zambian Kwacha (K2,500). This fee covers the developer's time and effort only and excludes VAT, hosting, and third-party service costs, which FCIAZ will register and maintain directly (see Section 4 for the annual cost breakdown).</w:t>
      </w:r>
    </w:p>
    <w:p>
      <w:pPr/>
      <w:r>
        <w:t>4. Recurring operational costs and maintenance</w:t>
      </w:r>
    </w:p>
    <w:p>
      <w:pPr/>
      <w:r>
        <w:t>After the build is paid for and the warranty window closes, FCIAZ will own a fully functional trilingual website. To keep it secure, current and discoverable, FCIAZ should budget for two ongoing streams: (a) the third-party infrastructure that hosts the site, and (b) optional annual maintenance and content support from Manova Labs. Both are detailed below.</w:t>
      </w:r>
    </w:p>
    <w:p>
      <w:pPr/>
      <w:r>
        <w:t>4.1 Annual infrastructure costs</w:t>
      </w:r>
    </w:p>
    <w:p>
      <w:pPr/>
      <w:r>
        <w:t>FCIAZ will register and maintain these third-party accounts directly. Manova Labs will assist with the initial setup of each one (domain registration at ZAMICA, Cloudflare Workers project, Sanity project, Supabase project, Resend account) at no additional charge. All items below are within the free tier of their respective providers as of the date of this quotation. Manova Labs will flag any move to a paid tier and obtain FCIAZ written approval before costs are incurred.</w:t>
      </w:r>
    </w:p>
    <w:tbl>
      <w:tblPr>
        <w:tblStyle w:val="LightGrid-Accent1"/>
        <w:tblW w:type="auto" w:w="0"/>
        <w:tblLook w:firstColumn="1" w:firstRow="1" w:lastColumn="0" w:lastRow="0" w:noHBand="0" w:noVBand="1" w:val="04A0"/>
      </w:tblPr>
      <w:tblGrid>
        <w:gridCol w:w="3213"/>
        <w:gridCol w:w="3213"/>
        <w:gridCol w:w="3213"/>
      </w:tblGrid>
      <w:tr>
        <w:tc>
          <w:tcPr>
            <w:tcW w:type="dxa" w:w="3213"/>
          </w:tcPr>
          <w:p>
            <w:r>
              <w:t>Service</w:t>
            </w:r>
          </w:p>
        </w:tc>
        <w:tc>
          <w:tcPr>
            <w:tcW w:type="dxa" w:w="3213"/>
          </w:tcPr>
          <w:p>
            <w:r>
              <w:t>Provider</w:t>
            </w:r>
          </w:p>
        </w:tc>
        <w:tc>
          <w:tcPr>
            <w:tcW w:type="dxa" w:w="3213"/>
          </w:tcPr>
          <w:p>
            <w:r>
              <w:t>Estimated annual cost (ZMW)</w:t>
            </w:r>
          </w:p>
        </w:tc>
      </w:tr>
      <w:tr>
        <w:tc>
          <w:tcPr>
            <w:tcW w:type="dxa" w:w="3213"/>
          </w:tcPr>
          <w:p>
            <w:r>
              <w:t>Domain name (.org.zm)</w:t>
            </w:r>
          </w:p>
        </w:tc>
        <w:tc>
          <w:tcPr>
            <w:tcW w:type="dxa" w:w="3213"/>
          </w:tcPr>
          <w:p>
            <w:r>
              <w:t>ZAMICA (Zambia NIC)</w:t>
            </w:r>
          </w:p>
        </w:tc>
        <w:tc>
          <w:tcPr>
            <w:tcW w:type="dxa" w:w="3213"/>
          </w:tcPr>
          <w:p>
            <w:r>
              <w:t>K300 (FCIAZ pays ZAMICA directly at annual renewal)</w:t>
            </w:r>
          </w:p>
        </w:tc>
      </w:tr>
      <w:tr>
        <w:tc>
          <w:tcPr>
            <w:tcW w:type="dxa" w:w="3213"/>
          </w:tcPr>
          <w:p>
            <w:r>
              <w:t>Hosting - Cloudflare Workers free tier (100,000 requests/day, sufficient for ~1M page views/month)</w:t>
            </w:r>
          </w:p>
        </w:tc>
        <w:tc>
          <w:tcPr>
            <w:tcW w:type="dxa" w:w="3213"/>
          </w:tcPr>
          <w:p>
            <w:r>
              <w:t>Cloudflare</w:t>
            </w:r>
          </w:p>
        </w:tc>
        <w:tc>
          <w:tcPr>
            <w:tcW w:type="dxa" w:w="3213"/>
          </w:tcPr>
          <w:p>
            <w:r>
              <w:t>K0</w:t>
            </w:r>
          </w:p>
        </w:tc>
      </w:tr>
      <w:tr>
        <w:tc>
          <w:tcPr>
            <w:tcW w:type="dxa" w:w="3213"/>
          </w:tcPr>
          <w:p>
            <w:r>
              <w:t>Headless CMS - Sanity free tier (3 users, 10,000 documents)</w:t>
            </w:r>
          </w:p>
        </w:tc>
        <w:tc>
          <w:tcPr>
            <w:tcW w:type="dxa" w:w="3213"/>
          </w:tcPr>
          <w:p>
            <w:r>
              <w:t>Sanity</w:t>
            </w:r>
          </w:p>
        </w:tc>
        <w:tc>
          <w:tcPr>
            <w:tcW w:type="dxa" w:w="3213"/>
          </w:tcPr>
          <w:p>
            <w:r>
              <w:t>K0</w:t>
            </w:r>
          </w:p>
        </w:tc>
      </w:tr>
      <w:tr>
        <w:tc>
          <w:tcPr>
            <w:tcW w:type="dxa" w:w="3213"/>
          </w:tcPr>
          <w:p>
            <w:r>
              <w:t>Database - Supabase free tier (500 MB storage, 50,000 monthly active users)</w:t>
            </w:r>
          </w:p>
        </w:tc>
        <w:tc>
          <w:tcPr>
            <w:tcW w:type="dxa" w:w="3213"/>
          </w:tcPr>
          <w:p>
            <w:r>
              <w:t>Supabase</w:t>
            </w:r>
          </w:p>
        </w:tc>
        <w:tc>
          <w:tcPr>
            <w:tcW w:type="dxa" w:w="3213"/>
          </w:tcPr>
          <w:p>
            <w:r>
              <w:t>K0</w:t>
            </w:r>
          </w:p>
        </w:tc>
      </w:tr>
      <w:tr>
        <w:tc>
          <w:tcPr>
            <w:tcW w:type="dxa" w:w="3213"/>
          </w:tcPr>
          <w:p>
            <w:r>
              <w:t>Transactional email - Resend free tier (3,000 emails/month, 100/day)</w:t>
            </w:r>
          </w:p>
        </w:tc>
        <w:tc>
          <w:tcPr>
            <w:tcW w:type="dxa" w:w="3213"/>
          </w:tcPr>
          <w:p>
            <w:r>
              <w:t>Resend</w:t>
            </w:r>
          </w:p>
        </w:tc>
        <w:tc>
          <w:tcPr>
            <w:tcW w:type="dxa" w:w="3213"/>
          </w:tcPr>
          <w:p>
            <w:r>
              <w:t>K0</w:t>
            </w:r>
          </w:p>
        </w:tc>
      </w:tr>
      <w:tr>
        <w:tc>
          <w:tcPr>
            <w:tcW w:type="dxa" w:w="3213"/>
          </w:tcPr>
          <w:p>
            <w:r>
              <w:t>SSL/TLS certificate</w:t>
            </w:r>
          </w:p>
        </w:tc>
        <w:tc>
          <w:tcPr>
            <w:tcW w:type="dxa" w:w="3213"/>
          </w:tcPr>
          <w:p>
            <w:r>
              <w:t>Cloudflare</w:t>
            </w:r>
          </w:p>
        </w:tc>
        <w:tc>
          <w:tcPr>
            <w:tcW w:type="dxa" w:w="3213"/>
          </w:tcPr>
          <w:p>
            <w:r>
              <w:t>K0 (included)</w:t>
            </w:r>
          </w:p>
        </w:tc>
      </w:tr>
      <w:tr>
        <w:tc>
          <w:tcPr>
            <w:tcW w:type="dxa" w:w="3213"/>
          </w:tcPr>
          <w:p>
            <w:r>
              <w:t>Estimated annual infrastructure total</w:t>
            </w:r>
          </w:p>
        </w:tc>
        <w:tc>
          <w:tcPr>
            <w:tcW w:type="dxa" w:w="3213"/>
          </w:tcPr>
          <w:p>
            <w:r>
              <w:t>-</w:t>
            </w:r>
          </w:p>
        </w:tc>
        <w:tc>
          <w:tcPr>
            <w:tcW w:type="dxa" w:w="3213"/>
          </w:tcPr>
          <w:p>
            <w:r>
              <w:t>K300 (domain only)</w:t>
            </w:r>
          </w:p>
        </w:tc>
      </w:tr>
    </w:tbl>
    <w:p>
      <w:pPr/>
      <w:r>
        <w:t>4.2 Annual maintenance packages</w:t>
      </w:r>
    </w:p>
    <w:p>
      <w:pPr/>
      <w:r>
        <w:t>FCIAZ may opt into one of three maintenance tiers, or operate the site independently once the warranty window closes. All tiers assume an active working relationship with the FCIAZ Publicity Secretary and one named technical contact.</w:t>
      </w:r>
    </w:p>
    <w:p>
      <w:pPr/>
      <w:r>
        <w:t>Foundation - K1,500 per year</w:t>
      </w:r>
    </w:p>
    <w:p>
      <w:pPr>
        <w:pStyle w:val="ListBullet"/>
      </w:pPr>
      <w:r>
        <w:t>Quarterly dependency updates and security patches (Next.js, Sanity, Supabase, Resend, Cloudflare Workers).</w:t>
      </w:r>
    </w:p>
    <w:p>
      <w:pPr>
        <w:pStyle w:val="ListBullet"/>
      </w:pPr>
      <w:r>
        <w:t>Annual domain and DNS renewal coordination (FCIAZ pays ZAMICA directly).</w:t>
      </w:r>
    </w:p>
    <w:p>
      <w:pPr>
        <w:pStyle w:val="ListBullet"/>
      </w:pPr>
      <w:r>
        <w:t>Continuous uptime monitoring with monthly summary reports.</w:t>
      </w:r>
    </w:p>
    <w:p>
      <w:pPr>
        <w:pStyle w:val="ListBullet"/>
      </w:pPr>
      <w:r>
        <w:t>Quarterly backup verification for the Supabase database and Sanity content.</w:t>
      </w:r>
    </w:p>
    <w:p>
      <w:pPr>
        <w:pStyle w:val="ListBullet"/>
      </w:pPr>
      <w:r>
        <w:t>Bug-fix response within thirty (30) days of report.</w:t>
      </w:r>
    </w:p>
    <w:p>
      <w:pPr/>
      <w:r>
        <w:t>Standard (recommended) - K4,500 per year</w:t>
      </w:r>
    </w:p>
    <w:p>
      <w:pPr>
        <w:pStyle w:val="ListBullet"/>
      </w:pPr>
      <w:r>
        <w:t>Everything in Foundation.</w:t>
      </w:r>
    </w:p>
    <w:p>
      <w:pPr>
        <w:pStyle w:val="ListBullet"/>
      </w:pPr>
      <w:r>
        <w:t>Up to twelve (12) content updates per year via Sanity Studio: news, events, resources, stakeholder additions.</w:t>
      </w:r>
    </w:p>
    <w:p>
      <w:pPr>
        <w:pStyle w:val="ListBullet"/>
      </w:pPr>
      <w:r>
        <w:t>One half-day Sanity Studio training session for an FCIAZ staff member, with handover documentation.</w:t>
      </w:r>
    </w:p>
    <w:p>
      <w:pPr>
        <w:pStyle w:val="ListBullet"/>
      </w:pPr>
      <w:r>
        <w:t>Quarterly content and SEO review with recommendations.</w:t>
      </w:r>
    </w:p>
    <w:p>
      <w:pPr>
        <w:pStyle w:val="ListBullet"/>
      </w:pPr>
      <w:r>
        <w:t>Bug-fix response within seven (7) days of report.</w:t>
      </w:r>
    </w:p>
    <w:p>
      <w:pPr/>
      <w:r>
        <w:t>Priority - K9,000 per year</w:t>
      </w:r>
    </w:p>
    <w:p>
      <w:pPr>
        <w:pStyle w:val="ListBullet"/>
      </w:pPr>
      <w:r>
        <w:t>Everything in Standard.</w:t>
      </w:r>
    </w:p>
    <w:p>
      <w:pPr>
        <w:pStyle w:val="ListBullet"/>
      </w:pPr>
      <w:r>
        <w:t>Up to two (2) content updates per month via Sanity Studio.</w:t>
      </w:r>
    </w:p>
    <w:p>
      <w:pPr>
        <w:pStyle w:val="ListBullet"/>
      </w:pPr>
      <w:r>
        <w:t>Annual clinical-accuracy review of the Bemba and Nyanja translations, in coordination with FCIAZ health advisors.</w:t>
      </w:r>
    </w:p>
    <w:p>
      <w:pPr>
        <w:pStyle w:val="ListBullet"/>
      </w:pPr>
      <w:r>
        <w:t>Critical-bug response within twenty-four (24) hours.</w:t>
      </w:r>
    </w:p>
    <w:p>
      <w:pPr>
        <w:pStyle w:val="ListBullet"/>
      </w:pPr>
      <w:r>
        <w:t>Up to eight (8) hours of small-feature work per year (UI tweaks, copy adjustments, integration additions).</w:t>
      </w:r>
    </w:p>
    <w:p>
      <w:pPr>
        <w:pStyle w:val="ListBullet"/>
      </w:pPr>
      <w:r>
        <w:t>Monthly analytics and engagement report delivered to the Publicity Secretary.</w:t>
      </w:r>
    </w:p>
    <w:p>
      <w:pPr/>
      <w:r>
        <w:t>4.3 Optional one-time services</w:t>
      </w:r>
    </w:p>
    <w:p>
      <w:pPr/>
      <w:r>
        <w:t>Sanity Studio training (in-person at FCIAZ offices, or remote): K1,500 per session.</w:t>
      </w:r>
    </w:p>
    <w:p>
      <w:pPr/>
      <w:r>
        <w:t>Includes handover documentation and one follow-up call. Recommended once FCIAZ is ready to publish content directly.</w:t>
      </w:r>
    </w:p>
    <w:p>
      <w:pPr/>
      <w:r>
        <w:t>Bemba and Nyanja clinical translation review by a professional linguist: K3,000 per full-site pass.</w:t>
      </w:r>
    </w:p>
    <w:p>
      <w:pPr/>
      <w:r>
        <w:t>Optional but strongly recommended before the public launch. The draft translations in the current build are AI-assisted and require verification by a Bemba and Nyanja speaker with healthcare familiarity.</w:t>
      </w:r>
    </w:p>
    <w:p>
      <w:pPr/>
      <w:r>
        <w:t>Custom feature development: K2,500 per developer-day.</w:t>
      </w:r>
    </w:p>
    <w:p>
      <w:pPr/>
      <w:r>
        <w:t>Quoted against a written specification. Common future features include additional languages, advanced search, member login, donor dashboards, and WhatsApp Business API integration.</w:t>
      </w:r>
    </w:p>
    <w:p>
      <w:pPr/>
      <w:r>
        <w:t>Content migration from PDF archives or legacy systems: K1,000 per ten (10) content items.</w:t>
      </w:r>
    </w:p>
    <w:p>
      <w:pPr/>
      <w:r>
        <w:t>Includes metadata tagging and image cleanup where applicable.</w:t>
      </w:r>
    </w:p>
    <w:p>
      <w:pPr/>
      <w:r>
        <w:t>All one-time services are quoted upfront and billed on completion. Manova Labs will not commence work without written approval from the FCIAZ secretariat.</w:t>
      </w:r>
    </w:p>
    <w:p>
      <w:pPr/>
      <w:r>
        <w:t>Maintenance packages renew annually and may be cancelled with thirty (30) days written notice. Manova Labs will provide a transparent quarterly activity report on any active package.</w:t>
      </w:r>
    </w:p>
    <w:p>
      <w:pPr>
        <w:spacing w:before="200" w:after="120" w:line="300" w:lineRule="auto"/>
      </w:pPr>
      <w:r>
        <w:rPr>
          <w:rFonts w:ascii="Calibri" w:hAnsi="Calibri"/>
          <w:b/>
          <w:i w:val="0"/>
          <w:color w:val="0F4C5C"/>
          <w:sz w:val="28"/>
          <w:rFonts w:ascii="Calibri" w:hAnsi="Calibri" w:cs="Calibri"/>
        </w:rPr>
        <w:t>5. Timeline</w:t>
      </w:r>
    </w:p>
    <w:p>
      <w:pPr>
        <w:spacing w:before="0" w:after="120" w:line="300" w:lineRule="auto"/>
      </w:pPr>
      <w:r>
        <w:rPr>
          <w:rFonts w:ascii="Calibri" w:hAnsi="Calibri"/>
          <w:b w:val="0"/>
          <w:i w:val="0"/>
          <w:sz w:val="22"/>
          <w:rFonts w:ascii="Calibri" w:hAnsi="Calibri" w:cs="Calibri"/>
        </w:rPr>
        <w:t>The website build was completed on 25 September 2026 and is live on Cloudflare Workers. This section is retained for reference: had acceptance preceded deployment, the remaining work (Bemba and Nyanja copy review, final Cloudflare configuration, and one review window) would have been finalised within two (2) weeks.</w:t>
      </w:r>
    </w:p>
    <w:tbl>
      <w:tblPr>
        <w:tblW w:type="auto" w:w="0"/>
        <w:tblLayout w:type="fixed"/>
        <w:tblLook w:firstColumn="1" w:firstRow="1" w:lastColumn="0" w:lastRow="0" w:noHBand="0" w:noVBand="1" w:val="04A0"/>
      </w:tblPr>
      <w:tblGrid>
        <w:gridCol w:w="1984"/>
        <w:gridCol w:w="7937"/>
      </w:tblGrid>
      <w:tr>
        <w:tc>
          <w:tcPr>
            <w:tcW w:type="dxa" w:w="1984"/>
            <w:shd w:val="clear" w:color="auto" w:fill="F0F7F9"/>
            <w:tcBorders>
              <w:top w:val="single" w:sz="4" w:color="CBD5E1"/>
              <w:left w:val="single" w:sz="4" w:color="CBD5E1"/>
              <w:bottom w:val="single" w:sz="4" w:color="CBD5E1"/>
              <w:right w:val="single" w:sz="4" w:color="CBD5E1"/>
            </w:tcBorders>
          </w:tcPr>
          <w:p>
            <w:pPr>
              <w:spacing w:before="60" w:after="60"/>
            </w:pPr>
            <w:r>
              <w:rPr>
                <w:rFonts w:ascii="Calibri" w:hAnsi="Calibri"/>
                <w:b/>
                <w:i w:val="0"/>
                <w:color w:val="0F4C5C"/>
                <w:sz w:val="20"/>
                <w:rFonts w:ascii="Calibri" w:hAnsi="Calibri" w:cs="Calibri"/>
              </w:rPr>
              <w:t>Week 1</w:t>
            </w:r>
          </w:p>
        </w:tc>
        <w:tc>
          <w:tcPr>
            <w:tcW w:type="dxa" w:w="7937"/>
            <w:tcBorders>
              <w:top w:val="single" w:sz="4" w:color="CBD5E1"/>
              <w:left w:val="single" w:sz="4" w:color="CBD5E1"/>
              <w:bottom w:val="single" w:sz="4" w:color="CBD5E1"/>
              <w:right w:val="single" w:sz="4" w:color="CBD5E1"/>
            </w:tcBorders>
          </w:tcPr>
          <w:p>
            <w:pPr>
              <w:spacing w:before="60" w:after="60"/>
            </w:pPr>
            <w:r>
              <w:rPr>
                <w:rFonts w:ascii="Calibri" w:hAnsi="Calibri"/>
                <w:b w:val="0"/>
                <w:i w:val="0"/>
                <w:color w:val="1F2937"/>
                <w:sz w:val="20"/>
                <w:rFonts w:ascii="Calibri" w:hAnsi="Calibri" w:cs="Calibri"/>
              </w:rPr>
              <w:t>FCIAZ reviews Bemba and Nyanja drafts; Supabase and Resend accounts are provisioned; donation details (bank and mobile money) are finalised for the /donate page</w:t>
            </w:r>
          </w:p>
        </w:tc>
      </w:tr>
      <w:tr>
        <w:tc>
          <w:tcPr>
            <w:tcW w:type="dxa" w:w="1984"/>
            <w:shd w:val="clear" w:color="auto" w:fill="F0F7F9"/>
            <w:tcBorders>
              <w:top w:val="single" w:sz="4" w:color="CBD5E1"/>
              <w:left w:val="single" w:sz="4" w:color="CBD5E1"/>
              <w:bottom w:val="single" w:sz="4" w:color="CBD5E1"/>
              <w:right w:val="single" w:sz="4" w:color="CBD5E1"/>
            </w:tcBorders>
          </w:tcPr>
          <w:p>
            <w:pPr>
              <w:spacing w:before="60" w:after="60"/>
            </w:pPr>
            <w:r>
              <w:rPr>
                <w:rFonts w:ascii="Calibri" w:hAnsi="Calibri"/>
                <w:b/>
                <w:i w:val="0"/>
                <w:color w:val="0F4C5C"/>
                <w:sz w:val="20"/>
                <w:rFonts w:ascii="Calibri" w:hAnsi="Calibri" w:cs="Calibri"/>
              </w:rPr>
              <w:t>Week 2</w:t>
            </w:r>
          </w:p>
        </w:tc>
        <w:tc>
          <w:tcPr>
            <w:tcW w:type="dxa" w:w="7937"/>
            <w:tcBorders>
              <w:top w:val="single" w:sz="4" w:color="CBD5E1"/>
              <w:left w:val="single" w:sz="4" w:color="CBD5E1"/>
              <w:bottom w:val="single" w:sz="4" w:color="CBD5E1"/>
              <w:right w:val="single" w:sz="4" w:color="CBD5E1"/>
            </w:tcBorders>
          </w:tcPr>
          <w:p>
            <w:pPr>
              <w:spacing w:before="60" w:after="60"/>
            </w:pPr>
            <w:r>
              <w:rPr>
                <w:rFonts w:ascii="Calibri" w:hAnsi="Calibri"/>
                <w:b w:val="0"/>
                <w:i w:val="0"/>
                <w:color w:val="1F2937"/>
                <w:sz w:val="20"/>
                <w:rFonts w:ascii="Calibri" w:hAnsi="Calibri" w:cs="Calibri"/>
              </w:rPr>
              <w:t>Production deployment, final review window, and live launch</w:t>
            </w:r>
          </w:p>
        </w:tc>
      </w:tr>
      <w:tr>
        <w:tc>
          <w:tcPr>
            <w:tcW w:type="dxa" w:w="4819"/>
          </w:tcPr>
          <w:p/>
        </w:tc>
        <w:tc>
          <w:tcPr>
            <w:tcW w:type="dxa" w:w="4819"/>
          </w:tcPr>
          <w:p/>
        </w:tc>
      </w:tr>
    </w:tbl>
    <w:p>
      <w:pPr>
        <w:spacing w:before="200" w:after="120" w:line="300" w:lineRule="auto"/>
      </w:pPr>
      <w:r>
        <w:rPr>
          <w:rFonts w:ascii="Calibri" w:hAnsi="Calibri"/>
          <w:b/>
          <w:i w:val="0"/>
          <w:color w:val="0F4C5C"/>
          <w:sz w:val="28"/>
          <w:rFonts w:ascii="Calibri" w:hAnsi="Calibri" w:cs="Calibri"/>
        </w:rPr>
        <w:t>6. Payment terms</w:t>
      </w:r>
    </w:p>
    <w:tbl>
      <w:tblPr>
        <w:tblW w:type="auto" w:w="0"/>
        <w:tblLayout w:type="fixed"/>
        <w:tblLook w:firstColumn="1" w:firstRow="1" w:lastColumn="0" w:lastRow="0" w:noHBand="0" w:noVBand="1" w:val="04A0"/>
      </w:tblPr>
      <w:tblGrid>
        <w:gridCol w:w="2268"/>
        <w:gridCol w:w="2551"/>
        <w:gridCol w:w="5102"/>
      </w:tblGrid>
      <w:tr>
        <w:tc>
          <w:tcPr>
            <w:tcW w:type="dxa" w:w="2268"/>
            <w:shd w:val="clear" w:color="auto" w:fill="0F4C5C"/>
            <w:tcBorders>
              <w:top w:val="single" w:sz="4" w:color="0F4C5C"/>
              <w:left w:val="single" w:sz="4" w:color="0F4C5C"/>
              <w:bottom w:val="single" w:sz="4" w:color="0F4C5C"/>
              <w:right w:val="single" w:sz="4" w:color="0F4C5C"/>
            </w:tcBorders>
          </w:tcPr>
          <w:p>
            <w:pPr>
              <w:spacing w:before="60" w:after="60"/>
            </w:pPr>
            <w:r>
              <w:rPr>
                <w:rFonts w:ascii="Calibri" w:hAnsi="Calibri"/>
                <w:b/>
                <w:i w:val="0"/>
                <w:color w:val="FFFFFF"/>
                <w:sz w:val="20"/>
                <w:rFonts w:ascii="Calibri" w:hAnsi="Calibri" w:cs="Calibri"/>
              </w:rPr>
              <w:t>Stage</w:t>
            </w:r>
          </w:p>
        </w:tc>
        <w:tc>
          <w:tcPr>
            <w:tcW w:type="dxa" w:w="2551"/>
            <w:shd w:val="clear" w:color="auto" w:fill="0F4C5C"/>
            <w:tcBorders>
              <w:top w:val="single" w:sz="4" w:color="0F4C5C"/>
              <w:left w:val="single" w:sz="4" w:color="0F4C5C"/>
              <w:bottom w:val="single" w:sz="4" w:color="0F4C5C"/>
              <w:right w:val="single" w:sz="4" w:color="0F4C5C"/>
            </w:tcBorders>
          </w:tcPr>
          <w:p>
            <w:pPr>
              <w:spacing w:before="60" w:after="60"/>
            </w:pPr>
            <w:r>
              <w:rPr>
                <w:rFonts w:ascii="Calibri" w:hAnsi="Calibri"/>
                <w:b/>
                <w:i w:val="0"/>
                <w:color w:val="FFFFFF"/>
                <w:sz w:val="20"/>
                <w:rFonts w:ascii="Calibri" w:hAnsi="Calibri" w:cs="Calibri"/>
              </w:rPr>
              <w:t>Amount (K)</w:t>
            </w:r>
          </w:p>
        </w:tc>
        <w:tc>
          <w:tcPr>
            <w:tcW w:type="dxa" w:w="5102"/>
            <w:shd w:val="clear" w:color="auto" w:fill="0F4C5C"/>
            <w:tcBorders>
              <w:top w:val="single" w:sz="4" w:color="0F4C5C"/>
              <w:left w:val="single" w:sz="4" w:color="0F4C5C"/>
              <w:bottom w:val="single" w:sz="4" w:color="0F4C5C"/>
              <w:right w:val="single" w:sz="4" w:color="0F4C5C"/>
            </w:tcBorders>
          </w:tcPr>
          <w:p>
            <w:pPr>
              <w:spacing w:before="60" w:after="60"/>
            </w:pPr>
            <w:r>
              <w:rPr>
                <w:rFonts w:ascii="Calibri" w:hAnsi="Calibri"/>
                <w:b/>
                <w:i w:val="0"/>
                <w:color w:val="FFFFFF"/>
                <w:sz w:val="20"/>
                <w:rFonts w:ascii="Calibri" w:hAnsi="Calibri" w:cs="Calibri"/>
              </w:rPr>
              <w:t>Trigger</w:t>
            </w:r>
          </w:p>
        </w:tc>
      </w:tr>
      <w:tr>
        <w:tc>
          <w:tcPr>
            <w:tcW w:type="dxa" w:w="1984"/>
            <w:tcBorders>
              <w:top w:val="single" w:sz="4" w:color="CBD5E1"/>
              <w:left w:val="single" w:sz="4" w:color="CBD5E1"/>
              <w:bottom w:val="single" w:sz="4" w:color="CBD5E1"/>
              <w:right w:val="single" w:sz="4" w:color="CBD5E1"/>
            </w:tcBorders>
          </w:tcPr>
          <w:p>
            <w:pPr>
              <w:spacing w:before="60" w:after="60"/>
            </w:pPr>
            <w:r>
              <w:rPr>
                <w:rFonts w:ascii="Calibri" w:hAnsi="Calibri"/>
                <w:b/>
                <w:i w:val="0"/>
                <w:color w:val="1F2937"/>
                <w:sz w:val="20"/>
                <w:rFonts w:ascii="Calibri" w:hAnsi="Calibri" w:cs="Calibri"/>
              </w:rPr>
              <w:t>1 · On signing</w:t>
            </w:r>
          </w:p>
        </w:tc>
        <w:tc>
          <w:tcPr>
            <w:tcW w:type="dxa" w:w="3685"/>
            <w:tcBorders>
              <w:top w:val="single" w:sz="4" w:color="CBD5E1"/>
              <w:left w:val="single" w:sz="4" w:color="CBD5E1"/>
              <w:bottom w:val="single" w:sz="4" w:color="CBD5E1"/>
              <w:right w:val="single" w:sz="4" w:color="CBD5E1"/>
            </w:tcBorders>
          </w:tcPr>
          <w:p>
            <w:r>
              <w:t>1,250</w:t>
            </w:r>
          </w:p>
        </w:tc>
        <w:tc>
          <w:tcPr>
            <w:tcW w:type="dxa" w:w="4252"/>
            <w:tcBorders>
              <w:top w:val="single" w:sz="4" w:color="CBD5E1"/>
              <w:left w:val="single" w:sz="4" w:color="CBD5E1"/>
              <w:bottom w:val="single" w:sz="4" w:color="CBD5E1"/>
              <w:right w:val="single" w:sz="4" w:color="CBD5E1"/>
            </w:tcBorders>
          </w:tcPr>
          <w:p>
            <w:pPr>
              <w:spacing w:before="60" w:after="60"/>
            </w:pPr>
            <w:r>
              <w:rPr>
                <w:rFonts w:ascii="Calibri" w:hAnsi="Calibri"/>
                <w:b w:val="0"/>
                <w:i w:val="0"/>
                <w:color w:val="64748B"/>
                <w:sz w:val="20"/>
                <w:rFonts w:ascii="Calibri" w:hAnsi="Calibri" w:cs="Calibri"/>
              </w:rPr>
              <w:t>On countersignature of this quotation</w:t>
            </w:r>
          </w:p>
        </w:tc>
      </w:tr>
      <w:tr>
        <w:tc>
          <w:tcPr>
            <w:tcW w:type="dxa" w:w="1984"/>
            <w:tcBorders>
              <w:top w:val="single" w:sz="4" w:color="CBD5E1"/>
              <w:left w:val="single" w:sz="4" w:color="CBD5E1"/>
              <w:bottom w:val="single" w:sz="4" w:color="CBD5E1"/>
              <w:right w:val="single" w:sz="4" w:color="CBD5E1"/>
            </w:tcBorders>
          </w:tcPr>
          <w:p>
            <w:pPr>
              <w:spacing w:before="60" w:after="60"/>
            </w:pPr>
            <w:r>
              <w:rPr>
                <w:rFonts w:ascii="Calibri" w:hAnsi="Calibri"/>
                <w:b/>
                <w:i w:val="0"/>
                <w:color w:val="1F2937"/>
                <w:sz w:val="20"/>
                <w:rFonts w:ascii="Calibri" w:hAnsi="Calibri" w:cs="Calibri"/>
              </w:rPr>
              <w:t>2 · On launch</w:t>
            </w:r>
          </w:p>
        </w:tc>
        <w:tc>
          <w:tcPr>
            <w:tcW w:type="dxa" w:w="3685"/>
            <w:tcBorders>
              <w:top w:val="single" w:sz="4" w:color="CBD5E1"/>
              <w:left w:val="single" w:sz="4" w:color="CBD5E1"/>
              <w:bottom w:val="single" w:sz="4" w:color="CBD5E1"/>
              <w:right w:val="single" w:sz="4" w:color="CBD5E1"/>
            </w:tcBorders>
          </w:tcPr>
          <w:p>
            <w:r>
              <w:t>1,250</w:t>
            </w:r>
          </w:p>
        </w:tc>
        <w:tc>
          <w:tcPr>
            <w:tcW w:type="dxa" w:w="4252"/>
            <w:tcBorders>
              <w:top w:val="single" w:sz="4" w:color="CBD5E1"/>
              <w:left w:val="single" w:sz="4" w:color="CBD5E1"/>
              <w:bottom w:val="single" w:sz="4" w:color="CBD5E1"/>
              <w:right w:val="single" w:sz="4" w:color="CBD5E1"/>
            </w:tcBorders>
          </w:tcPr>
          <w:p>
            <w:pPr>
              <w:spacing w:before="60" w:after="60"/>
            </w:pPr>
            <w:r>
              <w:rPr>
                <w:rFonts w:ascii="Calibri" w:hAnsi="Calibri"/>
                <w:b w:val="0"/>
                <w:i w:val="0"/>
                <w:color w:val="64748B"/>
                <w:sz w:val="20"/>
                <w:rFonts w:ascii="Calibri" w:hAnsi="Calibri" w:cs="Calibri"/>
              </w:rPr>
              <w:t>On production launch and acceptance of handoff</w:t>
            </w:r>
          </w:p>
        </w:tc>
      </w:tr>
    </w:tbl>
    <w:p>
      <w:pPr>
        <w:spacing w:before="120" w:after="120" w:line="300" w:lineRule="auto"/>
      </w:pPr>
      <w:r>
        <w:rPr>
          <w:rFonts w:ascii="Calibri" w:hAnsi="Calibri"/>
          <w:b w:val="0"/>
          <w:i/>
          <w:color w:val="64748B"/>
          <w:sz w:val="20"/>
          <w:rFonts w:ascii="Calibri" w:hAnsi="Calibri" w:cs="Calibri"/>
        </w:rPr>
        <w:t>All invoices are payable within seven (7) days of issue. Bank details will be provided on the invoice header. The build invoice of K2,500 was issued at launch on 25 September 2026; future maintenance packages under Section 4 are invoiced annually in advance. Late payments accrue interest at 1.5% per month or part thereof.</w:t>
      </w:r>
    </w:p>
    <w:p>
      <w:pPr>
        <w:spacing w:before="160" w:after="80" w:line="300" w:lineRule="auto"/>
      </w:pPr>
      <w:r>
        <w:rPr>
          <w:rFonts w:ascii="Calibri" w:hAnsi="Calibri"/>
          <w:b/>
          <w:i w:val="0"/>
          <w:color w:val="0F4C5C"/>
          <w:sz w:val="28"/>
          <w:rFonts w:ascii="Calibri" w:hAnsi="Calibri" w:cs="Calibri"/>
        </w:rPr>
        <w:t>7. Warranty and support</w:t>
      </w:r>
    </w:p>
    <w:p>
      <w:pPr>
        <w:pStyle w:val="ListBullet"/>
        <w:spacing w:after="40"/>
      </w:pPr>
      <w:r>
        <w:rPr>
          <w:rFonts w:ascii="Calibri" w:hAnsi="Calibri"/>
          <w:b w:val="0"/>
          <w:i w:val="0"/>
          <w:color w:val="1F2937"/>
          <w:sz w:val="21"/>
          <w:rFonts w:ascii="Calibri" w:hAnsi="Calibri" w:cs="Calibri"/>
        </w:rPr>
        <w:t>Thirty (30) days of post-launch bug-fix and minor copy-edit support at no additional cost. After this window, FCIAZ may continue with one of the annual maintenance packages described in Section 4, or operate the site independently.</w:t>
      </w:r>
    </w:p>
    <w:p>
      <w:pPr>
        <w:pStyle w:val="ListBullet"/>
        <w:spacing w:after="40"/>
      </w:pPr>
      <w:r>
        <w:rPr>
          <w:rFonts w:ascii="Calibri" w:hAnsi="Calibri"/>
          <w:b w:val="0"/>
          <w:i w:val="0"/>
          <w:color w:val="1F2937"/>
          <w:sz w:val="21"/>
          <w:rFonts w:ascii="Calibri" w:hAnsi="Calibri" w:cs="Calibri"/>
        </w:rPr>
        <w:t>Bemba and Nyanja copy drafts are provided in good faith and are flagged for verification by FCIAZ before public launch. Translation review by a Bemba and Nyanja speaker is the responsibility of FCIAZ.</w:t>
      </w:r>
    </w:p>
    <w:p>
      <w:pPr>
        <w:pStyle w:val="ListBullet"/>
        <w:spacing w:after="40"/>
      </w:pPr>
      <w:r>
        <w:rPr>
          <w:rFonts w:ascii="Calibri" w:hAnsi="Calibri"/>
          <w:b w:val="0"/>
          <w:i w:val="0"/>
          <w:color w:val="1F2937"/>
          <w:sz w:val="21"/>
          <w:rFonts w:ascii="Calibri" w:hAnsi="Calibri" w:cs="Calibri"/>
        </w:rPr>
        <w:t>Hosting (Cloudflare Workers free tier), the Supabase free tier, Resend (if email is configured), and the official FCIAZ domain name are the responsibility of FCIAZ. Manova Labs will assist with initial setup at no additional cost.</w:t>
      </w:r>
    </w:p>
    <w:p>
      <w:pPr>
        <w:pStyle w:val="ListBullet"/>
        <w:spacing w:after="40"/>
      </w:pPr>
      <w:r>
        <w:rPr>
          <w:rFonts w:ascii="Calibri" w:hAnsi="Calibri"/>
          <w:b w:val="0"/>
          <w:i w:val="0"/>
          <w:color w:val="1F2937"/>
          <w:sz w:val="21"/>
          <w:rFonts w:ascii="Calibri" w:hAnsi="Calibri" w:cs="Calibri"/>
        </w:rPr>
        <w:t>Out-of-scope feature requests after launch are quoted separately by mutual agreement.</w:t>
      </w:r>
    </w:p>
    <w:p>
      <w:pPr>
        <w:spacing w:before="160" w:after="80" w:line="300" w:lineRule="auto"/>
      </w:pPr>
      <w:r>
        <w:rPr>
          <w:rFonts w:ascii="Calibri" w:hAnsi="Calibri"/>
          <w:b/>
          <w:i w:val="0"/>
          <w:color w:val="0F4C5C"/>
          <w:sz w:val="28"/>
          <w:rFonts w:ascii="Calibri" w:hAnsi="Calibri" w:cs="Calibri"/>
        </w:rPr>
        <w:t>8. Terms and conditions</w:t>
      </w:r>
    </w:p>
    <w:p>
      <w:pPr>
        <w:pStyle w:val="ListBullet"/>
        <w:spacing w:after="40"/>
      </w:pPr>
      <w:r>
        <w:rPr>
          <w:rFonts w:ascii="Calibri" w:hAnsi="Calibri"/>
          <w:b w:val="0"/>
          <w:i w:val="0"/>
          <w:color w:val="1F2937"/>
          <w:sz w:val="21"/>
          <w:rFonts w:ascii="Calibri" w:hAnsi="Calibri" w:cs="Calibri"/>
        </w:rPr>
        <w:t>All intellectual property created during the engagement transfers to FCIAZ upon receipt of full payment.</w:t>
      </w:r>
    </w:p>
    <w:p>
      <w:pPr>
        <w:pStyle w:val="ListBullet"/>
        <w:spacing w:after="40"/>
      </w:pPr>
      <w:r>
        <w:rPr>
          <w:rFonts w:ascii="Calibri" w:hAnsi="Calibri"/>
          <w:b w:val="0"/>
          <w:i w:val="0"/>
          <w:color w:val="1F2937"/>
          <w:sz w:val="21"/>
          <w:rFonts w:ascii="Calibri" w:hAnsi="Calibri" w:cs="Calibri"/>
        </w:rPr>
        <w:t>Manova Labs may reference this engagement in case studies and portfolio materials, subject to FCIAZ's prior approval.</w:t>
      </w:r>
    </w:p>
    <w:p>
      <w:pPr>
        <w:pStyle w:val="ListBullet"/>
        <w:spacing w:after="40"/>
      </w:pPr>
      <w:r>
        <w:rPr>
          <w:rFonts w:ascii="Calibri" w:hAnsi="Calibri"/>
          <w:b w:val="0"/>
          <w:i w:val="0"/>
          <w:color w:val="1F2937"/>
          <w:sz w:val="21"/>
          <w:rFonts w:ascii="Calibri" w:hAnsi="Calibri" w:cs="Calibri"/>
        </w:rPr>
        <w:t>Either party may terminate this engagement with seven (7) days written notice. Work completed to date is invoiced pro-rata.</w:t>
      </w:r>
    </w:p>
    <w:p>
      <w:pPr>
        <w:pStyle w:val="ListBullet"/>
        <w:spacing w:after="40"/>
      </w:pPr>
      <w:r>
        <w:rPr>
          <w:rFonts w:ascii="Calibri" w:hAnsi="Calibri"/>
          <w:b w:val="0"/>
          <w:i w:val="0"/>
          <w:color w:val="1F2937"/>
          <w:sz w:val="21"/>
          <w:rFonts w:ascii="Calibri" w:hAnsi="Calibri" w:cs="Calibri"/>
        </w:rPr>
        <w:t>Confidentiality: any unpublished information shared by FCIAZ is treated as confidential and not disclosed without written consent.</w:t>
      </w:r>
    </w:p>
    <w:p>
      <w:pPr>
        <w:pStyle w:val="ListBullet"/>
        <w:spacing w:after="40"/>
      </w:pPr>
      <w:r>
        <w:rPr>
          <w:rFonts w:ascii="Calibri" w:hAnsi="Calibri"/>
          <w:b w:val="0"/>
          <w:i w:val="0"/>
          <w:color w:val="1F2937"/>
          <w:sz w:val="21"/>
          <w:rFonts w:ascii="Calibri" w:hAnsi="Calibri" w:cs="Calibri"/>
        </w:rPr>
        <w:t>Governing law: the laws of the Republic of Zambia.</w:t>
      </w:r>
    </w:p>
    <w:p>
      <w:pPr>
        <w:spacing w:before="240" w:after="80" w:line="300" w:lineRule="auto"/>
      </w:pPr>
      <w:r>
        <w:rPr>
          <w:rFonts w:ascii="Calibri" w:hAnsi="Calibri"/>
          <w:b/>
          <w:i w:val="0"/>
          <w:color w:val="0F4C5C"/>
          <w:sz w:val="28"/>
          <w:rFonts w:ascii="Calibri" w:hAnsi="Calibri" w:cs="Calibri"/>
        </w:rPr>
        <w:t>9. Acceptance</w:t>
      </w:r>
    </w:p>
    <w:p>
      <w:pPr>
        <w:spacing w:before="0" w:after="200" w:line="300" w:lineRule="auto"/>
      </w:pPr>
      <w:r>
        <w:rPr>
          <w:rFonts w:ascii="Calibri" w:hAnsi="Calibri"/>
          <w:b w:val="0"/>
          <w:i w:val="0"/>
          <w:color w:val="1F2937"/>
          <w:sz w:val="21"/>
          <w:rFonts w:ascii="Calibri" w:hAnsi="Calibri" w:cs="Calibri"/>
        </w:rPr>
        <w:t>FCIAZ's acceptance of this quotation may be signified by countersignature below, by signed letter on FCIAZ letterhead, or by payment of the deposit. Once accepted, the schedule above becomes a binding statement of work.</w:t>
      </w:r>
    </w:p>
    <w:tbl>
      <w:tblPr>
        <w:tblW w:type="auto" w:w="0"/>
        <w:tblLayout w:type="fixed"/>
        <w:tblLook w:firstColumn="1" w:firstRow="1" w:lastColumn="0" w:lastRow="0" w:noHBand="0" w:noVBand="1" w:val="04A0"/>
      </w:tblPr>
      <w:tblGrid>
        <w:gridCol w:w="4819"/>
        <w:gridCol w:w="4819"/>
      </w:tblGrid>
      <w:tr>
        <w:tc>
          <w:tcPr>
            <w:tcW w:type="dxa" w:w="4819"/>
            <w:tcBorders>
              <w:top w:val="nil"/>
              <w:left w:val="nil"/>
              <w:bottom w:val="nil"/>
              <w:right w:val="nil"/>
              <w:insideH w:val="nil"/>
              <w:insideV w:val="nil"/>
            </w:tcBorders>
          </w:tcPr>
          <w:p/>
          <w:p>
            <w:pPr>
              <w:spacing w:before="80" w:after="200" w:line="300" w:lineRule="auto"/>
            </w:pPr>
            <w:r>
              <w:rPr>
                <w:rFonts w:ascii="Calibri" w:hAnsi="Calibri"/>
                <w:b/>
                <w:i w:val="0"/>
                <w:color w:val="0F4C5C"/>
                <w:sz w:val="20"/>
                <w:rFonts w:ascii="Calibri" w:hAnsi="Calibri" w:cs="Calibri"/>
              </w:rPr>
              <w:t>For and on behalf of Manova Labs</w:t>
            </w:r>
          </w:p>
          <w:p>
            <w:pPr>
              <w:spacing w:before="0" w:after="0" w:line="300" w:lineRule="auto"/>
            </w:pPr>
            <w:r>
              <w:rPr>
                <w:rFonts w:ascii="Calibri" w:hAnsi="Calibri"/>
                <w:b/>
                <w:i w:val="0"/>
                <w:color w:val="1F2937"/>
                <w:sz w:val="22"/>
                <w:rFonts w:ascii="Calibri" w:hAnsi="Calibri" w:cs="Calibri"/>
              </w:rPr>
              <w:t>Dr. Lucas Tembo</w:t>
            </w:r>
          </w:p>
          <w:p>
            <w:pPr>
              <w:spacing w:before="0" w:after="200" w:line="300" w:lineRule="auto"/>
            </w:pPr>
            <w:r>
              <w:rPr>
                <w:rFonts w:ascii="Calibri" w:hAnsi="Calibri"/>
                <w:b w:val="0"/>
                <w:i w:val="0"/>
                <w:color w:val="64748B"/>
                <w:sz w:val="20"/>
                <w:rFonts w:ascii="Calibri" w:hAnsi="Calibri" w:cs="Calibri"/>
              </w:rPr>
              <w:t>Director, Manova Labs</w:t>
            </w:r>
          </w:p>
          <w:p>
            <w:pPr>
              <w:spacing w:before="240" w:after="80" w:line="300" w:lineRule="auto"/>
            </w:pPr>
            <w:r>
              <w:rPr>
                <w:rFonts w:ascii="Calibri" w:hAnsi="Calibri"/>
                <w:b w:val="0"/>
                <w:i w:val="0"/>
                <w:color w:val="1F2937"/>
                <w:sz w:val="20"/>
                <w:rFonts w:ascii="Calibri" w:hAnsi="Calibri" w:cs="Calibri"/>
              </w:rPr>
              <w:t>Signature: ___________________________</w:t>
            </w:r>
          </w:p>
          <w:p>
            <w:pPr>
              <w:spacing w:before="0" w:after="40" w:line="300" w:lineRule="auto"/>
            </w:pPr>
            <w:r>
              <w:rPr>
                <w:rFonts w:ascii="Calibri" w:hAnsi="Calibri"/>
                <w:b w:val="0"/>
                <w:i w:val="0"/>
                <w:color w:val="1F2937"/>
                <w:sz w:val="20"/>
                <w:rFonts w:ascii="Calibri" w:hAnsi="Calibri" w:cs="Calibri"/>
              </w:rPr>
              <w:t>Date: _______________________________</w:t>
            </w:r>
          </w:p>
        </w:tc>
        <w:tc>
          <w:tcPr>
            <w:tcW w:type="dxa" w:w="4819"/>
            <w:tcBorders>
              <w:top w:val="nil"/>
              <w:left w:val="nil"/>
              <w:bottom w:val="nil"/>
              <w:right w:val="nil"/>
              <w:insideH w:val="nil"/>
              <w:insideV w:val="nil"/>
            </w:tcBorders>
          </w:tcPr>
          <w:p/>
          <w:p>
            <w:pPr>
              <w:spacing w:before="80" w:after="200" w:line="300" w:lineRule="auto"/>
            </w:pPr>
            <w:r>
              <w:rPr>
                <w:rFonts w:ascii="Calibri" w:hAnsi="Calibri"/>
                <w:b/>
                <w:i w:val="0"/>
                <w:color w:val="BE3455"/>
                <w:sz w:val="20"/>
                <w:rFonts w:ascii="Calibri" w:hAnsi="Calibri" w:cs="Calibri"/>
              </w:rPr>
              <w:t>For and on behalf of FCIAZ</w:t>
            </w:r>
          </w:p>
          <w:p>
            <w:pPr>
              <w:spacing w:before="0" w:after="0" w:line="300" w:lineRule="auto"/>
            </w:pPr>
            <w:r>
              <w:rPr>
                <w:rFonts w:ascii="Calibri" w:hAnsi="Calibri"/>
                <w:b/>
                <w:i w:val="0"/>
                <w:color w:val="1F2937"/>
                <w:sz w:val="22"/>
                <w:rFonts w:ascii="Calibri" w:hAnsi="Calibri" w:cs="Calibri"/>
              </w:rPr>
              <w:t>Dr. Goshon Kasanda</w:t>
            </w:r>
          </w:p>
          <w:p>
            <w:pPr>
              <w:spacing w:before="0" w:after="200" w:line="300" w:lineRule="auto"/>
            </w:pPr>
            <w:r>
              <w:rPr>
                <w:rFonts w:ascii="Calibri" w:hAnsi="Calibri"/>
                <w:b w:val="0"/>
                <w:i w:val="0"/>
                <w:color w:val="64748B"/>
                <w:sz w:val="20"/>
                <w:rFonts w:ascii="Calibri" w:hAnsi="Calibri" w:cs="Calibri"/>
              </w:rPr>
              <w:t>Chairperson, FCIAZ</w:t>
            </w:r>
          </w:p>
          <w:p>
            <w:pPr>
              <w:spacing w:before="240" w:after="80" w:line="300" w:lineRule="auto"/>
            </w:pPr>
            <w:r>
              <w:rPr>
                <w:rFonts w:ascii="Calibri" w:hAnsi="Calibri"/>
                <w:b w:val="0"/>
                <w:i w:val="0"/>
                <w:color w:val="1F2937"/>
                <w:sz w:val="20"/>
                <w:rFonts w:ascii="Calibri" w:hAnsi="Calibri" w:cs="Calibri"/>
              </w:rPr>
              <w:t>Signature: ___________________________</w:t>
            </w:r>
          </w:p>
          <w:p>
            <w:pPr>
              <w:spacing w:before="0" w:after="40" w:line="300" w:lineRule="auto"/>
            </w:pPr>
            <w:r>
              <w:rPr>
                <w:rFonts w:ascii="Calibri" w:hAnsi="Calibri"/>
                <w:b w:val="0"/>
                <w:i w:val="0"/>
                <w:color w:val="1F2937"/>
                <w:sz w:val="20"/>
                <w:rFonts w:ascii="Calibri" w:hAnsi="Calibri" w:cs="Calibri"/>
              </w:rPr>
              <w:t>Date: _______________________________</w:t>
            </w:r>
          </w:p>
        </w:tc>
      </w:tr>
    </w:tbl>
    <w:p>
      <w:pPr>
        <w:spacing w:before="200" w:after="40" w:line="300" w:lineRule="auto"/>
      </w:pPr>
    </w:p>
    <w:p>
      <w:pPr>
        <w:spacing w:before="80" w:after="80" w:line="300" w:lineRule="auto"/>
      </w:pPr>
      <w:r>
        <w:rPr>
          <w:rFonts w:ascii="Calibri" w:hAnsi="Calibri"/>
          <w:b w:val="0"/>
          <w:i w:val="0"/>
          <w:color w:val="1F2937"/>
          <w:sz w:val="21"/>
          <w:rFonts w:ascii="Calibri" w:hAnsi="Calibri" w:cs="Calibri"/>
        </w:rPr>
        <w:t>We look forward to working with FCIAZ on this important step in the association's public presence.</w:t>
      </w:r>
    </w:p>
    <w:p>
      <w:pPr>
        <w:spacing w:before="80" w:after="200" w:line="300" w:lineRule="auto"/>
      </w:pPr>
      <w:r>
        <w:rPr>
          <w:rFonts w:ascii="Calibri" w:hAnsi="Calibri"/>
          <w:b w:val="0"/>
          <w:i w:val="0"/>
          <w:color w:val="1F2937"/>
          <w:sz w:val="21"/>
          <w:rFonts w:ascii="Calibri" w:hAnsi="Calibri" w:cs="Calibri"/>
        </w:rPr>
        <w:t>Warm regards,</w:t>
      </w:r>
    </w:p>
    <w:p>
      <w:pPr>
        <w:spacing w:before="0" w:after="0" w:line="300" w:lineRule="auto"/>
      </w:pPr>
      <w:r>
        <w:rPr>
          <w:rFonts w:ascii="Calibri" w:hAnsi="Calibri"/>
          <w:b/>
          <w:i w:val="0"/>
          <w:color w:val="0F4C5C"/>
          <w:sz w:val="22"/>
          <w:rFonts w:ascii="Calibri" w:hAnsi="Calibri" w:cs="Calibri"/>
        </w:rPr>
        <w:t>Dr. Lucas Tembo</w:t>
      </w:r>
    </w:p>
    <w:p>
      <w:pPr>
        <w:spacing w:before="0" w:after="0" w:line="300" w:lineRule="auto"/>
      </w:pPr>
      <w:r>
        <w:rPr>
          <w:rFonts w:ascii="Calibri" w:hAnsi="Calibri"/>
          <w:b w:val="0"/>
          <w:i w:val="0"/>
          <w:color w:val="64748B"/>
          <w:sz w:val="20"/>
          <w:rFonts w:ascii="Calibri" w:hAnsi="Calibri" w:cs="Calibri"/>
        </w:rPr>
        <w:t>Director, Manova Labs</w:t>
      </w:r>
    </w:p>
    <w:p>
      <w:pPr>
        <w:spacing w:before="0" w:after="0" w:line="300" w:lineRule="auto"/>
      </w:pPr>
      <w:r>
        <w:rPr>
          <w:rFonts w:ascii="Calibri" w:hAnsi="Calibri"/>
          <w:b w:val="0"/>
          <w:i w:val="0"/>
          <w:color w:val="64748B"/>
          <w:sz w:val="20"/>
          <w:rFonts w:ascii="Calibri" w:hAnsi="Calibri" w:cs="Calibri"/>
        </w:rPr>
        <w:t>info@manovalabs.co</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