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5F89E" w14:textId="77777777" w:rsidR="00B35EC0" w:rsidRDefault="00000000">
      <w:pPr>
        <w:pStyle w:val="Heading1"/>
      </w:pPr>
      <w:r>
        <w:t>EXERCISE 1: ARCELOR MITTAL (Group A)</w:t>
      </w:r>
    </w:p>
    <w:p w14:paraId="39FF9FC3" w14:textId="77777777" w:rsidR="00B35EC0" w:rsidRDefault="00000000">
      <w:pPr>
        <w:pStyle w:val="Heading2"/>
      </w:pPr>
      <w:r>
        <w:t>Steel Production &amp; Distribution</w:t>
      </w:r>
    </w:p>
    <w:p w14:paraId="1EA0D7EE" w14:textId="77777777" w:rsidR="00B35EC0" w:rsidRDefault="00000000">
      <w:pPr>
        <w:spacing w:before="200" w:after="100"/>
      </w:pPr>
      <w:r>
        <w:rPr>
          <w:b/>
          <w:bCs/>
        </w:rPr>
        <w:t xml:space="preserve">Duration: </w:t>
      </w:r>
      <w:r>
        <w:t xml:space="preserve">35-40 minutes | </w:t>
      </w:r>
      <w:r>
        <w:rPr>
          <w:b/>
          <w:bCs/>
        </w:rPr>
        <w:t xml:space="preserve">Group Size: </w:t>
      </w:r>
      <w:r>
        <w:t>3-5 participants</w:t>
      </w:r>
    </w:p>
    <w:p w14:paraId="1B888201" w14:textId="77777777" w:rsidR="00B35EC0" w:rsidRDefault="00000000">
      <w:pPr>
        <w:pStyle w:val="Heading3"/>
      </w:pPr>
      <w:r>
        <w:t>Background &amp; Context</w:t>
      </w:r>
    </w:p>
    <w:p w14:paraId="5EF03136" w14:textId="77777777" w:rsidR="00B35EC0" w:rsidRDefault="00000000">
      <w:pPr>
        <w:spacing w:after="150"/>
      </w:pPr>
      <w:r>
        <w:t>ArcelorMittal is the world's leading steel company with operations in 60+ countries. This exercise focuses on European operations: Luxembourg HQ (brand &amp; IP owner), French manufacturer (production), and Belgian distributor (sales to end customers).</w:t>
      </w:r>
    </w:p>
    <w:p w14:paraId="3F9CBE15" w14:textId="77777777" w:rsidR="00B35EC0" w:rsidRDefault="00000000">
      <w:pPr>
        <w:spacing w:before="100" w:after="50"/>
      </w:pPr>
      <w:r>
        <w:rPr>
          <w:b/>
          <w:bCs/>
          <w:color w:val="1F4E78"/>
          <w:sz w:val="24"/>
          <w:szCs w:val="24"/>
        </w:rPr>
        <w:t>The Structure:</w:t>
      </w:r>
    </w:p>
    <w:p w14:paraId="7B3500D2" w14:textId="77777777" w:rsidR="00B35EC0" w:rsidRDefault="00000000">
      <w:pPr>
        <w:spacing w:before="100"/>
      </w:pPr>
      <w:r>
        <w:rPr>
          <w:b/>
          <w:bCs/>
          <w:sz w:val="23"/>
          <w:szCs w:val="23"/>
        </w:rPr>
        <w:t>ArcelorMittal HQ (Luxembourg)</w:t>
      </w:r>
    </w:p>
    <w:p w14:paraId="3B6D6649" w14:textId="77777777" w:rsidR="00B35EC0" w:rsidRDefault="00000000">
      <w:pPr>
        <w:pStyle w:val="ListParagraph"/>
        <w:numPr>
          <w:ilvl w:val="0"/>
          <w:numId w:val="2"/>
        </w:numPr>
      </w:pPr>
      <w:r>
        <w:t>Owns ArcelorMittal brand and steel production IP (patents, know-how)</w:t>
      </w:r>
    </w:p>
    <w:p w14:paraId="6EF9CADE" w14:textId="77777777" w:rsidR="00B35EC0" w:rsidRDefault="00000000">
      <w:pPr>
        <w:pStyle w:val="ListParagraph"/>
        <w:numPr>
          <w:ilvl w:val="0"/>
          <w:numId w:val="2"/>
        </w:numPr>
      </w:pPr>
      <w:r>
        <w:t>Operates IT systems (ERP/SAP, supply chain, analytics)</w:t>
      </w:r>
    </w:p>
    <w:p w14:paraId="7FE8AA5E" w14:textId="77777777" w:rsidR="00B35EC0" w:rsidRDefault="00000000">
      <w:pPr>
        <w:pStyle w:val="ListParagraph"/>
        <w:numPr>
          <w:ilvl w:val="0"/>
          <w:numId w:val="2"/>
        </w:numPr>
      </w:pPr>
      <w:r>
        <w:t>Provides management services (strategic, financial, IT, HR, legal)</w:t>
      </w:r>
    </w:p>
    <w:p w14:paraId="1BDCE4F1" w14:textId="77777777" w:rsidR="00B35EC0" w:rsidRDefault="00000000">
      <w:pPr>
        <w:pStyle w:val="ListParagraph"/>
        <w:numPr>
          <w:ilvl w:val="0"/>
          <w:numId w:val="2"/>
        </w:numPr>
        <w:spacing w:after="100"/>
      </w:pPr>
      <w:r>
        <w:t>Licenses technology and brand to manufacturing subsidiaries</w:t>
      </w:r>
    </w:p>
    <w:p w14:paraId="0447B0B8" w14:textId="77777777" w:rsidR="00B35EC0" w:rsidRDefault="00000000">
      <w:pPr>
        <w:spacing w:before="100"/>
      </w:pPr>
      <w:r>
        <w:rPr>
          <w:b/>
          <w:bCs/>
          <w:sz w:val="23"/>
          <w:szCs w:val="23"/>
        </w:rPr>
        <w:t>ArcelorMittal Manufacturing (France)</w:t>
      </w:r>
    </w:p>
    <w:p w14:paraId="4D533B0A" w14:textId="77777777" w:rsidR="00B35EC0" w:rsidRDefault="00000000">
      <w:pPr>
        <w:pStyle w:val="ListParagraph"/>
        <w:numPr>
          <w:ilvl w:val="0"/>
          <w:numId w:val="2"/>
        </w:numPr>
      </w:pPr>
      <w:r>
        <w:t>Operates steel production facilities (Dunkirk, Fos-sur-Mer)</w:t>
      </w:r>
    </w:p>
    <w:p w14:paraId="0D0CD151" w14:textId="77777777" w:rsidR="00B35EC0" w:rsidRDefault="00000000">
      <w:pPr>
        <w:pStyle w:val="ListParagraph"/>
        <w:numPr>
          <w:ilvl w:val="0"/>
          <w:numId w:val="2"/>
        </w:numPr>
      </w:pPr>
      <w:r>
        <w:t>Produces flat/long carbon steel, coated products, specialty grades</w:t>
      </w:r>
    </w:p>
    <w:p w14:paraId="3FC6CC5E" w14:textId="77777777" w:rsidR="00B35EC0" w:rsidRDefault="00000000">
      <w:pPr>
        <w:pStyle w:val="ListParagraph"/>
        <w:numPr>
          <w:ilvl w:val="0"/>
          <w:numId w:val="2"/>
        </w:numPr>
      </w:pPr>
      <w:r>
        <w:t>Uses licensed HQ technology; employs 5,000-8,000 workers</w:t>
      </w:r>
    </w:p>
    <w:p w14:paraId="489B17FA" w14:textId="77777777" w:rsidR="00B35EC0" w:rsidRDefault="00000000">
      <w:pPr>
        <w:pStyle w:val="ListParagraph"/>
        <w:numPr>
          <w:ilvl w:val="0"/>
          <w:numId w:val="2"/>
        </w:numPr>
      </w:pPr>
      <w:r>
        <w:rPr>
          <w:b/>
          <w:bCs/>
        </w:rPr>
        <w:t xml:space="preserve">Sales split: </w:t>
      </w:r>
      <w:r>
        <w:t>60% to related distributors, 40% to independent customers (automotive, construction, fabricators)</w:t>
      </w:r>
    </w:p>
    <w:p w14:paraId="00F3A5E5" w14:textId="77777777" w:rsidR="00B35EC0" w:rsidRDefault="00000000">
      <w:pPr>
        <w:pStyle w:val="ListParagraph"/>
        <w:numPr>
          <w:ilvl w:val="0"/>
          <w:numId w:val="2"/>
        </w:numPr>
        <w:spacing w:after="100"/>
      </w:pPr>
      <w:r>
        <w:t>Pricing: €600-€900/ton; payment terms 30-60 days</w:t>
      </w:r>
    </w:p>
    <w:p w14:paraId="1E2FEE07" w14:textId="77777777" w:rsidR="00B35EC0" w:rsidRDefault="00000000">
      <w:pPr>
        <w:spacing w:before="100"/>
      </w:pPr>
      <w:r>
        <w:rPr>
          <w:b/>
          <w:bCs/>
          <w:sz w:val="23"/>
          <w:szCs w:val="23"/>
        </w:rPr>
        <w:t>ArcelorMittal Distributor (Belgium)</w:t>
      </w:r>
    </w:p>
    <w:p w14:paraId="2FCB3FFD" w14:textId="77777777" w:rsidR="00B35EC0" w:rsidRDefault="00000000">
      <w:pPr>
        <w:pStyle w:val="ListParagraph"/>
        <w:numPr>
          <w:ilvl w:val="0"/>
          <w:numId w:val="2"/>
        </w:numPr>
      </w:pPr>
      <w:r>
        <w:t>Regional distribution hub (10,000-20,000 sqm warehouse)</w:t>
      </w:r>
    </w:p>
    <w:p w14:paraId="236289CB" w14:textId="77777777" w:rsidR="00B35EC0" w:rsidRDefault="00000000">
      <w:pPr>
        <w:pStyle w:val="ListParagraph"/>
        <w:numPr>
          <w:ilvl w:val="0"/>
          <w:numId w:val="2"/>
        </w:numPr>
      </w:pPr>
      <w:r>
        <w:t>Purchases from French manufacturer (monthly/quarterly orders)</w:t>
      </w:r>
    </w:p>
    <w:p w14:paraId="164CE769" w14:textId="77777777" w:rsidR="00B35EC0" w:rsidRDefault="00000000">
      <w:pPr>
        <w:pStyle w:val="ListParagraph"/>
        <w:numPr>
          <w:ilvl w:val="0"/>
          <w:numId w:val="2"/>
        </w:numPr>
      </w:pPr>
      <w:r>
        <w:t xml:space="preserve">Performs inventory management, order </w:t>
      </w:r>
      <w:proofErr w:type="spellStart"/>
      <w:r>
        <w:t>fulfillment</w:t>
      </w:r>
      <w:proofErr w:type="spellEnd"/>
      <w:r>
        <w:t>, customer service, local marketing</w:t>
      </w:r>
    </w:p>
    <w:p w14:paraId="1F565AE3" w14:textId="77777777" w:rsidR="00B35EC0" w:rsidRDefault="00000000">
      <w:pPr>
        <w:pStyle w:val="ListParagraph"/>
        <w:numPr>
          <w:ilvl w:val="0"/>
          <w:numId w:val="2"/>
        </w:numPr>
        <w:spacing w:after="150"/>
      </w:pPr>
      <w:r>
        <w:t>Sells to construction companies, metal fabricators, industrial manufacturers</w:t>
      </w:r>
    </w:p>
    <w:p w14:paraId="6B208954" w14:textId="77777777" w:rsidR="00B35EC0" w:rsidRDefault="00000000">
      <w:pPr>
        <w:pStyle w:val="Heading3"/>
      </w:pPr>
      <w:r>
        <w:t>How the Entities Interact</w:t>
      </w:r>
    </w:p>
    <w:p w14:paraId="5A415174" w14:textId="77777777" w:rsidR="00B35EC0" w:rsidRDefault="00000000">
      <w:pPr>
        <w:spacing w:before="50" w:after="50"/>
      </w:pPr>
      <w:r>
        <w:rPr>
          <w:b/>
          <w:bCs/>
        </w:rPr>
        <w:t xml:space="preserve">1. IP &amp; Technology License: </w:t>
      </w:r>
      <w:r>
        <w:rPr>
          <w:color w:val="2E5C8A"/>
        </w:rPr>
        <w:t>HQ → Manufacturer</w:t>
      </w:r>
    </w:p>
    <w:p w14:paraId="16DEA563" w14:textId="77777777" w:rsidR="00B35EC0" w:rsidRDefault="00000000">
      <w:pPr>
        <w:spacing w:after="100"/>
        <w:ind w:left="360"/>
      </w:pPr>
      <w:r>
        <w:t xml:space="preserve">HQ licenses the ArcelorMittal brand and steel production technology (patents, manufacturing processes) to the French manufacturer. Typical royalty: 2-5% of net sales (steel technology 1-3% + brand premium 1-2%). Must be benchmarked using databases like </w:t>
      </w:r>
      <w:proofErr w:type="spellStart"/>
      <w:r>
        <w:t>RoyaltyStat</w:t>
      </w:r>
      <w:proofErr w:type="spellEnd"/>
      <w:r>
        <w:t xml:space="preserve"> or </w:t>
      </w:r>
      <w:proofErr w:type="spellStart"/>
      <w:r>
        <w:t>ktMINE</w:t>
      </w:r>
      <w:proofErr w:type="spellEnd"/>
      <w:r>
        <w:t>.</w:t>
      </w:r>
    </w:p>
    <w:p w14:paraId="767B7D0F" w14:textId="77777777" w:rsidR="00B35EC0" w:rsidRDefault="00000000">
      <w:pPr>
        <w:spacing w:before="50" w:after="50"/>
      </w:pPr>
      <w:r>
        <w:rPr>
          <w:b/>
          <w:bCs/>
        </w:rPr>
        <w:t xml:space="preserve">2. Third-Party Sales: </w:t>
      </w:r>
      <w:r>
        <w:rPr>
          <w:color w:val="2E5C8A"/>
        </w:rPr>
        <w:t>Manufacturer → Independent Customers</w:t>
      </w:r>
    </w:p>
    <w:p w14:paraId="7A79AE31" w14:textId="77777777" w:rsidR="00B35EC0" w:rsidRDefault="00000000">
      <w:pPr>
        <w:spacing w:after="100"/>
        <w:ind w:left="360"/>
      </w:pPr>
      <w:r>
        <w:t xml:space="preserve">Manufacturer sells steel (€600-€900/ton) to independent automotive and construction companies. </w:t>
      </w:r>
      <w:r>
        <w:rPr>
          <w:b/>
          <w:bCs/>
          <w:color w:val="C00000"/>
        </w:rPr>
        <w:t xml:space="preserve">CRITICAL: </w:t>
      </w:r>
      <w:r>
        <w:t>These provide INTERNAL CUP data to benchmark related-party sales!</w:t>
      </w:r>
    </w:p>
    <w:p w14:paraId="291C96D9" w14:textId="77777777" w:rsidR="00B35EC0" w:rsidRDefault="00000000">
      <w:pPr>
        <w:spacing w:before="50" w:after="50"/>
      </w:pPr>
      <w:r>
        <w:rPr>
          <w:b/>
          <w:bCs/>
        </w:rPr>
        <w:t xml:space="preserve">3. Related-Party Sales: </w:t>
      </w:r>
      <w:r>
        <w:rPr>
          <w:color w:val="2E5C8A"/>
        </w:rPr>
        <w:t>Manufacturer → Distributor</w:t>
      </w:r>
    </w:p>
    <w:p w14:paraId="48D3BED9" w14:textId="77777777" w:rsidR="00B35EC0" w:rsidRDefault="00000000">
      <w:pPr>
        <w:spacing w:after="50"/>
        <w:ind w:left="360"/>
      </w:pPr>
      <w:r>
        <w:rPr>
          <w:b/>
          <w:bCs/>
        </w:rPr>
        <w:t>Pricing using Internal CUP:</w:t>
      </w:r>
    </w:p>
    <w:p w14:paraId="7E4D77A0" w14:textId="77777777" w:rsidR="00B35EC0" w:rsidRDefault="00000000">
      <w:pPr>
        <w:spacing w:after="50"/>
        <w:ind w:left="720"/>
      </w:pPr>
      <w:r>
        <w:t>Third-party price: €750/ton</w:t>
      </w:r>
    </w:p>
    <w:p w14:paraId="7CF32B6F" w14:textId="77777777" w:rsidR="00B35EC0" w:rsidRDefault="00000000">
      <w:pPr>
        <w:spacing w:after="50"/>
        <w:ind w:left="720"/>
      </w:pPr>
      <w:r>
        <w:t>Adjust for volume discount: -€25/ton (-3.3%)</w:t>
      </w:r>
    </w:p>
    <w:p w14:paraId="17D63A56" w14:textId="77777777" w:rsidR="00B35EC0" w:rsidRDefault="00000000">
      <w:pPr>
        <w:spacing w:after="50"/>
        <w:ind w:left="720"/>
      </w:pPr>
      <w:r>
        <w:t>Adjust for payment terms (45 vs. 30 days): -€5/ton (-0.7%)</w:t>
      </w:r>
    </w:p>
    <w:p w14:paraId="1088B635" w14:textId="77777777" w:rsidR="00B35EC0" w:rsidRDefault="00000000">
      <w:pPr>
        <w:spacing w:after="100"/>
        <w:ind w:left="720"/>
      </w:pPr>
      <w:r>
        <w:rPr>
          <w:b/>
          <w:bCs/>
        </w:rPr>
        <w:t>Arm's length price: €720/ton</w:t>
      </w:r>
    </w:p>
    <w:p w14:paraId="67C2D53C" w14:textId="77777777" w:rsidR="00B35EC0" w:rsidRDefault="00000000">
      <w:pPr>
        <w:spacing w:before="50" w:after="50"/>
      </w:pPr>
      <w:r>
        <w:rPr>
          <w:b/>
          <w:bCs/>
        </w:rPr>
        <w:t xml:space="preserve">4. Management Services: </w:t>
      </w:r>
      <w:r>
        <w:rPr>
          <w:color w:val="2E5C8A"/>
        </w:rPr>
        <w:t>HQ → Distributor</w:t>
      </w:r>
    </w:p>
    <w:p w14:paraId="387B51AA" w14:textId="77777777" w:rsidR="00B35EC0" w:rsidRDefault="00000000">
      <w:pPr>
        <w:spacing w:after="50"/>
        <w:ind w:left="360"/>
      </w:pPr>
      <w:r>
        <w:lastRenderedPageBreak/>
        <w:t>HQ provides strategic planning, financial management, IT systems (SAP), HR services, and legal support. Pricing: Cost Plus Method (Direct costs €500k + Indirect costs €200k) × 1.07 = €749k annual charge.</w:t>
      </w:r>
    </w:p>
    <w:p w14:paraId="6DF8ABB0" w14:textId="77777777" w:rsidR="00B35EC0" w:rsidRDefault="00000000">
      <w:pPr>
        <w:spacing w:after="100"/>
        <w:ind w:left="360"/>
      </w:pPr>
      <w:r>
        <w:rPr>
          <w:b/>
          <w:bCs/>
        </w:rPr>
        <w:t xml:space="preserve">Key distinction: </w:t>
      </w:r>
      <w:r>
        <w:t>Charge for services that benefit distributor (IT, training, market analysis). DON'T charge for shareholder activities (board meetings, investor relations, group audit).</w:t>
      </w:r>
    </w:p>
    <w:p w14:paraId="77DF8355" w14:textId="77777777" w:rsidR="00B35EC0" w:rsidRDefault="00000000">
      <w:pPr>
        <w:pStyle w:val="Heading3"/>
      </w:pPr>
      <w:r>
        <w:t>Key TP Considerations</w:t>
      </w:r>
    </w:p>
    <w:p w14:paraId="54BE5295" w14:textId="77777777" w:rsidR="00B35EC0" w:rsidRDefault="00000000">
      <w:pPr>
        <w:pStyle w:val="ListParagraph"/>
        <w:numPr>
          <w:ilvl w:val="0"/>
          <w:numId w:val="2"/>
        </w:numPr>
      </w:pPr>
      <w:r>
        <w:rPr>
          <w:b/>
          <w:bCs/>
        </w:rPr>
        <w:t xml:space="preserve">Internal CUP: </w:t>
      </w:r>
      <w:r>
        <w:t>40% third-party sales provide gold-standard benchmark</w:t>
      </w:r>
    </w:p>
    <w:p w14:paraId="2472FDF7" w14:textId="77777777" w:rsidR="00B35EC0" w:rsidRDefault="00000000">
      <w:pPr>
        <w:pStyle w:val="ListParagraph"/>
        <w:numPr>
          <w:ilvl w:val="0"/>
          <w:numId w:val="2"/>
        </w:numPr>
      </w:pPr>
      <w:r>
        <w:rPr>
          <w:b/>
          <w:bCs/>
        </w:rPr>
        <w:t xml:space="preserve">Royalty rate: </w:t>
      </w:r>
      <w:r>
        <w:t>2-5% reflects steel industry norms (lower than consumer goods 5-10%)</w:t>
      </w:r>
    </w:p>
    <w:p w14:paraId="6A85AC6B" w14:textId="77777777" w:rsidR="00B35EC0" w:rsidRDefault="00000000">
      <w:pPr>
        <w:pStyle w:val="ListParagraph"/>
        <w:numPr>
          <w:ilvl w:val="0"/>
          <w:numId w:val="2"/>
        </w:numPr>
      </w:pPr>
      <w:r>
        <w:rPr>
          <w:b/>
          <w:bCs/>
        </w:rPr>
        <w:t xml:space="preserve">Service allocation: </w:t>
      </w:r>
      <w:r>
        <w:t>Apply 3-part test: (1) actually provided, (2) provides value, (3) independent party would pay</w:t>
      </w:r>
    </w:p>
    <w:p w14:paraId="25346DD9" w14:textId="77777777" w:rsidR="00B35EC0" w:rsidRDefault="00000000">
      <w:pPr>
        <w:pStyle w:val="ListParagraph"/>
        <w:numPr>
          <w:ilvl w:val="0"/>
          <w:numId w:val="2"/>
        </w:numPr>
        <w:spacing w:after="150"/>
      </w:pPr>
      <w:r>
        <w:rPr>
          <w:b/>
          <w:bCs/>
        </w:rPr>
        <w:t xml:space="preserve">Industry margins: </w:t>
      </w:r>
      <w:r>
        <w:t>Manufacturing 5-10%, Distribution 15-20% gross / 3-5% net</w:t>
      </w:r>
    </w:p>
    <w:p w14:paraId="6766E3AA" w14:textId="77777777" w:rsidR="00B35EC0" w:rsidRDefault="00000000">
      <w:r>
        <w:br w:type="page"/>
      </w:r>
    </w:p>
    <w:p w14:paraId="7138D5AF" w14:textId="77777777" w:rsidR="00B35EC0" w:rsidRDefault="00000000">
      <w:pPr>
        <w:pStyle w:val="Heading3"/>
      </w:pPr>
      <w:r>
        <w:lastRenderedPageBreak/>
        <w:t>PART 1: Functional Analysis (FAR)</w:t>
      </w:r>
    </w:p>
    <w:p w14:paraId="2C6A8E1D" w14:textId="77777777" w:rsidR="00B35EC0" w:rsidRDefault="00000000">
      <w:pPr>
        <w:spacing w:after="100"/>
      </w:pPr>
      <w:r>
        <w:rPr>
          <w:b/>
          <w:bCs/>
        </w:rPr>
        <w:t xml:space="preserve">INSTRUCTIONS: </w:t>
      </w:r>
      <w:r>
        <w:t>Complete the FAR analysis for each entity. Refer to Slide 30 (FAR Framework).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291"/>
        <w:gridCol w:w="2259"/>
        <w:gridCol w:w="2235"/>
        <w:gridCol w:w="2225"/>
      </w:tblGrid>
      <w:tr w:rsidR="00B35EC0" w14:paraId="41BBC6A8" w14:textId="77777777">
        <w:trPr>
          <w:tblHeader/>
        </w:trPr>
        <w:tc>
          <w:tcPr>
            <w:tcW w:w="2340" w:type="dxa"/>
            <w:tcBorders>
              <w:top w:val="single" w:sz="6" w:space="0" w:color="CCCCCC"/>
              <w:left w:val="single" w:sz="6" w:space="0" w:color="CCCCCC"/>
              <w:bottom w:val="single" w:sz="6" w:space="0" w:color="CCCCCC"/>
              <w:right w:val="single" w:sz="6" w:space="0" w:color="CCCCCC"/>
            </w:tcBorders>
            <w:shd w:val="clear" w:color="auto" w:fill="1F4E78"/>
          </w:tcPr>
          <w:p w14:paraId="0EDACBF9" w14:textId="77777777" w:rsidR="00B35EC0" w:rsidRDefault="00000000">
            <w:pPr>
              <w:jc w:val="center"/>
            </w:pPr>
            <w:r>
              <w:rPr>
                <w:b/>
                <w:bCs/>
                <w:color w:val="FFFFFF"/>
              </w:rPr>
              <w:t>Entity</w:t>
            </w:r>
          </w:p>
        </w:tc>
        <w:tc>
          <w:tcPr>
            <w:tcW w:w="2340" w:type="dxa"/>
            <w:tcBorders>
              <w:top w:val="single" w:sz="6" w:space="0" w:color="CCCCCC"/>
              <w:left w:val="single" w:sz="6" w:space="0" w:color="CCCCCC"/>
              <w:bottom w:val="single" w:sz="6" w:space="0" w:color="CCCCCC"/>
              <w:right w:val="single" w:sz="6" w:space="0" w:color="CCCCCC"/>
            </w:tcBorders>
            <w:shd w:val="clear" w:color="auto" w:fill="1F4E78"/>
          </w:tcPr>
          <w:p w14:paraId="7ACFD656" w14:textId="77777777" w:rsidR="00B35EC0" w:rsidRDefault="00000000">
            <w:pPr>
              <w:jc w:val="center"/>
            </w:pPr>
            <w:r>
              <w:rPr>
                <w:b/>
                <w:bCs/>
                <w:color w:val="FFFFFF"/>
              </w:rPr>
              <w:t>Functions</w:t>
            </w:r>
          </w:p>
        </w:tc>
        <w:tc>
          <w:tcPr>
            <w:tcW w:w="2340" w:type="dxa"/>
            <w:tcBorders>
              <w:top w:val="single" w:sz="6" w:space="0" w:color="CCCCCC"/>
              <w:left w:val="single" w:sz="6" w:space="0" w:color="CCCCCC"/>
              <w:bottom w:val="single" w:sz="6" w:space="0" w:color="CCCCCC"/>
              <w:right w:val="single" w:sz="6" w:space="0" w:color="CCCCCC"/>
            </w:tcBorders>
            <w:shd w:val="clear" w:color="auto" w:fill="1F4E78"/>
          </w:tcPr>
          <w:p w14:paraId="125E9B01" w14:textId="77777777" w:rsidR="00B35EC0" w:rsidRDefault="00000000">
            <w:pPr>
              <w:jc w:val="center"/>
            </w:pPr>
            <w:r>
              <w:rPr>
                <w:b/>
                <w:bCs/>
                <w:color w:val="FFFFFF"/>
              </w:rPr>
              <w:t>Assets</w:t>
            </w:r>
          </w:p>
        </w:tc>
        <w:tc>
          <w:tcPr>
            <w:tcW w:w="2340" w:type="dxa"/>
            <w:tcBorders>
              <w:top w:val="single" w:sz="6" w:space="0" w:color="CCCCCC"/>
              <w:left w:val="single" w:sz="6" w:space="0" w:color="CCCCCC"/>
              <w:bottom w:val="single" w:sz="6" w:space="0" w:color="CCCCCC"/>
              <w:right w:val="single" w:sz="6" w:space="0" w:color="CCCCCC"/>
            </w:tcBorders>
            <w:shd w:val="clear" w:color="auto" w:fill="1F4E78"/>
          </w:tcPr>
          <w:p w14:paraId="526D2F48" w14:textId="77777777" w:rsidR="00B35EC0" w:rsidRDefault="00000000">
            <w:pPr>
              <w:jc w:val="center"/>
            </w:pPr>
            <w:r>
              <w:rPr>
                <w:b/>
                <w:bCs/>
                <w:color w:val="FFFFFF"/>
              </w:rPr>
              <w:t>Risks</w:t>
            </w:r>
          </w:p>
        </w:tc>
      </w:tr>
      <w:tr w:rsidR="00B35EC0" w14:paraId="4E564286" w14:textId="77777777">
        <w:tc>
          <w:tcPr>
            <w:tcW w:w="2340" w:type="dxa"/>
            <w:tcBorders>
              <w:top w:val="single" w:sz="6" w:space="0" w:color="CCCCCC"/>
              <w:left w:val="single" w:sz="6" w:space="0" w:color="CCCCCC"/>
              <w:bottom w:val="single" w:sz="6" w:space="0" w:color="CCCCCC"/>
              <w:right w:val="single" w:sz="6" w:space="0" w:color="CCCCCC"/>
            </w:tcBorders>
          </w:tcPr>
          <w:p w14:paraId="5BC0EB47" w14:textId="77777777" w:rsidR="00B35EC0" w:rsidRDefault="00000000">
            <w:r>
              <w:rPr>
                <w:b/>
                <w:bCs/>
              </w:rPr>
              <w:t>HQ (Luxembourg)</w:t>
            </w:r>
          </w:p>
        </w:tc>
        <w:tc>
          <w:tcPr>
            <w:tcW w:w="2340" w:type="dxa"/>
            <w:tcBorders>
              <w:top w:val="single" w:sz="6" w:space="0" w:color="CCCCCC"/>
              <w:left w:val="single" w:sz="6" w:space="0" w:color="CCCCCC"/>
              <w:bottom w:val="single" w:sz="6" w:space="0" w:color="CCCCCC"/>
              <w:right w:val="single" w:sz="6" w:space="0" w:color="CCCCCC"/>
            </w:tcBorders>
          </w:tcPr>
          <w:p w14:paraId="130EF13E" w14:textId="77777777" w:rsidR="00B35EC0" w:rsidRDefault="00B35EC0"/>
        </w:tc>
        <w:tc>
          <w:tcPr>
            <w:tcW w:w="2340" w:type="dxa"/>
            <w:tcBorders>
              <w:top w:val="single" w:sz="6" w:space="0" w:color="CCCCCC"/>
              <w:left w:val="single" w:sz="6" w:space="0" w:color="CCCCCC"/>
              <w:bottom w:val="single" w:sz="6" w:space="0" w:color="CCCCCC"/>
              <w:right w:val="single" w:sz="6" w:space="0" w:color="CCCCCC"/>
            </w:tcBorders>
          </w:tcPr>
          <w:p w14:paraId="3F4980F6" w14:textId="77777777" w:rsidR="00B35EC0" w:rsidRDefault="00B35EC0"/>
        </w:tc>
        <w:tc>
          <w:tcPr>
            <w:tcW w:w="2340" w:type="dxa"/>
            <w:tcBorders>
              <w:top w:val="single" w:sz="6" w:space="0" w:color="CCCCCC"/>
              <w:left w:val="single" w:sz="6" w:space="0" w:color="CCCCCC"/>
              <w:bottom w:val="single" w:sz="6" w:space="0" w:color="CCCCCC"/>
              <w:right w:val="single" w:sz="6" w:space="0" w:color="CCCCCC"/>
            </w:tcBorders>
          </w:tcPr>
          <w:p w14:paraId="01E52201" w14:textId="77777777" w:rsidR="00B35EC0" w:rsidRDefault="00B35EC0"/>
        </w:tc>
      </w:tr>
      <w:tr w:rsidR="00B35EC0" w14:paraId="672D3EF5" w14:textId="77777777">
        <w:tc>
          <w:tcPr>
            <w:tcW w:w="2340" w:type="dxa"/>
            <w:tcBorders>
              <w:top w:val="single" w:sz="6" w:space="0" w:color="CCCCCC"/>
              <w:left w:val="single" w:sz="6" w:space="0" w:color="CCCCCC"/>
              <w:bottom w:val="single" w:sz="6" w:space="0" w:color="CCCCCC"/>
              <w:right w:val="single" w:sz="6" w:space="0" w:color="CCCCCC"/>
            </w:tcBorders>
          </w:tcPr>
          <w:p w14:paraId="5E42F76E" w14:textId="77777777" w:rsidR="00B35EC0" w:rsidRDefault="00000000">
            <w:r>
              <w:rPr>
                <w:b/>
                <w:bCs/>
              </w:rPr>
              <w:t>Manufacturer (France)</w:t>
            </w:r>
          </w:p>
        </w:tc>
        <w:tc>
          <w:tcPr>
            <w:tcW w:w="2340" w:type="dxa"/>
            <w:tcBorders>
              <w:top w:val="single" w:sz="6" w:space="0" w:color="CCCCCC"/>
              <w:left w:val="single" w:sz="6" w:space="0" w:color="CCCCCC"/>
              <w:bottom w:val="single" w:sz="6" w:space="0" w:color="CCCCCC"/>
              <w:right w:val="single" w:sz="6" w:space="0" w:color="CCCCCC"/>
            </w:tcBorders>
          </w:tcPr>
          <w:p w14:paraId="4A1B2541" w14:textId="77777777" w:rsidR="00B35EC0" w:rsidRDefault="00B35EC0"/>
        </w:tc>
        <w:tc>
          <w:tcPr>
            <w:tcW w:w="2340" w:type="dxa"/>
            <w:tcBorders>
              <w:top w:val="single" w:sz="6" w:space="0" w:color="CCCCCC"/>
              <w:left w:val="single" w:sz="6" w:space="0" w:color="CCCCCC"/>
              <w:bottom w:val="single" w:sz="6" w:space="0" w:color="CCCCCC"/>
              <w:right w:val="single" w:sz="6" w:space="0" w:color="CCCCCC"/>
            </w:tcBorders>
          </w:tcPr>
          <w:p w14:paraId="0E7116D8" w14:textId="77777777" w:rsidR="00B35EC0" w:rsidRDefault="00B35EC0"/>
        </w:tc>
        <w:tc>
          <w:tcPr>
            <w:tcW w:w="2340" w:type="dxa"/>
            <w:tcBorders>
              <w:top w:val="single" w:sz="6" w:space="0" w:color="CCCCCC"/>
              <w:left w:val="single" w:sz="6" w:space="0" w:color="CCCCCC"/>
              <w:bottom w:val="single" w:sz="6" w:space="0" w:color="CCCCCC"/>
              <w:right w:val="single" w:sz="6" w:space="0" w:color="CCCCCC"/>
            </w:tcBorders>
          </w:tcPr>
          <w:p w14:paraId="238602FC" w14:textId="77777777" w:rsidR="00B35EC0" w:rsidRDefault="00B35EC0"/>
        </w:tc>
      </w:tr>
      <w:tr w:rsidR="00B35EC0" w14:paraId="04935C29" w14:textId="77777777">
        <w:tc>
          <w:tcPr>
            <w:tcW w:w="2340" w:type="dxa"/>
            <w:tcBorders>
              <w:top w:val="single" w:sz="6" w:space="0" w:color="CCCCCC"/>
              <w:left w:val="single" w:sz="6" w:space="0" w:color="CCCCCC"/>
              <w:bottom w:val="single" w:sz="6" w:space="0" w:color="CCCCCC"/>
              <w:right w:val="single" w:sz="6" w:space="0" w:color="CCCCCC"/>
            </w:tcBorders>
          </w:tcPr>
          <w:p w14:paraId="4DD52CCC" w14:textId="77777777" w:rsidR="00B35EC0" w:rsidRDefault="00000000">
            <w:r>
              <w:rPr>
                <w:b/>
                <w:bCs/>
              </w:rPr>
              <w:t>Distributor (Belgium)</w:t>
            </w:r>
          </w:p>
        </w:tc>
        <w:tc>
          <w:tcPr>
            <w:tcW w:w="2340" w:type="dxa"/>
            <w:tcBorders>
              <w:top w:val="single" w:sz="6" w:space="0" w:color="CCCCCC"/>
              <w:left w:val="single" w:sz="6" w:space="0" w:color="CCCCCC"/>
              <w:bottom w:val="single" w:sz="6" w:space="0" w:color="CCCCCC"/>
              <w:right w:val="single" w:sz="6" w:space="0" w:color="CCCCCC"/>
            </w:tcBorders>
          </w:tcPr>
          <w:p w14:paraId="06246841" w14:textId="77777777" w:rsidR="00B35EC0" w:rsidRDefault="00B35EC0"/>
        </w:tc>
        <w:tc>
          <w:tcPr>
            <w:tcW w:w="2340" w:type="dxa"/>
            <w:tcBorders>
              <w:top w:val="single" w:sz="6" w:space="0" w:color="CCCCCC"/>
              <w:left w:val="single" w:sz="6" w:space="0" w:color="CCCCCC"/>
              <w:bottom w:val="single" w:sz="6" w:space="0" w:color="CCCCCC"/>
              <w:right w:val="single" w:sz="6" w:space="0" w:color="CCCCCC"/>
            </w:tcBorders>
          </w:tcPr>
          <w:p w14:paraId="3DC0266F" w14:textId="77777777" w:rsidR="00B35EC0" w:rsidRDefault="00B35EC0"/>
        </w:tc>
        <w:tc>
          <w:tcPr>
            <w:tcW w:w="2340" w:type="dxa"/>
            <w:tcBorders>
              <w:top w:val="single" w:sz="6" w:space="0" w:color="CCCCCC"/>
              <w:left w:val="single" w:sz="6" w:space="0" w:color="CCCCCC"/>
              <w:bottom w:val="single" w:sz="6" w:space="0" w:color="CCCCCC"/>
              <w:right w:val="single" w:sz="6" w:space="0" w:color="CCCCCC"/>
            </w:tcBorders>
          </w:tcPr>
          <w:p w14:paraId="0F8F393C" w14:textId="77777777" w:rsidR="00B35EC0" w:rsidRDefault="00B35EC0"/>
        </w:tc>
      </w:tr>
    </w:tbl>
    <w:p w14:paraId="24434E90" w14:textId="4BF5B96D" w:rsidR="00B35EC0" w:rsidRDefault="00B35EC0"/>
    <w:p w14:paraId="4529B098" w14:textId="77777777" w:rsidR="00B35EC0" w:rsidRDefault="00000000">
      <w:pPr>
        <w:pStyle w:val="Heading3"/>
      </w:pPr>
      <w:r>
        <w:t>PART 2: Discussion Questions</w:t>
      </w:r>
    </w:p>
    <w:p w14:paraId="6B689F97" w14:textId="77777777" w:rsidR="00B35EC0" w:rsidRDefault="00000000">
      <w:pPr>
        <w:spacing w:after="200"/>
      </w:pPr>
      <w:r>
        <w:rPr>
          <w:i/>
          <w:iCs/>
        </w:rPr>
        <w:t>Answer the following 5 questions based on your FAR analysis and the case background. Refer to the presentation slides as indicated.</w:t>
      </w:r>
    </w:p>
    <w:p w14:paraId="27BF6509" w14:textId="77777777" w:rsidR="00B35EC0" w:rsidRDefault="00000000">
      <w:pPr>
        <w:pStyle w:val="Heading4"/>
      </w:pPr>
      <w:r>
        <w:t>Question 1: Which Entity Bears the Most Risk?</w:t>
      </w:r>
    </w:p>
    <w:p w14:paraId="7493C370" w14:textId="77777777" w:rsidR="00B35EC0" w:rsidRDefault="00000000">
      <w:pPr>
        <w:spacing w:after="50"/>
      </w:pPr>
      <w:r>
        <w:rPr>
          <w:i/>
          <w:iCs/>
          <w:color w:val="2E5C8A"/>
        </w:rPr>
        <w:t>Refer to Slide 30 (FAR Framework)</w:t>
      </w:r>
    </w:p>
    <w:p w14:paraId="63BD903A" w14:textId="77777777" w:rsidR="00B35EC0" w:rsidRDefault="00000000">
      <w:pPr>
        <w:spacing w:after="200"/>
      </w:pPr>
      <w:r>
        <w:t>Based on your FAR analysis, which entity assumes the most significant risks in this value chain? Explain why, and discuss how this should affect the profit allocation among the three entities.</w:t>
      </w:r>
    </w:p>
    <w:p w14:paraId="7A52FAAD" w14:textId="77777777" w:rsidR="00B35EC0" w:rsidRDefault="00000000">
      <w:pPr>
        <w:pStyle w:val="Heading4"/>
      </w:pPr>
      <w:r>
        <w:t>Question 2: Which Transfer Pricing Methods Should Be Used?</w:t>
      </w:r>
    </w:p>
    <w:p w14:paraId="5C67B77B" w14:textId="77777777" w:rsidR="00B35EC0" w:rsidRDefault="00000000">
      <w:pPr>
        <w:spacing w:after="50"/>
      </w:pPr>
      <w:r>
        <w:rPr>
          <w:i/>
          <w:iCs/>
          <w:color w:val="2E5C8A"/>
        </w:rPr>
        <w:t>Refer to Slides 32-36 (TP Methods)</w:t>
      </w:r>
    </w:p>
    <w:p w14:paraId="11F6D49C" w14:textId="77777777" w:rsidR="00B35EC0" w:rsidRDefault="00000000">
      <w:pPr>
        <w:spacing w:after="100"/>
      </w:pPr>
      <w:r>
        <w:t>For each of the following transactions, identify which transfer pricing method you would recommend and explain why:</w:t>
      </w:r>
    </w:p>
    <w:p w14:paraId="45471FDD" w14:textId="77777777" w:rsidR="00B35EC0" w:rsidRDefault="00000000">
      <w:pPr>
        <w:pStyle w:val="ListParagraph"/>
        <w:numPr>
          <w:ilvl w:val="0"/>
          <w:numId w:val="3"/>
        </w:numPr>
      </w:pPr>
      <w:r>
        <w:t>IP &amp; Technology License (HQ → Manufacturer)</w:t>
      </w:r>
    </w:p>
    <w:p w14:paraId="549E4E28" w14:textId="77777777" w:rsidR="00B35EC0" w:rsidRDefault="00000000">
      <w:pPr>
        <w:pStyle w:val="ListParagraph"/>
        <w:numPr>
          <w:ilvl w:val="0"/>
          <w:numId w:val="3"/>
        </w:numPr>
      </w:pPr>
      <w:r>
        <w:t>Sale of Steel (Manufacturer → Distributor)</w:t>
      </w:r>
    </w:p>
    <w:p w14:paraId="58292B72" w14:textId="77777777" w:rsidR="00B35EC0" w:rsidRDefault="00000000">
      <w:pPr>
        <w:pStyle w:val="ListParagraph"/>
        <w:numPr>
          <w:ilvl w:val="0"/>
          <w:numId w:val="3"/>
        </w:numPr>
        <w:spacing w:after="200"/>
      </w:pPr>
      <w:r>
        <w:t>Management Services (HQ → Distributor)</w:t>
      </w:r>
    </w:p>
    <w:p w14:paraId="3E74A93A" w14:textId="77777777" w:rsidR="00B35EC0" w:rsidRDefault="00000000">
      <w:pPr>
        <w:pStyle w:val="Heading4"/>
      </w:pPr>
      <w:r>
        <w:t>Question 3: How Can Internal CUP Be Used?</w:t>
      </w:r>
    </w:p>
    <w:p w14:paraId="1C8CF6BB" w14:textId="77777777" w:rsidR="00B35EC0" w:rsidRDefault="00000000">
      <w:pPr>
        <w:spacing w:after="50"/>
      </w:pPr>
      <w:r>
        <w:rPr>
          <w:i/>
          <w:iCs/>
          <w:color w:val="2E5C8A"/>
        </w:rPr>
        <w:t>Refer to Slides 32-33 (CUP Method)</w:t>
      </w:r>
    </w:p>
    <w:p w14:paraId="66E2238C" w14:textId="5BD3BA73" w:rsidR="00B35EC0" w:rsidRDefault="00000000">
      <w:pPr>
        <w:spacing w:after="200"/>
      </w:pPr>
      <w:r>
        <w:t>The manufacturer sells 40% of production to independent customers and 60% to the related distributor. Explain how the third-party sales can be used as an internal CUP.</w:t>
      </w:r>
    </w:p>
    <w:p w14:paraId="41BCF433" w14:textId="3919EE74" w:rsidR="00B35EC0" w:rsidRDefault="00000000">
      <w:pPr>
        <w:pStyle w:val="Heading4"/>
      </w:pPr>
      <w:r>
        <w:t xml:space="preserve">Question </w:t>
      </w:r>
      <w:r w:rsidR="00102F9F">
        <w:t>4</w:t>
      </w:r>
      <w:r>
        <w:t>: What Documentation Is Required?</w:t>
      </w:r>
    </w:p>
    <w:p w14:paraId="08F1140F" w14:textId="77777777" w:rsidR="00B35EC0" w:rsidRDefault="00000000">
      <w:pPr>
        <w:spacing w:after="50"/>
      </w:pPr>
      <w:r>
        <w:rPr>
          <w:i/>
          <w:iCs/>
          <w:color w:val="2E5C8A"/>
        </w:rPr>
        <w:t>Refer to Slides 11-13 (Documentation Requirements)</w:t>
      </w:r>
    </w:p>
    <w:p w14:paraId="239B3A86" w14:textId="77777777" w:rsidR="00B35EC0" w:rsidRDefault="00000000">
      <w:pPr>
        <w:spacing w:after="200"/>
      </w:pPr>
      <w:r>
        <w:t>What transfer pricing documentation should ArcelorMittal prepare to support its transfer prices? Specifically address: (1) records needed for the internal CUP, (2) documentation for the royalty, and (3) documentation for the services.</w:t>
      </w:r>
    </w:p>
    <w:p w14:paraId="1520ED91" w14:textId="77777777" w:rsidR="00B35EC0" w:rsidRDefault="00000000">
      <w:r>
        <w:br w:type="page"/>
      </w:r>
    </w:p>
    <w:p w14:paraId="2B4680B6" w14:textId="77777777" w:rsidR="00B35EC0" w:rsidRDefault="00000000">
      <w:pPr>
        <w:pStyle w:val="Heading1"/>
      </w:pPr>
      <w:r>
        <w:lastRenderedPageBreak/>
        <w:t>EXERCISE 2: SAMSONITE (Group B)</w:t>
      </w:r>
    </w:p>
    <w:p w14:paraId="4AC47FF6" w14:textId="77777777" w:rsidR="00B35EC0" w:rsidRDefault="00000000">
      <w:pPr>
        <w:pStyle w:val="Heading2"/>
      </w:pPr>
      <w:r>
        <w:t>Luggage Manufacturing &amp; Retail</w:t>
      </w:r>
    </w:p>
    <w:p w14:paraId="6F6DE2E5" w14:textId="77777777" w:rsidR="00B35EC0" w:rsidRDefault="00000000">
      <w:pPr>
        <w:spacing w:before="200" w:after="100"/>
      </w:pPr>
      <w:r>
        <w:rPr>
          <w:b/>
          <w:bCs/>
        </w:rPr>
        <w:t xml:space="preserve">Duration: </w:t>
      </w:r>
      <w:r>
        <w:t xml:space="preserve">30-35 minutes | </w:t>
      </w:r>
      <w:r>
        <w:rPr>
          <w:b/>
          <w:bCs/>
        </w:rPr>
        <w:t xml:space="preserve">Group Size: </w:t>
      </w:r>
      <w:r>
        <w:t>3-5 participants</w:t>
      </w:r>
    </w:p>
    <w:p w14:paraId="65A665EC" w14:textId="77777777" w:rsidR="00B35EC0" w:rsidRDefault="00000000">
      <w:pPr>
        <w:pStyle w:val="Heading3"/>
      </w:pPr>
      <w:r>
        <w:t>Background &amp; Context</w:t>
      </w:r>
    </w:p>
    <w:p w14:paraId="3BA0FCF4" w14:textId="77777777" w:rsidR="00B35EC0" w:rsidRDefault="00000000">
      <w:pPr>
        <w:spacing w:after="150"/>
      </w:pPr>
      <w:r>
        <w:t>Samsonite is a global leader in premium travel luggage, recognized as one of the most trusted luggage brands. This exercise focuses on: Luxembourg HQ (brand &amp; design owner), Vietnamese manufacturer (production), and German retail (stores &amp; e-commerce).</w:t>
      </w:r>
    </w:p>
    <w:p w14:paraId="2A14FDE6" w14:textId="77777777" w:rsidR="00B35EC0" w:rsidRDefault="00000000">
      <w:pPr>
        <w:spacing w:before="100" w:after="50"/>
      </w:pPr>
      <w:r>
        <w:rPr>
          <w:b/>
          <w:bCs/>
          <w:color w:val="1F4E78"/>
          <w:sz w:val="24"/>
          <w:szCs w:val="24"/>
        </w:rPr>
        <w:t>The Structure:</w:t>
      </w:r>
    </w:p>
    <w:p w14:paraId="025D318E" w14:textId="77777777" w:rsidR="00B35EC0" w:rsidRDefault="00000000">
      <w:pPr>
        <w:spacing w:before="100"/>
      </w:pPr>
      <w:r>
        <w:rPr>
          <w:b/>
          <w:bCs/>
          <w:sz w:val="23"/>
          <w:szCs w:val="23"/>
        </w:rPr>
        <w:t>Samsonite HQ (Luxembourg)</w:t>
      </w:r>
    </w:p>
    <w:p w14:paraId="4C42D5A0" w14:textId="77777777" w:rsidR="00B35EC0" w:rsidRDefault="00000000">
      <w:pPr>
        <w:pStyle w:val="ListParagraph"/>
        <w:numPr>
          <w:ilvl w:val="0"/>
          <w:numId w:val="2"/>
        </w:numPr>
      </w:pPr>
      <w:r>
        <w:t>Owns Samsonite brand globally; designs seasonal luggage collections</w:t>
      </w:r>
    </w:p>
    <w:p w14:paraId="3B0A2814" w14:textId="77777777" w:rsidR="00B35EC0" w:rsidRDefault="00000000">
      <w:pPr>
        <w:pStyle w:val="ListParagraph"/>
        <w:numPr>
          <w:ilvl w:val="0"/>
          <w:numId w:val="2"/>
        </w:numPr>
      </w:pPr>
      <w:r>
        <w:t>Holds design patents and manufacturing know-how</w:t>
      </w:r>
    </w:p>
    <w:p w14:paraId="0FB066A7" w14:textId="77777777" w:rsidR="00B35EC0" w:rsidRDefault="00000000">
      <w:pPr>
        <w:pStyle w:val="ListParagraph"/>
        <w:numPr>
          <w:ilvl w:val="0"/>
          <w:numId w:val="2"/>
        </w:numPr>
      </w:pPr>
      <w:r>
        <w:t>Operates IT systems (ERP, e-commerce platform, CRM)</w:t>
      </w:r>
    </w:p>
    <w:p w14:paraId="7D5ED0E8" w14:textId="77777777" w:rsidR="00B35EC0" w:rsidRDefault="00000000">
      <w:pPr>
        <w:pStyle w:val="ListParagraph"/>
        <w:numPr>
          <w:ilvl w:val="0"/>
          <w:numId w:val="2"/>
        </w:numPr>
        <w:spacing w:after="100"/>
      </w:pPr>
      <w:r>
        <w:t>Develops global marketing campaigns; provides strategic management</w:t>
      </w:r>
    </w:p>
    <w:p w14:paraId="398155FC" w14:textId="77777777" w:rsidR="00B35EC0" w:rsidRDefault="00000000">
      <w:pPr>
        <w:spacing w:before="100"/>
      </w:pPr>
      <w:r>
        <w:rPr>
          <w:b/>
          <w:bCs/>
          <w:sz w:val="23"/>
          <w:szCs w:val="23"/>
        </w:rPr>
        <w:t>Manufacturing Subsidiary (Vietnam)</w:t>
      </w:r>
    </w:p>
    <w:p w14:paraId="31CC6835" w14:textId="77777777" w:rsidR="00B35EC0" w:rsidRDefault="00000000">
      <w:pPr>
        <w:pStyle w:val="ListParagraph"/>
        <w:numPr>
          <w:ilvl w:val="0"/>
          <w:numId w:val="2"/>
        </w:numPr>
      </w:pPr>
      <w:r>
        <w:t>Produces luggage under license (hard-shell, soft-shell, carry-on, backpacks)</w:t>
      </w:r>
    </w:p>
    <w:p w14:paraId="09C693EC" w14:textId="77777777" w:rsidR="00B35EC0" w:rsidRDefault="00000000">
      <w:pPr>
        <w:pStyle w:val="ListParagraph"/>
        <w:numPr>
          <w:ilvl w:val="0"/>
          <w:numId w:val="2"/>
        </w:numPr>
      </w:pPr>
      <w:r>
        <w:t>Quality control per HQ standards; procurement of materials</w:t>
      </w:r>
    </w:p>
    <w:p w14:paraId="22256FF8" w14:textId="77777777" w:rsidR="00B35EC0" w:rsidRDefault="00000000">
      <w:pPr>
        <w:pStyle w:val="ListParagraph"/>
        <w:numPr>
          <w:ilvl w:val="0"/>
          <w:numId w:val="2"/>
        </w:numPr>
      </w:pPr>
      <w:r>
        <w:rPr>
          <w:b/>
          <w:bCs/>
        </w:rPr>
        <w:t xml:space="preserve">Sales: </w:t>
      </w:r>
      <w:r>
        <w:t>90% to retail subsidiaries, 10% to independent distributors</w:t>
      </w:r>
    </w:p>
    <w:p w14:paraId="11454F85" w14:textId="77777777" w:rsidR="00B35EC0" w:rsidRDefault="00000000">
      <w:pPr>
        <w:pStyle w:val="ListParagraph"/>
        <w:numPr>
          <w:ilvl w:val="0"/>
          <w:numId w:val="2"/>
        </w:numPr>
        <w:spacing w:after="100"/>
      </w:pPr>
      <w:r>
        <w:t>Container shipping from Vietnam to Europe (4-6 weeks)</w:t>
      </w:r>
    </w:p>
    <w:p w14:paraId="2B084D4D" w14:textId="77777777" w:rsidR="00B35EC0" w:rsidRDefault="00000000">
      <w:pPr>
        <w:spacing w:before="100"/>
      </w:pPr>
      <w:r>
        <w:rPr>
          <w:b/>
          <w:bCs/>
          <w:sz w:val="23"/>
          <w:szCs w:val="23"/>
        </w:rPr>
        <w:t>Retail Subsidiary (Germany)</w:t>
      </w:r>
    </w:p>
    <w:p w14:paraId="788A4E59" w14:textId="77777777" w:rsidR="00B35EC0" w:rsidRDefault="00000000">
      <w:pPr>
        <w:pStyle w:val="ListParagraph"/>
        <w:numPr>
          <w:ilvl w:val="0"/>
          <w:numId w:val="2"/>
        </w:numPr>
      </w:pPr>
      <w:r>
        <w:t>Operates branded stores (Berlin, Munich, Frankfurt, Hamburg)</w:t>
      </w:r>
    </w:p>
    <w:p w14:paraId="6CECA231" w14:textId="77777777" w:rsidR="00B35EC0" w:rsidRDefault="00000000">
      <w:pPr>
        <w:pStyle w:val="ListParagraph"/>
        <w:numPr>
          <w:ilvl w:val="0"/>
          <w:numId w:val="2"/>
        </w:numPr>
      </w:pPr>
      <w:r>
        <w:t>Runs German e-commerce (www.samsonite.de)</w:t>
      </w:r>
    </w:p>
    <w:p w14:paraId="4D17275D" w14:textId="77777777" w:rsidR="00B35EC0" w:rsidRDefault="00000000">
      <w:pPr>
        <w:pStyle w:val="ListParagraph"/>
        <w:numPr>
          <w:ilvl w:val="0"/>
          <w:numId w:val="2"/>
        </w:numPr>
      </w:pPr>
      <w:r>
        <w:t>Local marketing, customer service, after-sales support</w:t>
      </w:r>
    </w:p>
    <w:p w14:paraId="0C4DF47A" w14:textId="77777777" w:rsidR="00B35EC0" w:rsidRDefault="00000000">
      <w:pPr>
        <w:pStyle w:val="ListParagraph"/>
        <w:numPr>
          <w:ilvl w:val="0"/>
          <w:numId w:val="2"/>
        </w:numPr>
        <w:spacing w:after="150"/>
      </w:pPr>
      <w:r>
        <w:t>Sells to consumers at MRRP (with occasional promotions)</w:t>
      </w:r>
    </w:p>
    <w:p w14:paraId="5376EAB7" w14:textId="77777777" w:rsidR="00B35EC0" w:rsidRDefault="00000000">
      <w:pPr>
        <w:pStyle w:val="Heading3"/>
      </w:pPr>
      <w:r>
        <w:t>How the Entities Interact</w:t>
      </w:r>
    </w:p>
    <w:p w14:paraId="14176253" w14:textId="77777777" w:rsidR="00B35EC0" w:rsidRDefault="00000000">
      <w:pPr>
        <w:spacing w:before="50" w:after="50"/>
      </w:pPr>
      <w:r>
        <w:rPr>
          <w:b/>
          <w:bCs/>
        </w:rPr>
        <w:t xml:space="preserve">1. Brand &amp; Design License: </w:t>
      </w:r>
      <w:r>
        <w:rPr>
          <w:color w:val="2E5C8A"/>
        </w:rPr>
        <w:t>HQ → Manufacturer</w:t>
      </w:r>
    </w:p>
    <w:p w14:paraId="6023B695" w14:textId="77777777" w:rsidR="00B35EC0" w:rsidRDefault="00000000">
      <w:pPr>
        <w:spacing w:after="100"/>
        <w:ind w:left="360"/>
      </w:pPr>
      <w:r>
        <w:t>HQ licenses Samsonite brand name, logo, and seasonal luggage designs to manufacturer. Typical royalty for premium consumer brands: 3-8% of net sales. Rate reflects brand strength and premium positioning.</w:t>
      </w:r>
    </w:p>
    <w:p w14:paraId="55206751" w14:textId="77777777" w:rsidR="00B35EC0" w:rsidRDefault="00000000">
      <w:pPr>
        <w:spacing w:before="50" w:after="50"/>
      </w:pPr>
      <w:r>
        <w:rPr>
          <w:b/>
          <w:bCs/>
        </w:rPr>
        <w:t xml:space="preserve">2. Goods Sale to Retail: </w:t>
      </w:r>
      <w:r>
        <w:rPr>
          <w:color w:val="2E5C8A"/>
        </w:rPr>
        <w:t>Manufacturer → Retail</w:t>
      </w:r>
    </w:p>
    <w:p w14:paraId="57286B90" w14:textId="77777777" w:rsidR="00B35EC0" w:rsidRDefault="00000000">
      <w:pPr>
        <w:spacing w:after="100"/>
        <w:ind w:left="360"/>
      </w:pPr>
      <w:r>
        <w:t>Manufacturer sells finished luggage (90% of volume) to German retail via quarterly/monthly bulk orders. Container shipping, received at central warehouse, distributed to stores and e-commerce. Transfer price must be at arm's length (use internal CUP if available or TNMM).</w:t>
      </w:r>
    </w:p>
    <w:p w14:paraId="44B344AF" w14:textId="77777777" w:rsidR="00B35EC0" w:rsidRDefault="00000000">
      <w:pPr>
        <w:spacing w:before="50" w:after="50"/>
      </w:pPr>
      <w:r>
        <w:rPr>
          <w:b/>
          <w:bCs/>
        </w:rPr>
        <w:t xml:space="preserve">3. Third-Party Sales: </w:t>
      </w:r>
      <w:r>
        <w:rPr>
          <w:color w:val="2E5C8A"/>
        </w:rPr>
        <w:t>Manufacturer → Independent</w:t>
      </w:r>
    </w:p>
    <w:p w14:paraId="2C5ED175" w14:textId="77777777" w:rsidR="00B35EC0" w:rsidRDefault="00000000">
      <w:pPr>
        <w:spacing w:after="100"/>
        <w:ind w:left="360"/>
      </w:pPr>
      <w:r>
        <w:t xml:space="preserve">Manufacturer occasionally sells to independent distributors (10% volume) in markets without Samsonite retail. </w:t>
      </w:r>
      <w:r>
        <w:rPr>
          <w:b/>
          <w:bCs/>
          <w:color w:val="C00000"/>
        </w:rPr>
        <w:t xml:space="preserve">These provide potential INTERNAL CUP </w:t>
      </w:r>
      <w:r>
        <w:t>if products/terms are comparable.</w:t>
      </w:r>
    </w:p>
    <w:p w14:paraId="4C962DD9" w14:textId="77777777" w:rsidR="00B35EC0" w:rsidRDefault="00000000">
      <w:pPr>
        <w:spacing w:before="50" w:after="50"/>
      </w:pPr>
      <w:r>
        <w:rPr>
          <w:b/>
          <w:bCs/>
        </w:rPr>
        <w:t xml:space="preserve">4. Marketing &amp; IT Services: </w:t>
      </w:r>
      <w:r>
        <w:rPr>
          <w:color w:val="2E5C8A"/>
        </w:rPr>
        <w:t>HQ → Retail</w:t>
      </w:r>
    </w:p>
    <w:p w14:paraId="3869CE73" w14:textId="77777777" w:rsidR="00B35EC0" w:rsidRDefault="00000000">
      <w:pPr>
        <w:spacing w:after="100"/>
        <w:ind w:left="360"/>
      </w:pPr>
      <w:r>
        <w:t>HQ provides global marketing (brand campaigns, digital marketing, product launches) and IT systems (ERP/SAP, e-commerce platform, CRM). Pricing: Cost Plus Method (costs + 5-10% markup), allocated by revenue, stores, or usage.</w:t>
      </w:r>
    </w:p>
    <w:p w14:paraId="4E21EBD7" w14:textId="77777777" w:rsidR="00B35EC0" w:rsidRDefault="00000000">
      <w:pPr>
        <w:pStyle w:val="Heading3"/>
      </w:pPr>
      <w:r>
        <w:t>Key TP Considerations</w:t>
      </w:r>
    </w:p>
    <w:p w14:paraId="06617DB0" w14:textId="77777777" w:rsidR="00B35EC0" w:rsidRDefault="00000000">
      <w:pPr>
        <w:pStyle w:val="ListParagraph"/>
        <w:numPr>
          <w:ilvl w:val="0"/>
          <w:numId w:val="2"/>
        </w:numPr>
      </w:pPr>
      <w:r>
        <w:rPr>
          <w:b/>
          <w:bCs/>
        </w:rPr>
        <w:t xml:space="preserve">Premium brand: </w:t>
      </w:r>
      <w:r>
        <w:t>3-8% royalty reflects luxury positioning (higher than commodity)</w:t>
      </w:r>
    </w:p>
    <w:p w14:paraId="651F6F99" w14:textId="77777777" w:rsidR="00B35EC0" w:rsidRDefault="00000000">
      <w:pPr>
        <w:pStyle w:val="ListParagraph"/>
        <w:numPr>
          <w:ilvl w:val="0"/>
          <w:numId w:val="2"/>
        </w:numPr>
      </w:pPr>
      <w:r>
        <w:rPr>
          <w:b/>
          <w:bCs/>
        </w:rPr>
        <w:t xml:space="preserve">Full value chain: </w:t>
      </w:r>
      <w:r>
        <w:t>IP licensing + manufacturing + retail must each earn appropriate returns</w:t>
      </w:r>
    </w:p>
    <w:p w14:paraId="0209364C" w14:textId="77777777" w:rsidR="00B35EC0" w:rsidRDefault="00000000">
      <w:pPr>
        <w:pStyle w:val="ListParagraph"/>
        <w:numPr>
          <w:ilvl w:val="0"/>
          <w:numId w:val="2"/>
        </w:numPr>
      </w:pPr>
      <w:r>
        <w:rPr>
          <w:b/>
          <w:bCs/>
        </w:rPr>
        <w:lastRenderedPageBreak/>
        <w:t xml:space="preserve">Internal CUP: </w:t>
      </w:r>
      <w:r>
        <w:t>10% third-party sales can benchmark related-party pricing</w:t>
      </w:r>
    </w:p>
    <w:p w14:paraId="3861E700" w14:textId="50D95413" w:rsidR="00B35EC0" w:rsidRDefault="00000000" w:rsidP="00A22379">
      <w:pPr>
        <w:pStyle w:val="ListParagraph"/>
        <w:numPr>
          <w:ilvl w:val="0"/>
          <w:numId w:val="2"/>
        </w:numPr>
        <w:spacing w:after="150"/>
      </w:pPr>
      <w:r w:rsidRPr="00A22379">
        <w:rPr>
          <w:b/>
          <w:bCs/>
        </w:rPr>
        <w:t xml:space="preserve">Geographic adjustments: </w:t>
      </w:r>
      <w:r>
        <w:t>Vietnam (low-cost) to Germany (high-cost) may need comparability adjustments</w:t>
      </w:r>
    </w:p>
    <w:p w14:paraId="1EE7C225" w14:textId="77777777" w:rsidR="00B35EC0" w:rsidRDefault="00000000">
      <w:pPr>
        <w:pStyle w:val="Heading3"/>
      </w:pPr>
      <w:r>
        <w:t>PART 1: Functional Analysis (FAR)</w:t>
      </w:r>
    </w:p>
    <w:p w14:paraId="3C0FC26F" w14:textId="77777777" w:rsidR="00B35EC0" w:rsidRDefault="00000000">
      <w:pPr>
        <w:spacing w:after="100"/>
      </w:pPr>
      <w:r>
        <w:rPr>
          <w:b/>
          <w:bCs/>
        </w:rPr>
        <w:t xml:space="preserve">INSTRUCTIONS: </w:t>
      </w:r>
      <w:r>
        <w:t>Complete the FAR analysis for each entity. Refer to Slide 30 (FAR Framework).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291"/>
        <w:gridCol w:w="2259"/>
        <w:gridCol w:w="2235"/>
        <w:gridCol w:w="2225"/>
      </w:tblGrid>
      <w:tr w:rsidR="00B35EC0" w14:paraId="492BEBAE" w14:textId="77777777">
        <w:trPr>
          <w:tblHeader/>
        </w:trPr>
        <w:tc>
          <w:tcPr>
            <w:tcW w:w="2340" w:type="dxa"/>
            <w:tcBorders>
              <w:top w:val="single" w:sz="6" w:space="0" w:color="CCCCCC"/>
              <w:left w:val="single" w:sz="6" w:space="0" w:color="CCCCCC"/>
              <w:bottom w:val="single" w:sz="6" w:space="0" w:color="CCCCCC"/>
              <w:right w:val="single" w:sz="6" w:space="0" w:color="CCCCCC"/>
            </w:tcBorders>
            <w:shd w:val="clear" w:color="auto" w:fill="1F4E78"/>
          </w:tcPr>
          <w:p w14:paraId="43A2F09E" w14:textId="77777777" w:rsidR="00B35EC0" w:rsidRDefault="00000000">
            <w:pPr>
              <w:jc w:val="center"/>
            </w:pPr>
            <w:r>
              <w:rPr>
                <w:b/>
                <w:bCs/>
                <w:color w:val="FFFFFF"/>
              </w:rPr>
              <w:t>Entity</w:t>
            </w:r>
          </w:p>
        </w:tc>
        <w:tc>
          <w:tcPr>
            <w:tcW w:w="2340" w:type="dxa"/>
            <w:tcBorders>
              <w:top w:val="single" w:sz="6" w:space="0" w:color="CCCCCC"/>
              <w:left w:val="single" w:sz="6" w:space="0" w:color="CCCCCC"/>
              <w:bottom w:val="single" w:sz="6" w:space="0" w:color="CCCCCC"/>
              <w:right w:val="single" w:sz="6" w:space="0" w:color="CCCCCC"/>
            </w:tcBorders>
            <w:shd w:val="clear" w:color="auto" w:fill="1F4E78"/>
          </w:tcPr>
          <w:p w14:paraId="5CF5C480" w14:textId="77777777" w:rsidR="00B35EC0" w:rsidRDefault="00000000">
            <w:pPr>
              <w:jc w:val="center"/>
            </w:pPr>
            <w:r>
              <w:rPr>
                <w:b/>
                <w:bCs/>
                <w:color w:val="FFFFFF"/>
              </w:rPr>
              <w:t>Functions</w:t>
            </w:r>
          </w:p>
        </w:tc>
        <w:tc>
          <w:tcPr>
            <w:tcW w:w="2340" w:type="dxa"/>
            <w:tcBorders>
              <w:top w:val="single" w:sz="6" w:space="0" w:color="CCCCCC"/>
              <w:left w:val="single" w:sz="6" w:space="0" w:color="CCCCCC"/>
              <w:bottom w:val="single" w:sz="6" w:space="0" w:color="CCCCCC"/>
              <w:right w:val="single" w:sz="6" w:space="0" w:color="CCCCCC"/>
            </w:tcBorders>
            <w:shd w:val="clear" w:color="auto" w:fill="1F4E78"/>
          </w:tcPr>
          <w:p w14:paraId="5B8039F1" w14:textId="77777777" w:rsidR="00B35EC0" w:rsidRDefault="00000000">
            <w:pPr>
              <w:jc w:val="center"/>
            </w:pPr>
            <w:r>
              <w:rPr>
                <w:b/>
                <w:bCs/>
                <w:color w:val="FFFFFF"/>
              </w:rPr>
              <w:t>Assets</w:t>
            </w:r>
          </w:p>
        </w:tc>
        <w:tc>
          <w:tcPr>
            <w:tcW w:w="2340" w:type="dxa"/>
            <w:tcBorders>
              <w:top w:val="single" w:sz="6" w:space="0" w:color="CCCCCC"/>
              <w:left w:val="single" w:sz="6" w:space="0" w:color="CCCCCC"/>
              <w:bottom w:val="single" w:sz="6" w:space="0" w:color="CCCCCC"/>
              <w:right w:val="single" w:sz="6" w:space="0" w:color="CCCCCC"/>
            </w:tcBorders>
            <w:shd w:val="clear" w:color="auto" w:fill="1F4E78"/>
          </w:tcPr>
          <w:p w14:paraId="613BAB6A" w14:textId="77777777" w:rsidR="00B35EC0" w:rsidRDefault="00000000">
            <w:pPr>
              <w:jc w:val="center"/>
            </w:pPr>
            <w:r>
              <w:rPr>
                <w:b/>
                <w:bCs/>
                <w:color w:val="FFFFFF"/>
              </w:rPr>
              <w:t>Risks</w:t>
            </w:r>
          </w:p>
        </w:tc>
      </w:tr>
      <w:tr w:rsidR="00B35EC0" w14:paraId="26A41BBF" w14:textId="77777777">
        <w:tc>
          <w:tcPr>
            <w:tcW w:w="2340" w:type="dxa"/>
            <w:tcBorders>
              <w:top w:val="single" w:sz="6" w:space="0" w:color="CCCCCC"/>
              <w:left w:val="single" w:sz="6" w:space="0" w:color="CCCCCC"/>
              <w:bottom w:val="single" w:sz="6" w:space="0" w:color="CCCCCC"/>
              <w:right w:val="single" w:sz="6" w:space="0" w:color="CCCCCC"/>
            </w:tcBorders>
          </w:tcPr>
          <w:p w14:paraId="34FD5AD0" w14:textId="77777777" w:rsidR="00B35EC0" w:rsidRDefault="00000000">
            <w:r>
              <w:rPr>
                <w:b/>
                <w:bCs/>
              </w:rPr>
              <w:t>HQ (Luxembourg)</w:t>
            </w:r>
          </w:p>
        </w:tc>
        <w:tc>
          <w:tcPr>
            <w:tcW w:w="2340" w:type="dxa"/>
            <w:tcBorders>
              <w:top w:val="single" w:sz="6" w:space="0" w:color="CCCCCC"/>
              <w:left w:val="single" w:sz="6" w:space="0" w:color="CCCCCC"/>
              <w:bottom w:val="single" w:sz="6" w:space="0" w:color="CCCCCC"/>
              <w:right w:val="single" w:sz="6" w:space="0" w:color="CCCCCC"/>
            </w:tcBorders>
          </w:tcPr>
          <w:p w14:paraId="7691A6EA" w14:textId="77777777" w:rsidR="00B35EC0" w:rsidRDefault="00B35EC0"/>
        </w:tc>
        <w:tc>
          <w:tcPr>
            <w:tcW w:w="2340" w:type="dxa"/>
            <w:tcBorders>
              <w:top w:val="single" w:sz="6" w:space="0" w:color="CCCCCC"/>
              <w:left w:val="single" w:sz="6" w:space="0" w:color="CCCCCC"/>
              <w:bottom w:val="single" w:sz="6" w:space="0" w:color="CCCCCC"/>
              <w:right w:val="single" w:sz="6" w:space="0" w:color="CCCCCC"/>
            </w:tcBorders>
          </w:tcPr>
          <w:p w14:paraId="4CBD588B" w14:textId="77777777" w:rsidR="00B35EC0" w:rsidRDefault="00B35EC0"/>
        </w:tc>
        <w:tc>
          <w:tcPr>
            <w:tcW w:w="2340" w:type="dxa"/>
            <w:tcBorders>
              <w:top w:val="single" w:sz="6" w:space="0" w:color="CCCCCC"/>
              <w:left w:val="single" w:sz="6" w:space="0" w:color="CCCCCC"/>
              <w:bottom w:val="single" w:sz="6" w:space="0" w:color="CCCCCC"/>
              <w:right w:val="single" w:sz="6" w:space="0" w:color="CCCCCC"/>
            </w:tcBorders>
          </w:tcPr>
          <w:p w14:paraId="16FA97F4" w14:textId="77777777" w:rsidR="00B35EC0" w:rsidRDefault="00B35EC0"/>
        </w:tc>
      </w:tr>
      <w:tr w:rsidR="00B35EC0" w14:paraId="3648D534" w14:textId="77777777">
        <w:tc>
          <w:tcPr>
            <w:tcW w:w="2340" w:type="dxa"/>
            <w:tcBorders>
              <w:top w:val="single" w:sz="6" w:space="0" w:color="CCCCCC"/>
              <w:left w:val="single" w:sz="6" w:space="0" w:color="CCCCCC"/>
              <w:bottom w:val="single" w:sz="6" w:space="0" w:color="CCCCCC"/>
              <w:right w:val="single" w:sz="6" w:space="0" w:color="CCCCCC"/>
            </w:tcBorders>
          </w:tcPr>
          <w:p w14:paraId="00C93965" w14:textId="77777777" w:rsidR="00B35EC0" w:rsidRDefault="00000000">
            <w:r>
              <w:rPr>
                <w:b/>
                <w:bCs/>
              </w:rPr>
              <w:t>Manufacturer (Vietnam)</w:t>
            </w:r>
          </w:p>
        </w:tc>
        <w:tc>
          <w:tcPr>
            <w:tcW w:w="2340" w:type="dxa"/>
            <w:tcBorders>
              <w:top w:val="single" w:sz="6" w:space="0" w:color="CCCCCC"/>
              <w:left w:val="single" w:sz="6" w:space="0" w:color="CCCCCC"/>
              <w:bottom w:val="single" w:sz="6" w:space="0" w:color="CCCCCC"/>
              <w:right w:val="single" w:sz="6" w:space="0" w:color="CCCCCC"/>
            </w:tcBorders>
          </w:tcPr>
          <w:p w14:paraId="42AB8459" w14:textId="77777777" w:rsidR="00B35EC0" w:rsidRDefault="00B35EC0"/>
        </w:tc>
        <w:tc>
          <w:tcPr>
            <w:tcW w:w="2340" w:type="dxa"/>
            <w:tcBorders>
              <w:top w:val="single" w:sz="6" w:space="0" w:color="CCCCCC"/>
              <w:left w:val="single" w:sz="6" w:space="0" w:color="CCCCCC"/>
              <w:bottom w:val="single" w:sz="6" w:space="0" w:color="CCCCCC"/>
              <w:right w:val="single" w:sz="6" w:space="0" w:color="CCCCCC"/>
            </w:tcBorders>
          </w:tcPr>
          <w:p w14:paraId="49012E10" w14:textId="77777777" w:rsidR="00B35EC0" w:rsidRDefault="00B35EC0"/>
        </w:tc>
        <w:tc>
          <w:tcPr>
            <w:tcW w:w="2340" w:type="dxa"/>
            <w:tcBorders>
              <w:top w:val="single" w:sz="6" w:space="0" w:color="CCCCCC"/>
              <w:left w:val="single" w:sz="6" w:space="0" w:color="CCCCCC"/>
              <w:bottom w:val="single" w:sz="6" w:space="0" w:color="CCCCCC"/>
              <w:right w:val="single" w:sz="6" w:space="0" w:color="CCCCCC"/>
            </w:tcBorders>
          </w:tcPr>
          <w:p w14:paraId="4D50F80C" w14:textId="77777777" w:rsidR="00B35EC0" w:rsidRDefault="00B35EC0"/>
        </w:tc>
      </w:tr>
      <w:tr w:rsidR="00B35EC0" w14:paraId="16ADBA80" w14:textId="77777777">
        <w:tc>
          <w:tcPr>
            <w:tcW w:w="2340" w:type="dxa"/>
            <w:tcBorders>
              <w:top w:val="single" w:sz="6" w:space="0" w:color="CCCCCC"/>
              <w:left w:val="single" w:sz="6" w:space="0" w:color="CCCCCC"/>
              <w:bottom w:val="single" w:sz="6" w:space="0" w:color="CCCCCC"/>
              <w:right w:val="single" w:sz="6" w:space="0" w:color="CCCCCC"/>
            </w:tcBorders>
          </w:tcPr>
          <w:p w14:paraId="2327F480" w14:textId="77777777" w:rsidR="00B35EC0" w:rsidRDefault="00000000">
            <w:r>
              <w:rPr>
                <w:b/>
                <w:bCs/>
              </w:rPr>
              <w:t>Retail (Germany)</w:t>
            </w:r>
          </w:p>
        </w:tc>
        <w:tc>
          <w:tcPr>
            <w:tcW w:w="2340" w:type="dxa"/>
            <w:tcBorders>
              <w:top w:val="single" w:sz="6" w:space="0" w:color="CCCCCC"/>
              <w:left w:val="single" w:sz="6" w:space="0" w:color="CCCCCC"/>
              <w:bottom w:val="single" w:sz="6" w:space="0" w:color="CCCCCC"/>
              <w:right w:val="single" w:sz="6" w:space="0" w:color="CCCCCC"/>
            </w:tcBorders>
          </w:tcPr>
          <w:p w14:paraId="4EDB865A" w14:textId="77777777" w:rsidR="00B35EC0" w:rsidRDefault="00B35EC0"/>
        </w:tc>
        <w:tc>
          <w:tcPr>
            <w:tcW w:w="2340" w:type="dxa"/>
            <w:tcBorders>
              <w:top w:val="single" w:sz="6" w:space="0" w:color="CCCCCC"/>
              <w:left w:val="single" w:sz="6" w:space="0" w:color="CCCCCC"/>
              <w:bottom w:val="single" w:sz="6" w:space="0" w:color="CCCCCC"/>
              <w:right w:val="single" w:sz="6" w:space="0" w:color="CCCCCC"/>
            </w:tcBorders>
          </w:tcPr>
          <w:p w14:paraId="56BDF8D8" w14:textId="77777777" w:rsidR="00B35EC0" w:rsidRDefault="00B35EC0"/>
        </w:tc>
        <w:tc>
          <w:tcPr>
            <w:tcW w:w="2340" w:type="dxa"/>
            <w:tcBorders>
              <w:top w:val="single" w:sz="6" w:space="0" w:color="CCCCCC"/>
              <w:left w:val="single" w:sz="6" w:space="0" w:color="CCCCCC"/>
              <w:bottom w:val="single" w:sz="6" w:space="0" w:color="CCCCCC"/>
              <w:right w:val="single" w:sz="6" w:space="0" w:color="CCCCCC"/>
            </w:tcBorders>
          </w:tcPr>
          <w:p w14:paraId="5100619E" w14:textId="77777777" w:rsidR="00B35EC0" w:rsidRDefault="00B35EC0"/>
        </w:tc>
      </w:tr>
    </w:tbl>
    <w:p w14:paraId="21D87AA6" w14:textId="77777777" w:rsidR="00B35EC0" w:rsidRDefault="00000000">
      <w:r>
        <w:br w:type="page"/>
      </w:r>
    </w:p>
    <w:p w14:paraId="08E5E3FC" w14:textId="77777777" w:rsidR="00B35EC0" w:rsidRDefault="00000000">
      <w:pPr>
        <w:pStyle w:val="Heading3"/>
      </w:pPr>
      <w:r>
        <w:lastRenderedPageBreak/>
        <w:t>PART 2: Discussion Questions</w:t>
      </w:r>
    </w:p>
    <w:p w14:paraId="7667FE6E" w14:textId="7B8920CC" w:rsidR="00B35EC0" w:rsidRDefault="00000000">
      <w:pPr>
        <w:spacing w:after="200"/>
      </w:pPr>
      <w:r>
        <w:rPr>
          <w:i/>
          <w:iCs/>
        </w:rPr>
        <w:t xml:space="preserve">Answer the following </w:t>
      </w:r>
      <w:r w:rsidR="00A22379">
        <w:rPr>
          <w:i/>
          <w:iCs/>
        </w:rPr>
        <w:t>4</w:t>
      </w:r>
      <w:r>
        <w:rPr>
          <w:i/>
          <w:iCs/>
        </w:rPr>
        <w:t xml:space="preserve"> questions based on your FAR analysis and the case background. Refer to the presentation slides as indicated.</w:t>
      </w:r>
    </w:p>
    <w:p w14:paraId="0E98B188" w14:textId="77777777" w:rsidR="00B35EC0" w:rsidRDefault="00000000">
      <w:pPr>
        <w:pStyle w:val="Heading4"/>
      </w:pPr>
      <w:r>
        <w:t>Question 1: Which Entity Bears the Most Risk?</w:t>
      </w:r>
    </w:p>
    <w:p w14:paraId="12DF73B8" w14:textId="77777777" w:rsidR="00B35EC0" w:rsidRDefault="00000000">
      <w:pPr>
        <w:spacing w:after="50"/>
      </w:pPr>
      <w:r>
        <w:rPr>
          <w:i/>
          <w:iCs/>
          <w:color w:val="2E5C8A"/>
        </w:rPr>
        <w:t>Refer to Slide 30 (FAR Framework)</w:t>
      </w:r>
    </w:p>
    <w:p w14:paraId="21670DFF" w14:textId="77777777" w:rsidR="00B35EC0" w:rsidRDefault="00000000">
      <w:pPr>
        <w:spacing w:after="200"/>
      </w:pPr>
      <w:r>
        <w:t>Based on your FAR analysis, which entity assumes the most significant risks in this value chain? Explain why, and discuss how this should affect the profit allocation among the three entities.</w:t>
      </w:r>
    </w:p>
    <w:p w14:paraId="0990B34D" w14:textId="77777777" w:rsidR="00B35EC0" w:rsidRDefault="00000000">
      <w:pPr>
        <w:pStyle w:val="Heading4"/>
      </w:pPr>
      <w:r>
        <w:t>Question 2: Which Transfer Pricing Methods Should Be Used?</w:t>
      </w:r>
    </w:p>
    <w:p w14:paraId="0F3B4547" w14:textId="77777777" w:rsidR="00B35EC0" w:rsidRDefault="00000000">
      <w:pPr>
        <w:spacing w:after="50"/>
      </w:pPr>
      <w:r>
        <w:rPr>
          <w:i/>
          <w:iCs/>
          <w:color w:val="2E5C8A"/>
        </w:rPr>
        <w:t>Refer to Slides 32-36 (TP Methods)</w:t>
      </w:r>
    </w:p>
    <w:p w14:paraId="6FDD6006" w14:textId="77777777" w:rsidR="00B35EC0" w:rsidRDefault="00000000">
      <w:pPr>
        <w:spacing w:after="100"/>
      </w:pPr>
      <w:r>
        <w:t>For each of the following transactions, identify which transfer pricing method you would recommend and explain why:</w:t>
      </w:r>
    </w:p>
    <w:p w14:paraId="1AB9BEF7" w14:textId="77777777" w:rsidR="00B35EC0" w:rsidRDefault="00000000">
      <w:pPr>
        <w:pStyle w:val="ListParagraph"/>
        <w:numPr>
          <w:ilvl w:val="0"/>
          <w:numId w:val="3"/>
        </w:numPr>
      </w:pPr>
      <w:r>
        <w:t>Brand &amp; Design License (HQ → Manufacturer)</w:t>
      </w:r>
    </w:p>
    <w:p w14:paraId="62DFDC13" w14:textId="77777777" w:rsidR="00B35EC0" w:rsidRDefault="00000000">
      <w:pPr>
        <w:pStyle w:val="ListParagraph"/>
        <w:numPr>
          <w:ilvl w:val="0"/>
          <w:numId w:val="3"/>
        </w:numPr>
      </w:pPr>
      <w:r>
        <w:t>Sale of Luggage (Manufacturer → Retail)</w:t>
      </w:r>
    </w:p>
    <w:p w14:paraId="410AB6A5" w14:textId="77777777" w:rsidR="00B35EC0" w:rsidRDefault="00000000">
      <w:pPr>
        <w:pStyle w:val="ListParagraph"/>
        <w:numPr>
          <w:ilvl w:val="0"/>
          <w:numId w:val="3"/>
        </w:numPr>
        <w:spacing w:after="200"/>
      </w:pPr>
      <w:r>
        <w:t>Marketing &amp; IT Services (HQ → Retail)</w:t>
      </w:r>
    </w:p>
    <w:p w14:paraId="530DA771" w14:textId="77777777" w:rsidR="00B35EC0" w:rsidRDefault="00000000">
      <w:pPr>
        <w:pStyle w:val="Heading4"/>
      </w:pPr>
      <w:r>
        <w:t>Question 3: How Can Internal CUP Be Used?</w:t>
      </w:r>
    </w:p>
    <w:p w14:paraId="4DDD692D" w14:textId="77777777" w:rsidR="00B35EC0" w:rsidRDefault="00000000">
      <w:pPr>
        <w:spacing w:after="50"/>
      </w:pPr>
      <w:r>
        <w:rPr>
          <w:i/>
          <w:iCs/>
          <w:color w:val="2E5C8A"/>
        </w:rPr>
        <w:t>Refer to Slides 32-33 (CUP Method)</w:t>
      </w:r>
    </w:p>
    <w:p w14:paraId="4218B5FE" w14:textId="555FEB53" w:rsidR="00B35EC0" w:rsidRDefault="00000000">
      <w:pPr>
        <w:spacing w:after="200"/>
      </w:pPr>
      <w:r>
        <w:t>The manufacturer sells 10% of production to independent distributors and 90% to the related retail entity. Explain how the third-party sales can be used as an internal CUP.</w:t>
      </w:r>
    </w:p>
    <w:p w14:paraId="4C544F76" w14:textId="255860E8" w:rsidR="00B35EC0" w:rsidRDefault="00000000">
      <w:pPr>
        <w:pStyle w:val="Heading4"/>
      </w:pPr>
      <w:r>
        <w:t xml:space="preserve">Question </w:t>
      </w:r>
      <w:r w:rsidR="00102F9F">
        <w:t>4</w:t>
      </w:r>
      <w:r>
        <w:t>: What Documentation Is Required?</w:t>
      </w:r>
    </w:p>
    <w:p w14:paraId="5979436C" w14:textId="77777777" w:rsidR="00B35EC0" w:rsidRDefault="00000000">
      <w:pPr>
        <w:spacing w:after="50"/>
      </w:pPr>
      <w:r>
        <w:rPr>
          <w:i/>
          <w:iCs/>
          <w:color w:val="2E5C8A"/>
        </w:rPr>
        <w:t>Refer to Slides 11-13 (Documentation Requirements)</w:t>
      </w:r>
    </w:p>
    <w:p w14:paraId="1C1C731C" w14:textId="77777777" w:rsidR="00B35EC0" w:rsidRDefault="00000000">
      <w:pPr>
        <w:spacing w:after="200"/>
      </w:pPr>
      <w:r>
        <w:t>What transfer pricing documentation should Samsonite prepare to support its transfer prices? Specifically address: (1) records needed for the internal CUP, (2) documentation for the royalty, and (3) documentation for the services.</w:t>
      </w:r>
    </w:p>
    <w:p w14:paraId="0A78A9BB" w14:textId="77777777" w:rsidR="00B35EC0" w:rsidRDefault="00000000">
      <w:r>
        <w:br w:type="page"/>
      </w:r>
    </w:p>
    <w:p w14:paraId="52141305" w14:textId="77777777" w:rsidR="00B35EC0" w:rsidRDefault="00000000">
      <w:pPr>
        <w:pStyle w:val="Heading1"/>
      </w:pPr>
      <w:r>
        <w:lastRenderedPageBreak/>
        <w:t>APPENDIX: Quick Reference</w:t>
      </w:r>
    </w:p>
    <w:p w14:paraId="672A8779" w14:textId="77777777" w:rsidR="00B35EC0" w:rsidRDefault="00000000">
      <w:pPr>
        <w:pStyle w:val="Heading3"/>
      </w:pPr>
      <w:r>
        <w:t>The 5 Transfer Pricing Methods (See Slides 32-36)</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661"/>
        <w:gridCol w:w="2727"/>
        <w:gridCol w:w="2291"/>
        <w:gridCol w:w="2331"/>
      </w:tblGrid>
      <w:tr w:rsidR="00B35EC0" w14:paraId="6CBA390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1F4E78"/>
          </w:tcPr>
          <w:p w14:paraId="659C12EF" w14:textId="77777777" w:rsidR="00B35EC0" w:rsidRDefault="00000000">
            <w:pPr>
              <w:jc w:val="center"/>
            </w:pPr>
            <w:r>
              <w:rPr>
                <w:b/>
                <w:bCs/>
                <w:color w:val="FFFFFF"/>
              </w:rPr>
              <w:t>Method</w:t>
            </w:r>
          </w:p>
        </w:tc>
        <w:tc>
          <w:tcPr>
            <w:tcW w:w="0" w:type="auto"/>
            <w:tcBorders>
              <w:top w:val="single" w:sz="6" w:space="0" w:color="CCCCCC"/>
              <w:left w:val="single" w:sz="6" w:space="0" w:color="CCCCCC"/>
              <w:bottom w:val="single" w:sz="6" w:space="0" w:color="CCCCCC"/>
              <w:right w:val="single" w:sz="6" w:space="0" w:color="CCCCCC"/>
            </w:tcBorders>
            <w:shd w:val="clear" w:color="auto" w:fill="1F4E78"/>
          </w:tcPr>
          <w:p w14:paraId="2F8F3CD5" w14:textId="77777777" w:rsidR="00B35EC0" w:rsidRDefault="00000000">
            <w:pPr>
              <w:jc w:val="center"/>
            </w:pPr>
            <w:r>
              <w:rPr>
                <w:b/>
                <w:bCs/>
                <w:color w:val="FFFFFF"/>
              </w:rPr>
              <w:t>When to Use</w:t>
            </w:r>
          </w:p>
        </w:tc>
        <w:tc>
          <w:tcPr>
            <w:tcW w:w="0" w:type="auto"/>
            <w:tcBorders>
              <w:top w:val="single" w:sz="6" w:space="0" w:color="CCCCCC"/>
              <w:left w:val="single" w:sz="6" w:space="0" w:color="CCCCCC"/>
              <w:bottom w:val="single" w:sz="6" w:space="0" w:color="CCCCCC"/>
              <w:right w:val="single" w:sz="6" w:space="0" w:color="CCCCCC"/>
            </w:tcBorders>
            <w:shd w:val="clear" w:color="auto" w:fill="1F4E78"/>
          </w:tcPr>
          <w:p w14:paraId="251D8156" w14:textId="77777777" w:rsidR="00B35EC0" w:rsidRDefault="00000000">
            <w:pPr>
              <w:jc w:val="center"/>
            </w:pPr>
            <w:r>
              <w:rPr>
                <w:b/>
                <w:bCs/>
                <w:color w:val="FFFFFF"/>
              </w:rPr>
              <w:t>Strengths</w:t>
            </w:r>
          </w:p>
        </w:tc>
        <w:tc>
          <w:tcPr>
            <w:tcW w:w="0" w:type="auto"/>
            <w:tcBorders>
              <w:top w:val="single" w:sz="6" w:space="0" w:color="CCCCCC"/>
              <w:left w:val="single" w:sz="6" w:space="0" w:color="CCCCCC"/>
              <w:bottom w:val="single" w:sz="6" w:space="0" w:color="CCCCCC"/>
              <w:right w:val="single" w:sz="6" w:space="0" w:color="CCCCCC"/>
            </w:tcBorders>
            <w:shd w:val="clear" w:color="auto" w:fill="1F4E78"/>
          </w:tcPr>
          <w:p w14:paraId="77F77E6E" w14:textId="77777777" w:rsidR="00B35EC0" w:rsidRDefault="00000000">
            <w:pPr>
              <w:jc w:val="center"/>
            </w:pPr>
            <w:r>
              <w:rPr>
                <w:b/>
                <w:bCs/>
                <w:color w:val="FFFFFF"/>
              </w:rPr>
              <w:t>Weaknesses</w:t>
            </w:r>
          </w:p>
        </w:tc>
      </w:tr>
      <w:tr w:rsidR="00B35EC0" w14:paraId="7A1F52DF" w14:textId="77777777">
        <w:tc>
          <w:tcPr>
            <w:tcW w:w="0" w:type="auto"/>
            <w:tcBorders>
              <w:top w:val="single" w:sz="6" w:space="0" w:color="CCCCCC"/>
              <w:left w:val="single" w:sz="6" w:space="0" w:color="CCCCCC"/>
              <w:bottom w:val="single" w:sz="6" w:space="0" w:color="CCCCCC"/>
              <w:right w:val="single" w:sz="6" w:space="0" w:color="CCCCCC"/>
            </w:tcBorders>
          </w:tcPr>
          <w:p w14:paraId="3F2A66C8" w14:textId="77777777" w:rsidR="00B35EC0" w:rsidRDefault="00000000">
            <w:r>
              <w:rPr>
                <w:b/>
                <w:bCs/>
              </w:rPr>
              <w:t>CUP (Slide 32-33)</w:t>
            </w:r>
          </w:p>
        </w:tc>
        <w:tc>
          <w:tcPr>
            <w:tcW w:w="0" w:type="auto"/>
            <w:tcBorders>
              <w:top w:val="single" w:sz="6" w:space="0" w:color="CCCCCC"/>
              <w:left w:val="single" w:sz="6" w:space="0" w:color="CCCCCC"/>
              <w:bottom w:val="single" w:sz="6" w:space="0" w:color="CCCCCC"/>
              <w:right w:val="single" w:sz="6" w:space="0" w:color="CCCCCC"/>
            </w:tcBorders>
          </w:tcPr>
          <w:p w14:paraId="58B5EB22" w14:textId="77777777" w:rsidR="00B35EC0" w:rsidRDefault="00000000">
            <w:r>
              <w:t>Comparable transactions exist</w:t>
            </w:r>
          </w:p>
        </w:tc>
        <w:tc>
          <w:tcPr>
            <w:tcW w:w="0" w:type="auto"/>
            <w:tcBorders>
              <w:top w:val="single" w:sz="6" w:space="0" w:color="CCCCCC"/>
              <w:left w:val="single" w:sz="6" w:space="0" w:color="CCCCCC"/>
              <w:bottom w:val="single" w:sz="6" w:space="0" w:color="CCCCCC"/>
              <w:right w:val="single" w:sz="6" w:space="0" w:color="CCCCCC"/>
            </w:tcBorders>
          </w:tcPr>
          <w:p w14:paraId="560A6771" w14:textId="77777777" w:rsidR="00B35EC0" w:rsidRDefault="00000000">
            <w:r>
              <w:t xml:space="preserve">Most direct; strongest </w:t>
            </w:r>
            <w:proofErr w:type="spellStart"/>
            <w:r>
              <w:t>defense</w:t>
            </w:r>
            <w:proofErr w:type="spellEnd"/>
          </w:p>
        </w:tc>
        <w:tc>
          <w:tcPr>
            <w:tcW w:w="0" w:type="auto"/>
            <w:tcBorders>
              <w:top w:val="single" w:sz="6" w:space="0" w:color="CCCCCC"/>
              <w:left w:val="single" w:sz="6" w:space="0" w:color="CCCCCC"/>
              <w:bottom w:val="single" w:sz="6" w:space="0" w:color="CCCCCC"/>
              <w:right w:val="single" w:sz="6" w:space="0" w:color="CCCCCC"/>
            </w:tcBorders>
          </w:tcPr>
          <w:p w14:paraId="682F5010" w14:textId="77777777" w:rsidR="00B35EC0" w:rsidRDefault="00000000">
            <w:r>
              <w:t xml:space="preserve">Hard to find perfect </w:t>
            </w:r>
            <w:proofErr w:type="spellStart"/>
            <w:r>
              <w:t>comparables</w:t>
            </w:r>
            <w:proofErr w:type="spellEnd"/>
          </w:p>
        </w:tc>
      </w:tr>
      <w:tr w:rsidR="00B35EC0" w14:paraId="21D2E3CB" w14:textId="77777777">
        <w:tc>
          <w:tcPr>
            <w:tcW w:w="0" w:type="auto"/>
            <w:tcBorders>
              <w:top w:val="single" w:sz="6" w:space="0" w:color="CCCCCC"/>
              <w:left w:val="single" w:sz="6" w:space="0" w:color="CCCCCC"/>
              <w:bottom w:val="single" w:sz="6" w:space="0" w:color="CCCCCC"/>
              <w:right w:val="single" w:sz="6" w:space="0" w:color="CCCCCC"/>
            </w:tcBorders>
          </w:tcPr>
          <w:p w14:paraId="1EBB25C8" w14:textId="77777777" w:rsidR="00B35EC0" w:rsidRDefault="00000000">
            <w:r>
              <w:rPr>
                <w:b/>
                <w:bCs/>
              </w:rPr>
              <w:t>TNMM (Slide 34)</w:t>
            </w:r>
          </w:p>
        </w:tc>
        <w:tc>
          <w:tcPr>
            <w:tcW w:w="0" w:type="auto"/>
            <w:tcBorders>
              <w:top w:val="single" w:sz="6" w:space="0" w:color="CCCCCC"/>
              <w:left w:val="single" w:sz="6" w:space="0" w:color="CCCCCC"/>
              <w:bottom w:val="single" w:sz="6" w:space="0" w:color="CCCCCC"/>
              <w:right w:val="single" w:sz="6" w:space="0" w:color="CCCCCC"/>
            </w:tcBorders>
          </w:tcPr>
          <w:p w14:paraId="0CA52B5F" w14:textId="77777777" w:rsidR="00B35EC0" w:rsidRDefault="00000000">
            <w:r>
              <w:t xml:space="preserve">No direct </w:t>
            </w:r>
            <w:proofErr w:type="spellStart"/>
            <w:r>
              <w:t>comparables</w:t>
            </w:r>
            <w:proofErr w:type="spellEnd"/>
            <w:r>
              <w:t>; routine party</w:t>
            </w:r>
          </w:p>
        </w:tc>
        <w:tc>
          <w:tcPr>
            <w:tcW w:w="0" w:type="auto"/>
            <w:tcBorders>
              <w:top w:val="single" w:sz="6" w:space="0" w:color="CCCCCC"/>
              <w:left w:val="single" w:sz="6" w:space="0" w:color="CCCCCC"/>
              <w:bottom w:val="single" w:sz="6" w:space="0" w:color="CCCCCC"/>
              <w:right w:val="single" w:sz="6" w:space="0" w:color="CCCCCC"/>
            </w:tcBorders>
          </w:tcPr>
          <w:p w14:paraId="377D9A74" w14:textId="77777777" w:rsidR="00B35EC0" w:rsidRDefault="00000000">
            <w:r>
              <w:t xml:space="preserve">Easier to find </w:t>
            </w:r>
            <w:proofErr w:type="spellStart"/>
            <w:r>
              <w:t>comparables</w:t>
            </w:r>
            <w:proofErr w:type="spellEnd"/>
          </w:p>
        </w:tc>
        <w:tc>
          <w:tcPr>
            <w:tcW w:w="0" w:type="auto"/>
            <w:tcBorders>
              <w:top w:val="single" w:sz="6" w:space="0" w:color="CCCCCC"/>
              <w:left w:val="single" w:sz="6" w:space="0" w:color="CCCCCC"/>
              <w:bottom w:val="single" w:sz="6" w:space="0" w:color="CCCCCC"/>
              <w:right w:val="single" w:sz="6" w:space="0" w:color="CCCCCC"/>
            </w:tcBorders>
          </w:tcPr>
          <w:p w14:paraId="689B1DCB" w14:textId="77777777" w:rsidR="00B35EC0" w:rsidRDefault="00000000">
            <w:r>
              <w:t>Less direct than CUP</w:t>
            </w:r>
          </w:p>
        </w:tc>
      </w:tr>
      <w:tr w:rsidR="00B35EC0" w14:paraId="063E3445" w14:textId="77777777">
        <w:tc>
          <w:tcPr>
            <w:tcW w:w="0" w:type="auto"/>
            <w:tcBorders>
              <w:top w:val="single" w:sz="6" w:space="0" w:color="CCCCCC"/>
              <w:left w:val="single" w:sz="6" w:space="0" w:color="CCCCCC"/>
              <w:bottom w:val="single" w:sz="6" w:space="0" w:color="CCCCCC"/>
              <w:right w:val="single" w:sz="6" w:space="0" w:color="CCCCCC"/>
            </w:tcBorders>
          </w:tcPr>
          <w:p w14:paraId="32799D91" w14:textId="77777777" w:rsidR="00B35EC0" w:rsidRDefault="00000000">
            <w:r>
              <w:rPr>
                <w:b/>
                <w:bCs/>
              </w:rPr>
              <w:t>Cost Plus (Slide 35)</w:t>
            </w:r>
          </w:p>
        </w:tc>
        <w:tc>
          <w:tcPr>
            <w:tcW w:w="0" w:type="auto"/>
            <w:tcBorders>
              <w:top w:val="single" w:sz="6" w:space="0" w:color="CCCCCC"/>
              <w:left w:val="single" w:sz="6" w:space="0" w:color="CCCCCC"/>
              <w:bottom w:val="single" w:sz="6" w:space="0" w:color="CCCCCC"/>
              <w:right w:val="single" w:sz="6" w:space="0" w:color="CCCCCC"/>
            </w:tcBorders>
          </w:tcPr>
          <w:p w14:paraId="7E9E8DB4" w14:textId="77777777" w:rsidR="00B35EC0" w:rsidRDefault="00000000">
            <w:r>
              <w:t>Services or routine manufacturing</w:t>
            </w:r>
          </w:p>
        </w:tc>
        <w:tc>
          <w:tcPr>
            <w:tcW w:w="0" w:type="auto"/>
            <w:tcBorders>
              <w:top w:val="single" w:sz="6" w:space="0" w:color="CCCCCC"/>
              <w:left w:val="single" w:sz="6" w:space="0" w:color="CCCCCC"/>
              <w:bottom w:val="single" w:sz="6" w:space="0" w:color="CCCCCC"/>
              <w:right w:val="single" w:sz="6" w:space="0" w:color="CCCCCC"/>
            </w:tcBorders>
          </w:tcPr>
          <w:p w14:paraId="23AF1DEA" w14:textId="77777777" w:rsidR="00B35EC0" w:rsidRDefault="00000000">
            <w:r>
              <w:t>Simple; clear cost base</w:t>
            </w:r>
          </w:p>
        </w:tc>
        <w:tc>
          <w:tcPr>
            <w:tcW w:w="0" w:type="auto"/>
            <w:tcBorders>
              <w:top w:val="single" w:sz="6" w:space="0" w:color="CCCCCC"/>
              <w:left w:val="single" w:sz="6" w:space="0" w:color="CCCCCC"/>
              <w:bottom w:val="single" w:sz="6" w:space="0" w:color="CCCCCC"/>
              <w:right w:val="single" w:sz="6" w:space="0" w:color="CCCCCC"/>
            </w:tcBorders>
          </w:tcPr>
          <w:p w14:paraId="101B66AA" w14:textId="77777777" w:rsidR="00B35EC0" w:rsidRDefault="00000000">
            <w:r>
              <w:t>Doesn't capture market value</w:t>
            </w:r>
          </w:p>
        </w:tc>
      </w:tr>
      <w:tr w:rsidR="00B35EC0" w14:paraId="0A1D6D20" w14:textId="77777777">
        <w:tc>
          <w:tcPr>
            <w:tcW w:w="0" w:type="auto"/>
            <w:tcBorders>
              <w:top w:val="single" w:sz="6" w:space="0" w:color="CCCCCC"/>
              <w:left w:val="single" w:sz="6" w:space="0" w:color="CCCCCC"/>
              <w:bottom w:val="single" w:sz="6" w:space="0" w:color="CCCCCC"/>
              <w:right w:val="single" w:sz="6" w:space="0" w:color="CCCCCC"/>
            </w:tcBorders>
          </w:tcPr>
          <w:p w14:paraId="1B67EA80" w14:textId="77777777" w:rsidR="00B35EC0" w:rsidRDefault="00000000">
            <w:r>
              <w:rPr>
                <w:b/>
                <w:bCs/>
              </w:rPr>
              <w:t>Resale Price (Slide 34)</w:t>
            </w:r>
          </w:p>
        </w:tc>
        <w:tc>
          <w:tcPr>
            <w:tcW w:w="0" w:type="auto"/>
            <w:tcBorders>
              <w:top w:val="single" w:sz="6" w:space="0" w:color="CCCCCC"/>
              <w:left w:val="single" w:sz="6" w:space="0" w:color="CCCCCC"/>
              <w:bottom w:val="single" w:sz="6" w:space="0" w:color="CCCCCC"/>
              <w:right w:val="single" w:sz="6" w:space="0" w:color="CCCCCC"/>
            </w:tcBorders>
          </w:tcPr>
          <w:p w14:paraId="7C9BE326" w14:textId="77777777" w:rsidR="00B35EC0" w:rsidRDefault="00000000">
            <w:r>
              <w:t>Routine distributor/reseller</w:t>
            </w:r>
          </w:p>
        </w:tc>
        <w:tc>
          <w:tcPr>
            <w:tcW w:w="0" w:type="auto"/>
            <w:tcBorders>
              <w:top w:val="single" w:sz="6" w:space="0" w:color="CCCCCC"/>
              <w:left w:val="single" w:sz="6" w:space="0" w:color="CCCCCC"/>
              <w:bottom w:val="single" w:sz="6" w:space="0" w:color="CCCCCC"/>
              <w:right w:val="single" w:sz="6" w:space="0" w:color="CCCCCC"/>
            </w:tcBorders>
          </w:tcPr>
          <w:p w14:paraId="036620EB" w14:textId="77777777" w:rsidR="00B35EC0" w:rsidRDefault="00000000">
            <w:r>
              <w:t>Focuses on distribution margin</w:t>
            </w:r>
          </w:p>
        </w:tc>
        <w:tc>
          <w:tcPr>
            <w:tcW w:w="0" w:type="auto"/>
            <w:tcBorders>
              <w:top w:val="single" w:sz="6" w:space="0" w:color="CCCCCC"/>
              <w:left w:val="single" w:sz="6" w:space="0" w:color="CCCCCC"/>
              <w:bottom w:val="single" w:sz="6" w:space="0" w:color="CCCCCC"/>
              <w:right w:val="single" w:sz="6" w:space="0" w:color="CCCCCC"/>
            </w:tcBorders>
          </w:tcPr>
          <w:p w14:paraId="00099172" w14:textId="77777777" w:rsidR="00B35EC0" w:rsidRDefault="00000000">
            <w:r>
              <w:t>Need comparable distributors</w:t>
            </w:r>
          </w:p>
        </w:tc>
      </w:tr>
      <w:tr w:rsidR="00B35EC0" w14:paraId="28F37383" w14:textId="77777777">
        <w:tc>
          <w:tcPr>
            <w:tcW w:w="0" w:type="auto"/>
            <w:tcBorders>
              <w:top w:val="single" w:sz="6" w:space="0" w:color="CCCCCC"/>
              <w:left w:val="single" w:sz="6" w:space="0" w:color="CCCCCC"/>
              <w:bottom w:val="single" w:sz="6" w:space="0" w:color="CCCCCC"/>
              <w:right w:val="single" w:sz="6" w:space="0" w:color="CCCCCC"/>
            </w:tcBorders>
          </w:tcPr>
          <w:p w14:paraId="25F02CA2" w14:textId="77777777" w:rsidR="00B35EC0" w:rsidRDefault="00000000">
            <w:r>
              <w:rPr>
                <w:b/>
                <w:bCs/>
              </w:rPr>
              <w:t>Profit Split (Slide 36)</w:t>
            </w:r>
          </w:p>
        </w:tc>
        <w:tc>
          <w:tcPr>
            <w:tcW w:w="0" w:type="auto"/>
            <w:tcBorders>
              <w:top w:val="single" w:sz="6" w:space="0" w:color="CCCCCC"/>
              <w:left w:val="single" w:sz="6" w:space="0" w:color="CCCCCC"/>
              <w:bottom w:val="single" w:sz="6" w:space="0" w:color="CCCCCC"/>
              <w:right w:val="single" w:sz="6" w:space="0" w:color="CCCCCC"/>
            </w:tcBorders>
          </w:tcPr>
          <w:p w14:paraId="09ED1957" w14:textId="77777777" w:rsidR="00B35EC0" w:rsidRDefault="00000000">
            <w:r>
              <w:t>Both parties contribute unique value</w:t>
            </w:r>
          </w:p>
        </w:tc>
        <w:tc>
          <w:tcPr>
            <w:tcW w:w="0" w:type="auto"/>
            <w:tcBorders>
              <w:top w:val="single" w:sz="6" w:space="0" w:color="CCCCCC"/>
              <w:left w:val="single" w:sz="6" w:space="0" w:color="CCCCCC"/>
              <w:bottom w:val="single" w:sz="6" w:space="0" w:color="CCCCCC"/>
              <w:right w:val="single" w:sz="6" w:space="0" w:color="CCCCCC"/>
            </w:tcBorders>
          </w:tcPr>
          <w:p w14:paraId="67F1E1BD" w14:textId="77777777" w:rsidR="00B35EC0" w:rsidRDefault="00000000">
            <w:r>
              <w:t>Recognizes mutual contributions</w:t>
            </w:r>
          </w:p>
        </w:tc>
        <w:tc>
          <w:tcPr>
            <w:tcW w:w="0" w:type="auto"/>
            <w:tcBorders>
              <w:top w:val="single" w:sz="6" w:space="0" w:color="CCCCCC"/>
              <w:left w:val="single" w:sz="6" w:space="0" w:color="CCCCCC"/>
              <w:bottom w:val="single" w:sz="6" w:space="0" w:color="CCCCCC"/>
              <w:right w:val="single" w:sz="6" w:space="0" w:color="CCCCCC"/>
            </w:tcBorders>
          </w:tcPr>
          <w:p w14:paraId="456E0646" w14:textId="77777777" w:rsidR="00B35EC0" w:rsidRDefault="00000000">
            <w:r>
              <w:t>Complex; subjective allocation</w:t>
            </w:r>
          </w:p>
        </w:tc>
      </w:tr>
    </w:tbl>
    <w:p w14:paraId="1EA33864" w14:textId="4A8A7222" w:rsidR="00B35EC0" w:rsidRDefault="00B35EC0">
      <w:pPr>
        <w:spacing w:before="400" w:after="200"/>
        <w:jc w:val="center"/>
      </w:pPr>
    </w:p>
    <w:sectPr w:rsidR="00B35EC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2B9A"/>
    <w:multiLevelType w:val="hybridMultilevel"/>
    <w:tmpl w:val="0054E1B4"/>
    <w:lvl w:ilvl="0" w:tplc="50A67E80">
      <w:start w:val="1"/>
      <w:numFmt w:val="decimal"/>
      <w:lvlText w:val="%1."/>
      <w:lvlJc w:val="left"/>
      <w:pPr>
        <w:ind w:left="720" w:hanging="360"/>
      </w:pPr>
    </w:lvl>
    <w:lvl w:ilvl="1" w:tplc="8E829746">
      <w:numFmt w:val="decimal"/>
      <w:lvlText w:val=""/>
      <w:lvlJc w:val="left"/>
    </w:lvl>
    <w:lvl w:ilvl="2" w:tplc="FACAD8E6">
      <w:numFmt w:val="decimal"/>
      <w:lvlText w:val=""/>
      <w:lvlJc w:val="left"/>
    </w:lvl>
    <w:lvl w:ilvl="3" w:tplc="AAB8C334">
      <w:numFmt w:val="decimal"/>
      <w:lvlText w:val=""/>
      <w:lvlJc w:val="left"/>
    </w:lvl>
    <w:lvl w:ilvl="4" w:tplc="33B075DC">
      <w:numFmt w:val="decimal"/>
      <w:lvlText w:val=""/>
      <w:lvlJc w:val="left"/>
    </w:lvl>
    <w:lvl w:ilvl="5" w:tplc="E73A5904">
      <w:numFmt w:val="decimal"/>
      <w:lvlText w:val=""/>
      <w:lvlJc w:val="left"/>
    </w:lvl>
    <w:lvl w:ilvl="6" w:tplc="55F88048">
      <w:numFmt w:val="decimal"/>
      <w:lvlText w:val=""/>
      <w:lvlJc w:val="left"/>
    </w:lvl>
    <w:lvl w:ilvl="7" w:tplc="BB949EE8">
      <w:numFmt w:val="decimal"/>
      <w:lvlText w:val=""/>
      <w:lvlJc w:val="left"/>
    </w:lvl>
    <w:lvl w:ilvl="8" w:tplc="93C459DC">
      <w:numFmt w:val="decimal"/>
      <w:lvlText w:val=""/>
      <w:lvlJc w:val="left"/>
    </w:lvl>
  </w:abstractNum>
  <w:abstractNum w:abstractNumId="1" w15:restartNumberingAfterBreak="0">
    <w:nsid w:val="33B14162"/>
    <w:multiLevelType w:val="hybridMultilevel"/>
    <w:tmpl w:val="119CDC30"/>
    <w:lvl w:ilvl="0" w:tplc="A36CF8CE">
      <w:start w:val="1"/>
      <w:numFmt w:val="bullet"/>
      <w:lvlText w:val="•"/>
      <w:lvlJc w:val="left"/>
      <w:pPr>
        <w:ind w:left="720" w:hanging="360"/>
      </w:pPr>
    </w:lvl>
    <w:lvl w:ilvl="1" w:tplc="9E8A9154">
      <w:numFmt w:val="decimal"/>
      <w:lvlText w:val=""/>
      <w:lvlJc w:val="left"/>
    </w:lvl>
    <w:lvl w:ilvl="2" w:tplc="AE989BEE">
      <w:numFmt w:val="decimal"/>
      <w:lvlText w:val=""/>
      <w:lvlJc w:val="left"/>
    </w:lvl>
    <w:lvl w:ilvl="3" w:tplc="9BC0B28C">
      <w:numFmt w:val="decimal"/>
      <w:lvlText w:val=""/>
      <w:lvlJc w:val="left"/>
    </w:lvl>
    <w:lvl w:ilvl="4" w:tplc="538EDF4E">
      <w:numFmt w:val="decimal"/>
      <w:lvlText w:val=""/>
      <w:lvlJc w:val="left"/>
    </w:lvl>
    <w:lvl w:ilvl="5" w:tplc="59185A26">
      <w:numFmt w:val="decimal"/>
      <w:lvlText w:val=""/>
      <w:lvlJc w:val="left"/>
    </w:lvl>
    <w:lvl w:ilvl="6" w:tplc="DA64B81A">
      <w:numFmt w:val="decimal"/>
      <w:lvlText w:val=""/>
      <w:lvlJc w:val="left"/>
    </w:lvl>
    <w:lvl w:ilvl="7" w:tplc="65DE6F60">
      <w:numFmt w:val="decimal"/>
      <w:lvlText w:val=""/>
      <w:lvlJc w:val="left"/>
    </w:lvl>
    <w:lvl w:ilvl="8" w:tplc="53B4782A">
      <w:numFmt w:val="decimal"/>
      <w:lvlText w:val=""/>
      <w:lvlJc w:val="left"/>
    </w:lvl>
  </w:abstractNum>
  <w:abstractNum w:abstractNumId="2" w15:restartNumberingAfterBreak="0">
    <w:nsid w:val="582B25E9"/>
    <w:multiLevelType w:val="hybridMultilevel"/>
    <w:tmpl w:val="4778208C"/>
    <w:lvl w:ilvl="0" w:tplc="FD7ABF2C">
      <w:start w:val="1"/>
      <w:numFmt w:val="bullet"/>
      <w:lvlText w:val="●"/>
      <w:lvlJc w:val="left"/>
      <w:pPr>
        <w:ind w:left="720" w:hanging="360"/>
      </w:pPr>
    </w:lvl>
    <w:lvl w:ilvl="1" w:tplc="8AA68C4E">
      <w:start w:val="1"/>
      <w:numFmt w:val="bullet"/>
      <w:lvlText w:val="○"/>
      <w:lvlJc w:val="left"/>
      <w:pPr>
        <w:ind w:left="1440" w:hanging="360"/>
      </w:pPr>
    </w:lvl>
    <w:lvl w:ilvl="2" w:tplc="08A60D58">
      <w:start w:val="1"/>
      <w:numFmt w:val="bullet"/>
      <w:lvlText w:val="■"/>
      <w:lvlJc w:val="left"/>
      <w:pPr>
        <w:ind w:left="2160" w:hanging="360"/>
      </w:pPr>
    </w:lvl>
    <w:lvl w:ilvl="3" w:tplc="45F4253A">
      <w:start w:val="1"/>
      <w:numFmt w:val="bullet"/>
      <w:lvlText w:val="●"/>
      <w:lvlJc w:val="left"/>
      <w:pPr>
        <w:ind w:left="2880" w:hanging="360"/>
      </w:pPr>
    </w:lvl>
    <w:lvl w:ilvl="4" w:tplc="ABDE07B8">
      <w:start w:val="1"/>
      <w:numFmt w:val="bullet"/>
      <w:lvlText w:val="○"/>
      <w:lvlJc w:val="left"/>
      <w:pPr>
        <w:ind w:left="3600" w:hanging="360"/>
      </w:pPr>
    </w:lvl>
    <w:lvl w:ilvl="5" w:tplc="9168C538">
      <w:start w:val="1"/>
      <w:numFmt w:val="bullet"/>
      <w:lvlText w:val="■"/>
      <w:lvlJc w:val="left"/>
      <w:pPr>
        <w:ind w:left="4320" w:hanging="360"/>
      </w:pPr>
    </w:lvl>
    <w:lvl w:ilvl="6" w:tplc="9DC881D4">
      <w:start w:val="1"/>
      <w:numFmt w:val="bullet"/>
      <w:lvlText w:val="●"/>
      <w:lvlJc w:val="left"/>
      <w:pPr>
        <w:ind w:left="5040" w:hanging="360"/>
      </w:pPr>
    </w:lvl>
    <w:lvl w:ilvl="7" w:tplc="120CB496">
      <w:start w:val="1"/>
      <w:numFmt w:val="bullet"/>
      <w:lvlText w:val="●"/>
      <w:lvlJc w:val="left"/>
      <w:pPr>
        <w:ind w:left="5760" w:hanging="360"/>
      </w:pPr>
    </w:lvl>
    <w:lvl w:ilvl="8" w:tplc="5DDAC748">
      <w:start w:val="1"/>
      <w:numFmt w:val="bullet"/>
      <w:lvlText w:val="●"/>
      <w:lvlJc w:val="left"/>
      <w:pPr>
        <w:ind w:left="6480" w:hanging="360"/>
      </w:pPr>
    </w:lvl>
  </w:abstractNum>
  <w:num w:numId="1" w16cid:durableId="1481534343">
    <w:abstractNumId w:val="2"/>
    <w:lvlOverride w:ilvl="0">
      <w:startOverride w:val="1"/>
    </w:lvlOverride>
  </w:num>
  <w:num w:numId="2" w16cid:durableId="1470635142">
    <w:abstractNumId w:val="1"/>
    <w:lvlOverride w:ilvl="0">
      <w:startOverride w:val="1"/>
    </w:lvlOverride>
  </w:num>
  <w:num w:numId="3" w16cid:durableId="14442316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EC0"/>
    <w:rsid w:val="0009756F"/>
    <w:rsid w:val="00102F9F"/>
    <w:rsid w:val="00A22379"/>
    <w:rsid w:val="00B35EC0"/>
    <w:rsid w:val="00D933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F0EE"/>
  <w15:docId w15:val="{201A8440-0F6E-4AC5-8FEE-36B0F0D23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8"/>
      <w:sz w:val="32"/>
      <w:szCs w:val="32"/>
    </w:rPr>
  </w:style>
  <w:style w:type="paragraph" w:styleId="Heading2">
    <w:name w:val="heading 2"/>
    <w:uiPriority w:val="9"/>
    <w:unhideWhenUsed/>
    <w:qFormat/>
    <w:pPr>
      <w:spacing w:before="240" w:after="120"/>
      <w:outlineLvl w:val="1"/>
    </w:pPr>
    <w:rPr>
      <w:b/>
      <w:bCs/>
      <w:color w:val="2E5C8A"/>
      <w:sz w:val="28"/>
      <w:szCs w:val="28"/>
    </w:rPr>
  </w:style>
  <w:style w:type="paragraph" w:styleId="Heading3">
    <w:name w:val="heading 3"/>
    <w:uiPriority w:val="9"/>
    <w:unhideWhenUsed/>
    <w:qFormat/>
    <w:pPr>
      <w:spacing w:before="180" w:after="100"/>
      <w:outlineLvl w:val="2"/>
    </w:pPr>
    <w:rPr>
      <w:b/>
      <w:bCs/>
      <w:color w:val="1F4E78"/>
      <w:sz w:val="24"/>
      <w:szCs w:val="24"/>
    </w:rPr>
  </w:style>
  <w:style w:type="paragraph" w:styleId="Heading4">
    <w:name w:val="heading 4"/>
    <w:uiPriority w:val="9"/>
    <w:unhideWhenUsed/>
    <w:qFormat/>
    <w:pPr>
      <w:spacing w:before="120" w:after="80"/>
      <w:outlineLvl w:val="3"/>
    </w:pPr>
    <w:rPr>
      <w:b/>
      <w:bCs/>
      <w:color w:val="2E5C8A"/>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1312</Words>
  <Characters>8175</Characters>
  <Application>Microsoft Office Word</Application>
  <DocSecurity>0</DocSecurity>
  <Lines>240</Lines>
  <Paragraphs>172</Paragraphs>
  <ScaleCrop>false</ScaleCrop>
  <Company/>
  <LinksUpToDate>false</LinksUpToDate>
  <CharactersWithSpaces>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Adrien Dallas (LU)</cp:lastModifiedBy>
  <cp:revision>4</cp:revision>
  <dcterms:created xsi:type="dcterms:W3CDTF">2025-12-03T20:20:00Z</dcterms:created>
  <dcterms:modified xsi:type="dcterms:W3CDTF">2025-12-03T20:47:00Z</dcterms:modified>
</cp:coreProperties>
</file>