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b/>
          <w:bCs/>
          <w:color w:val="1F4E79"/>
          <w:sz w:val="56"/>
          <w:szCs w:val="56"/>
        </w:rPr>
        <w:t xml:space="preserve">BALANCED SCORECARD</w:t>
      </w:r>
    </w:p>
    <w:p>
      <w:pPr>
        <w:spacing w:before="0" w:after="160"/>
        <w:jc w:val="center"/>
      </w:pPr>
      <w:r>
        <w:rPr>
          <w:b w:val="false"/>
          <w:bCs w:val="false"/>
          <w:color w:val="2E75B6"/>
          <w:sz w:val="32"/>
          <w:szCs w:val="32"/>
        </w:rPr>
        <w:t xml:space="preserve">Mapa Estratégico e Indicadores de Desempenho</w:t>
      </w:r>
    </w:p>
    <w:p>
      <w:pPr>
        <w:spacing w:before="0" w:after="80"/>
        <w:jc w:val="center"/>
      </w:pPr>
      <w:r>
        <w:rPr>
          <w:b/>
          <w:bCs/>
          <w:color w:val="1A1A1A"/>
          <w:sz w:val="28"/>
          <w:szCs w:val="28"/>
        </w:rPr>
        <w:t xml:space="preserve">TechSolve Sistemas e Consultoria S/A</w:t>
      </w:r>
    </w:p>
    <w:p>
      <w:pPr>
        <w:spacing w:before="0" w:after="600"/>
        <w:jc w:val="center"/>
      </w:pPr>
      <w:r>
        <w:rPr>
          <w:color w:val="666666"/>
          <w:sz w:val="22"/>
          <w:szCs w:val="22"/>
        </w:rPr>
        <w:t xml:space="preserve">Ciclo Estratégico 2025 – 2027</w:t>
      </w:r>
    </w:p>
    <w:p>
      <w:pPr>
        <w:pBdr>
          <w:bottom w:val="single" w:color="2E75B6" w:sz="12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color w:val="888888"/>
          <w:sz w:val="18"/>
          <w:szCs w:val="18"/>
        </w:rPr>
        <w:t xml:space="preserve">Versão 1.0  |  Classificação: Confidencial</w:t>
      </w:r>
    </w:p>
    <w:p>
      <w:r>
        <w:br w:type="pag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1. Sobre a Empresa</w:t>
      </w:r>
    </w:p>
    <w:p>
      <w:pPr>
        <w:spacing w:before="120" w:after="100"/>
      </w:pPr>
      <w:r>
        <w:rPr>
          <w:b w:val="false"/>
          <w:bCs w:val="false"/>
          <w:color w:val="1A1A1A"/>
          <w:sz w:val="20"/>
          <w:szCs w:val="20"/>
        </w:rPr>
        <w:t xml:space="preserve">A TechSolve Sistemas e Consultoria S/A é uma empresa brasileira de médio porte fundada em 2011, com sede em São Paulo (SP) e operações em Belo Horizonte, Curitiba e Porto Alegre. Atua nos segmentos de desenvolvimento de software sob medida, implantação de ERPs e consultoria em transformação digital para clientes nos setores industrial, financeiro e de saúde.</w:t>
      </w:r>
    </w:p>
    <w:p>
      <w:pPr>
        <w:spacing w:before="60" w:after="120"/>
      </w:pPr>
      <w:r>
        <w:rPr>
          <w:b w:val="false"/>
          <w:bCs w:val="false"/>
          <w:color w:val="1A1A1A"/>
          <w:sz w:val="20"/>
          <w:szCs w:val="20"/>
        </w:rPr>
        <w:t xml:space="preserve">Com aproximadamente 340 colaboradores e receita anual de R$ 48 milhões (2024), a empresa possui uma carteira ativa de 120 clientes e taxa de retenção histórica de 87%. O presente Balanced Scorecard foi estruturado para suportar a execução da estratégia 2025–2027, cujo tema central é a escalabilidade operacional com preservação da qualidade.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Colaboradores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Receita (2024)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Clientes Ativos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Tecnologia / SaaS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~340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R$ 48 MM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2. Missão, Visão e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Entregar soluções tecnológicas que simplificam operações e geram valor mensurável para nossos clientes.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Visão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 referência nacional em qualidade de entrega e satisfação de clientes no segmento de software B2B até 2027.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Excelência técnica · Transparência · Foco no cliente · Melhoria contínua · Colaboração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3. Tema Estratégico 2025–2027</w:t>
      </w:r>
    </w:p>
    <w:p>
      <w:pPr>
        <w:spacing w:before="120" w:after="80"/>
      </w:pPr>
      <w:r>
        <w:rPr>
          <w:b w:val="false"/>
          <w:bCs w:val="false"/>
          <w:color w:val="1A1A1A"/>
          <w:sz w:val="20"/>
          <w:szCs w:val="20"/>
        </w:rPr>
        <w:t xml:space="preserve">"Escalar com Qualidade": crescer receita e base de clientes sem degradar a eficiência operacional nem a satisfação dos clientes atuais. Para isso, o BSC foi estruturado em 4 perspectivas com relações causais explícitas entre os 16 objetivos estratégicos.</w:t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4. Estrutura do BSC — 4 Perspectivas</w:t>
      </w:r>
    </w:p>
    <w:p>
      <w:pPr>
        <w:spacing w:before="100" w:after="160"/>
      </w:pPr>
      <w:r>
        <w:rPr>
          <w:b w:val="false"/>
          <w:bCs w:val="false"/>
          <w:color w:val="1A1A1A"/>
          <w:sz w:val="20"/>
          <w:szCs w:val="20"/>
        </w:rPr>
        <w:t xml:space="preserve">A lógica causal do BSC segue a cadeia clássica de Kaplan &amp; Norton: investimentos em Aprendizado &amp; Crescimento geram capacidade operacional, que se converte em qualidade de entrega (Processos), que por sua vez impacta a percepção e fidelidade dos Clientes, resultando em desempenho Financeiro sustentável.</w:t>
      </w:r>
    </w:p>
    <w:p>
      <w:pPr>
        <w:spacing w:before="280" w:after="100"/>
      </w:pPr>
      <w:r>
        <w:rPr>
          <w:b/>
          <w:bCs/>
          <w:color w:val="B7950B"/>
          <w:sz w:val="24"/>
          <w:szCs w:val="24"/>
        </w:rPr>
        <w:t xml:space="preserve">💰  Perspectiva Financeira</w:t>
      </w:r>
    </w:p>
    <w:p>
      <w:pPr>
        <w:spacing w:before="60" w:after="120"/>
      </w:pPr>
      <w:r>
        <w:rPr>
          <w:b w:val="false"/>
          <w:bCs w:val="false"/>
          <w:color w:val="1A1A1A"/>
          <w:sz w:val="20"/>
          <w:szCs w:val="20"/>
        </w:rPr>
        <w:t xml:space="preserve">Objetivo macro: Maximizar a geração de valor para os acionistas com crescimento de receita rentável e melhora consistente das margens operacionais.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560"/>
        <w:gridCol w:w="1400"/>
        <w:gridCol w:w="2200"/>
        <w:gridCol w:w="14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(KPI)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Crescimento de Receita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Receita Total (R$ MM)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R$ 55 MM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R$ 72 MM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Expansão para novos segmentos verticais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Melhora da Margem Operacional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Margem EBITDA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Programa de eficiência de custos e automação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Contabilidade / ERP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Diversificação de Receita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Receita Recorrente (MRR)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Migração de projetos para modelo SaaS/assinatura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CRM / Faturamento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Redução de Inadimplência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Taxa de inadimplência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3,5%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2,0%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Política de crédito e cobrança estruturada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 Financeiro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00"/>
      </w:pPr>
      <w:r>
        <w:rPr>
          <w:b/>
          <w:bCs/>
          <w:color w:val="1E8449"/>
          <w:sz w:val="24"/>
          <w:szCs w:val="24"/>
        </w:rPr>
        <w:t xml:space="preserve">👥  Perspectiva de Clientes</w:t>
      </w:r>
    </w:p>
    <w:p>
      <w:pPr>
        <w:spacing w:before="60" w:after="120"/>
      </w:pPr>
      <w:r>
        <w:rPr>
          <w:b w:val="false"/>
          <w:bCs w:val="false"/>
          <w:color w:val="1A1A1A"/>
          <w:sz w:val="20"/>
          <w:szCs w:val="20"/>
        </w:rPr>
        <w:t xml:space="preserve">Objetivo macro: Aumentar o valor percebido, a satisfação e a fidelidade dos clientes, expandindo o share of wallet e construindo relacionamentos de longo prazo.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560"/>
        <w:gridCol w:w="1400"/>
        <w:gridCol w:w="2200"/>
        <w:gridCol w:w="14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(KPI)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Maximizar Satisfação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NPS (0–100)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Programa de Sucesso do Cliente (CS)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Plataforma de NPS (Medallia)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Aumentar Retenção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Taxa de Churn Anual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Plano de retenção proativa para contas em risco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CRM (Salesforce)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Expandir Wallet Share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Receita Média por Cliente (R$k)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R$ 400k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R$ 600k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Programa de cross-sell e upsell estruturado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CRM / ERP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Reduzir Tempo de Resolução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MTTR – Suporte (horas)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8h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4h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 de suporte tier 2 + base de conhecimento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 de Tickets (Zendesk)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00"/>
      </w:pPr>
      <w:r>
        <w:rPr>
          <w:b/>
          <w:bCs/>
          <w:color w:val="6C3483"/>
          <w:sz w:val="24"/>
          <w:szCs w:val="24"/>
        </w:rPr>
        <w:t xml:space="preserve">⚙️  Perspectiva de Processos Internos</w:t>
      </w:r>
    </w:p>
    <w:p>
      <w:pPr>
        <w:spacing w:before="60" w:after="120"/>
      </w:pPr>
      <w:r>
        <w:rPr>
          <w:b w:val="false"/>
          <w:bCs w:val="false"/>
          <w:color w:val="1A1A1A"/>
          <w:sz w:val="20"/>
          <w:szCs w:val="20"/>
        </w:rPr>
        <w:t xml:space="preserve">Objetivo macro: Aperfeiçoar os processos críticos de entrega de software e suporte para aumentar produtividade, reduzir desperdícios e garantir qualidade consistente.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560"/>
        <w:gridCol w:w="1400"/>
        <w:gridCol w:w="2200"/>
        <w:gridCol w:w="14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(KPI)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Aumentar Eficiência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Velocity média (story points/sprint)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72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 pts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Adoção de Scrum/Kanban avançado com métricas de fluxo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Jira / Azure DevOps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Reduzir Taxa de Retrabalho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de tarefas reabertas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Implementação de Definition of Done rigorosa + code review obrigatório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Jira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Melhorar Pontualidade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On-time Delivery Rate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Planejamento de capacidade trimestral + buffer de risco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Jira / PowerBI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Aumentar Cobertura de Testes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Cobertura de testes automatizados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Programa de Quality Engineering e TDD/BDD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SonarQube / GitHub Actions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00"/>
      </w:pPr>
      <w:r>
        <w:rPr>
          <w:b/>
          <w:bCs/>
          <w:color w:val="1A5276"/>
          <w:sz w:val="24"/>
          <w:szCs w:val="24"/>
        </w:rPr>
        <w:t xml:space="preserve">📚  Perspectiva de Aprendizado &amp; Crescimento</w:t>
      </w:r>
    </w:p>
    <w:p>
      <w:pPr>
        <w:spacing w:before="60" w:after="120"/>
      </w:pPr>
      <w:r>
        <w:rPr>
          <w:b w:val="false"/>
          <w:bCs w:val="false"/>
          <w:color w:val="1A1A1A"/>
          <w:sz w:val="20"/>
          <w:szCs w:val="20"/>
        </w:rPr>
        <w:t xml:space="preserve">Objetivo macro: Desenvolver as competências, a infraestrutura tecnológica e a cultura organizacional necessárias para sustentar a estratégia de crescimento com qualidade.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560"/>
        <w:gridCol w:w="1400"/>
        <w:gridCol w:w="2200"/>
        <w:gridCol w:w="14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Estratégico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(KPI)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2027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 de Dado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Desenvolver Competências Técnicas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Horas de treinamento/colaborador/ano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Academia TechSolve: trilhas certificadas por stack tecnológica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LMS (Moodle / Udemy Business)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Modernizar Infraestrutura Tecnológica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Investimento em TI (% da Receita)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Migração para cloud-native (AWS/Azure) e plataforma DevSecOps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/ Contabilidade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Aumentar Engajamento de Colaboradores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eNPS (Colaboradores: -100 a +100)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Programa de reconhecimento, PDI e cultura de feedback contínuo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Pesquisa de Clima (anual)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Reduzir Turnover Voluntário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Taxa de Turnover Voluntário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Plano de carreira estruturado + pacote de benefícios competitivo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 de RH (SAP SuccessFactors)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5. Mapa Estratégico — Relações Causais</w:t>
      </w:r>
    </w:p>
    <w:p>
      <w:pPr>
        <w:spacing w:before="100" w:after="160"/>
      </w:pPr>
      <w:r>
        <w:rPr>
          <w:b w:val="false"/>
          <w:bCs w:val="false"/>
          <w:color w:val="1A1A1A"/>
          <w:sz w:val="20"/>
          <w:szCs w:val="20"/>
        </w:rPr>
        <w:t xml:space="preserve">O mapa abaixo representa as relações causais entre os objetivos estratégicos das 4 perspectivas. As setas indicam a direção do impacto: um objetivo que melhora em uma perspectiva inferior propaga efeitos positivos para as perspectivas superiores. No projeto de Modelagem Causal Quantificável, cada seta receberá um coeficiente β estimado por SEM (Structural Equation Modeling).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Aprendizado &amp; Crescimento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Processos Internos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A1 → Horas de Treinamento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P1 → Eficiência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C1 → Satisfação do Cliente (NPS)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F1 → Crescimento de Receita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A2 → Investimento em 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P2 → Taxa de Retrabalho 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C2 → Retenção de Clientes ↑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F2 → Margem EBITDA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A3 → Engajamento (eNPS)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P3 → Pontualidade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C3 → Wallet Share ↑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F3 → Receita Recorrente (MRR)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A4 → Turnover Voluntário 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P4 → Cobertura de Testes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C4 → Tempo de Resolução 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F4 → Inadimplência ↓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↓  impacta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↓  impacta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↓  impacta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(resultado final)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6. Relações Causais Explícitas (Arestas do Grafo)</w:t>
      </w:r>
    </w:p>
    <w:p>
      <w:pPr>
        <w:spacing w:before="100" w:after="140"/>
      </w:pPr>
      <w:r>
        <w:rPr>
          <w:b w:val="false"/>
          <w:bCs w:val="false"/>
          <w:color w:val="1A1A1A"/>
          <w:sz w:val="20"/>
          <w:szCs w:val="20"/>
        </w:rPr>
        <w:t xml:space="preserve">As relações abaixo definem as arestas do DAG (Directed Acyclic Graph) que será estimado pelo modelo SEM. Cada par (origem → destino) representa uma hipótese causal a ser validada estatisticamente com os dados históricos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77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Hipótese Causal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Mais treinamento → maior eficiência de entrega das equipes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Colaboradores mais treinados cometem menos erros → menos retrabalho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Melhor infraestrutura → maior produtividade e velocidade de entrega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Investimento em DevSecOps → maior cobertura de testes automatizados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Equipes mais engajadas têm maior atenção à qualidade → menos retrabalho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Maior engajamento → menor propensão ao turnover voluntário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Menor turnover preserva o conhecimento técnico → mantém eficiência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Entregas mais eficientes e pontuais → maior satisfação do cliente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Menos retrabalho significa menos bugs em produção → NPS mais alto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Entregas no prazo são fator crítico de satisfação dos clientes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Maior cobertura de testes → menos incidentes em produção → NPS maior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satisfeitos renovam contratos → menor churn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Satisfação gera abertura para upsell e cross-sell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Retenção de clientes sustenta base de receita recorrente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Expansão do wallet share aumenta receita por cliente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Maior eficiência operacional reduz custo de entrega → melhora margem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Crescimento de receita com custos controlados expande EBITDA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Margens saudáveis viabilizam investimento no modelo SaaS/MRR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7. Fontes de Dados e Frequência de Coleta</w:t>
      </w:r>
    </w:p>
    <w:p>
      <w:pPr>
        <w:spacing w:before="100" w:after="140"/>
      </w:pPr>
      <w:r>
        <w:rPr>
          <w:b w:val="false"/>
          <w:bCs w:val="false"/>
          <w:color w:val="1A1A1A"/>
          <w:sz w:val="20"/>
          <w:szCs w:val="20"/>
        </w:rPr>
        <w:t xml:space="preserve">Para alimentar o modelo SEM com dados reais, cada KPI deve ser extraído dos sistemas abaixo na frequência indicada. O dataset final terá uma linha por período (trimestre), com uma coluna para cada variável do BSC.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2200"/>
        <w:gridCol w:w="1800"/>
        <w:gridCol w:w="1460"/>
        <w:gridCol w:w="12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 de Origem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 Exata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Horas de Treinamento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LMS (Moodle / Udemy Business)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Total horas / nº colaboradores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Investimento em TI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ERP Financeiro (TOTVS)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Soma NF de TI / Receita Líquida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Engajamento (eNPS)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Pesquisa de Clima (Google Forms)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eNPS calculado da pesquisa semestral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Turnover Voluntário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Sistema RH (SAP SuccessFactors)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Desligamentos voluntários / headcount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Eficiência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Jira / Azure DevOps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Story points entregues / planejados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Engenharia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Taxa de Retrabalho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Jira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Issues reabertas / total fechadas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Qualidade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Pontualidade de Entrega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Jira / PowerBI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Sprints on-time / total sprints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P4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Cobertura de Testes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SonarQube / GitHub Actions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Linhas cobertas por testes automáticos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Engenharia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Satisfação (NPS)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Medallia / Typeform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NPS ponderado por ARR do cliente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Taxa de Churn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 (Salesforce)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1 - (clientes fim / clientes início)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Wallet Share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 / ERP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Receita média por cliente ativo (R$k)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C4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Tempo de Resolução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Zendesk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MTTR médio de tickets P1+P2 (horas)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Suporte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Receita Total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ERP Financeiro (TOTVS)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Receita Líquida acumulada (R$ MM)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Margem EBITDA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Contabilidade / ERP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(Receita - Custos Operac.) / Receita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Receita Recorrente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 / Faturamento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MRR acumulado / Receita Total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F4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Inadimplência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Sistema Financeiro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Valor em atraso &gt; 30d / Receita (%)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Financeiro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b/>
          <w:bCs/>
          <w:color w:val="2E75B6"/>
          <w:sz w:val="28"/>
          <w:szCs w:val="28"/>
        </w:rPr>
        <w:t xml:space="preserve">8. Próximos Passos — Modelagem Causal Quantificável</w:t>
      </w:r>
    </w:p>
    <w:p>
      <w:pPr>
        <w:spacing w:before="100" w:after="100"/>
      </w:pPr>
      <w:r>
        <w:rPr>
          <w:b w:val="false"/>
          <w:bCs w:val="false"/>
          <w:color w:val="1A1A1A"/>
          <w:sz w:val="20"/>
          <w:szCs w:val="20"/>
        </w:rPr>
        <w:t xml:space="preserve">Com o BSC estruturado e as fontes de dados mapeadas, o projeto segue para a etapa de quantificação das relações causais via Structural Equation Modeling (SEM):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Extração e consolidação histórica dos KPIs (mínimo 8 trimestres = 2 anos de dados)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Limpeza e padronização do dataset (z-score por variável)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Especificação do modelo SEM em semopy com a estrutura causal definida no item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Estimação dos coeficientes β por Maximum Likelihood (MLE)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Validação do ajuste do modelo: CFI ≥ 0,90 | RMSEA ≤ 0,08 | SRMR ≤ 0,08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Construção do grafo direcionado com pesos estimados (NetworkX + matplotlib)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Análise de efeitos indiretos: impacto total de A1 em F1 via múltiplos caminhos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Simulação de cenários: "se aumentarmos horas de treinamento em 20%, qual o impacto projetado na margem?"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  <w:sz w:val="20"/>
          <w:szCs w:val="20"/>
        </w:rPr>
        <w:t xml:space="preserve">Atualização trimestral automática do modelo com novos dados (pipeline de dados)</w:t>
      </w:r>
    </w:p>
    <w:p>
      <w:pPr>
        <w:spacing w:before="160" w:after="0"/>
      </w:pPr>
      <w:r>
        <w:t xml:space="preserve"/>
      </w:r>
    </w:p>
    <w:p>
      <w:pPr>
        <w:spacing w:before="120" w:after="60"/>
      </w:pPr>
      <w:r>
        <w:rPr>
          <w:b w:val="false"/>
          <w:bCs w:val="false"/>
          <w:color w:val="1A1A1A"/>
          <w:sz w:val="20"/>
          <w:szCs w:val="20"/>
        </w:rPr>
        <w:t xml:space="preserve">Este documento deverá ser revisado e aprovado pelo Comitê de Estratégia antes do início da etapa de coleta de dados históricos.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20" w:after="0"/>
    </w:pPr>
    <w:r>
      <w:rPr>
        <w:color w:val="888888"/>
        <w:sz w:val="16"/>
        <w:szCs w:val="16"/>
      </w:rPr>
      <w:t xml:space="preserve">Documento gerado para fins estratégicos internos.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before="0" w:after="120"/>
    </w:pPr>
    <w:r>
      <w:rPr>
        <w:b/>
        <w:bCs/>
        <w:color w:val="1F4E79"/>
        <w:sz w:val="18"/>
        <w:szCs w:val="18"/>
      </w:rPr>
      <w:t xml:space="preserve">TechSolve Sistemas e Consultoria S/A</w:t>
    </w:r>
    <w:r>
      <w:rPr>
        <w:sz w:val="18"/>
        <w:szCs w:val="18"/>
      </w:rPr>
      <w:t xml:space="preserve">	</w:t>
    </w:r>
    <w:r>
      <w:rPr>
        <w:color w:val="888888"/>
        <w:sz w:val="16"/>
        <w:szCs w:val="16"/>
      </w:rPr>
      <w:t xml:space="preserve">Balanced Scorecard 2025–2027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2026-03-05T22:32:53.274Z</dcterms:created>
  <dcterms:modified xsi:type="dcterms:W3CDTF">2026-03-05T22:32:53.274Z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