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Constancia sintética</w:t>
      </w:r>
    </w:p>
    <w:p>
      <w:pPr>
        <w:pStyle w:val="BodyText"/>
        <w:bidi w:val="0"/>
        <w:jc w:val="left"/>
        <w:rPr/>
      </w:pPr>
      <w:r>
        <w:rPr/>
        <w:t>Documento de prueba generado para las pruebas automáticas de SisHoras. No contiene datos personales.</w:t>
      </w:r>
    </w:p>
    <w:tbl>
      <w:tblPr>
        <w:tblW w:w="180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99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Campo</w:t>
            </w:r>
          </w:p>
        </w:tc>
        <w:tc>
          <w:tcPr>
            <w:tcW w:w="9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9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Sintético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Documento sintético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