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4E2A84"/>
          <w:sz w:val="32"/>
        </w:rPr>
        <w:t>Research Poster — Rubric Content Guide</w:t>
      </w:r>
    </w:p>
    <w:p>
      <w:pPr>
        <w:jc w:val="center"/>
      </w:pPr>
      <w:r>
        <w:rPr>
          <w:i/>
          <w:sz w:val="20"/>
        </w:rPr>
        <w:t>Passive Occupancy Estimation in Smart Classrooms Using CO₂, VOC, Airflow, and Vibration</w:t>
        <w:br/>
        <w:t>Fengjun Han · Samuel Hartmann · Dalton Sloan · Garrett Green</w:t>
      </w:r>
    </w:p>
    <w:p>
      <w:r>
        <w:rPr>
          <w:sz w:val="18"/>
        </w:rPr>
        <w:t>This document maps suggested poster text to each rubric criterion. Copy, condense, and format as needed to fit poster layout constraints.</w:t>
      </w:r>
    </w:p>
    <w:p>
      <w:pPr>
        <w:spacing w:before="200"/>
      </w:pPr>
      <w:r>
        <w:rPr>
          <w:b/>
          <w:color w:val="4A4A8A"/>
          <w:sz w:val="26"/>
        </w:rPr>
        <w:t>PART 1: Appearance &amp; Organization  [15 pts]</w:t>
      </w:r>
    </w:p>
    <w:p>
      <w:pPr>
        <w:spacing w:before="120" w:after="40"/>
      </w:pPr>
      <w:r>
        <w:rPr>
          <w:b/>
          <w:sz w:val="22"/>
        </w:rPr>
        <w:t>1. Poster text is clearly readable from a distance of 3–4 feet</w:t>
      </w:r>
    </w:p>
    <w:p>
      <w:pPr>
        <w:spacing w:before="0" w:after="40"/>
        <w:ind w:left="288"/>
      </w:pPr>
      <w:r>
        <w:rPr>
          <w:i/>
          <w:color w:val="555555"/>
          <w:sz w:val="18"/>
        </w:rPr>
        <w:t>Target score: 3 (Strongly Agree)</w:t>
      </w:r>
    </w:p>
    <w:p>
      <w:pPr>
        <w:spacing w:before="0" w:after="160"/>
        <w:ind w:left="288"/>
      </w:pPr>
      <w:r>
        <w:rPr>
          <w:sz w:val="20"/>
        </w:rPr>
        <w:t>Use a minimum 24 pt font for body text and 36–48 pt for section headers. All sensor labels (CO₂, VOC, ACH), figure axis labels, and table values should be at least 18 pt. Avoid dense paragraphs — use bullet points with short, complete sentences. Suggested body font: Arial or Calibri. Title font size: 72–85 pt.</w:t>
      </w:r>
    </w:p>
    <w:p>
      <w:pPr>
        <w:spacing w:before="120" w:after="40"/>
      </w:pPr>
      <w:r>
        <w:rPr>
          <w:b/>
          <w:sz w:val="22"/>
        </w:rPr>
        <w:t>2. Figures, tables, and diagrams are clear and legible and add to the poster's message</w:t>
      </w:r>
    </w:p>
    <w:p>
      <w:pPr>
        <w:spacing w:before="0" w:after="40"/>
        <w:ind w:left="288"/>
      </w:pPr>
      <w:r>
        <w:rPr>
          <w:i/>
          <w:color w:val="555555"/>
          <w:sz w:val="18"/>
        </w:rPr>
        <w:t>Target score: 3 (Strongly Agree)</w:t>
      </w:r>
    </w:p>
    <w:p>
      <w:pPr>
        <w:spacing w:before="0" w:after="160"/>
        <w:ind w:left="288"/>
      </w:pPr>
      <w:r>
        <w:rPr>
          <w:sz w:val="20"/>
        </w:rPr>
        <w:t>Include the following figures from reports/figures/:</w:t>
        <w:br/>
        <w:br/>
        <w:t>FIGURE 1 — room354_feature_comparison(1 month).png</w:t>
        <w:br/>
        <w:t xml:space="preserve">  4-panel 30-day time-series: VOC/CO₂ (panel 1), humidity (panel 2), temperature (panel 3), discharge airflow (panel 4).</w:t>
        <w:br/>
        <w:t xml:space="preserve">  Key observations: CO₂ and VOC spike sharply on weekdays and flatten on weekends, confirming occupancy-driven signal structure. Humidity drifts slowly over multi-day periods — a background environmental trend, not an occupancy trigger. Temperature is stable (~70°F) with one anomalous dip to ~42°F mid-March (likely a sensor or HVAC fault event). Airflow jumps noticeably around Mar 21–25, coinciding with elevated CO₂/VOC — consistent with increased ventilation response to higher occupancy.</w:t>
        <w:br/>
        <w:br/>
        <w:t>FIGURE 2 — room354_correlation_matrix.png</w:t>
        <w:br/>
        <w:t xml:space="preserve">  Pearson correlation heatmap for all Room 354 features + estimated people.</w:t>
        <w:br/>
        <w:t xml:space="preserve">  Key values: CO₂ ↔ Estimated People r=0.978 (dominant); VOC ↔ Estimated People r=0.748 (strong secondary); Temperature ↔ CO₂ r=0.41, Temperature ↔ VOC r=0.40 (positive linear relationships, not independent signals); Humidity ↔ Estimated People r=0.26 (weak); Airflow ↔ Estimated People r=−0.03 (near zero — airflow dilutes CO₂ rather than tracking headcount).</w:t>
        <w:br/>
        <w:br/>
        <w:t>FIGURE 3 — room354_estimated_occupancy(1 month).png</w:t>
        <w:br/>
        <w:t xml:space="preserve">  30-day estimated occupancy curve with discharge airflow overlaid on a secondary axis.</w:t>
        <w:br/>
        <w:t xml:space="preserve">  Key observations: Weekday peaks cluster at 10–30 estimated people. Periods of high airflow (Mar 21–25) do not correspond to proportionally high occupancy — confirming airflow is a ventilation proxy, not a people counter. Some large spikes (&gt;40 people) likely reflect sensor noise or brief CO₂ events rather than true occupancy.</w:t>
        <w:br/>
        <w:br/>
        <w:t>FIGURE 4 — room354_1day_estimated_occupancy.png (Mar 31 single day)</w:t>
        <w:br/>
        <w:t xml:space="preserve">  Single-day occupancy estimate showing two clear class-period humps.</w:t>
        <w:br/>
        <w:t xml:space="preserve">  Key observations: Two distinct occupancy peaks during morning class periods with near-zero baseline overnight. Shape is physically plausible — gradual CO₂ buildup, slower decay after class ends. Demonstrates the CO₂ lag: the peak trails the actual class window slightly due to accumulation time in the 637 m³ room volume.</w:t>
        <w:br/>
        <w:br/>
        <w:t>FIGURE 5 — room354_estimated_people_timeseries(1 month).png</w:t>
        <w:br/>
        <w:t xml:space="preserve">  Alternate 30-day view with wider y-axis showing raw + smoothed estimates.</w:t>
        <w:br/>
        <w:t xml:space="preserve">  Key observations: A handful of spikes exceed 80 people, which exceeds the room’s ~35-person enrollment capacity and should be treated as physics-model artifacts from CO₂ transients. Smoothed estimate (5-min median) is more interpretable. Weekday/weekend structure is clearly visible.</w:t>
        <w:br/>
        <w:br/>
        <w:t>FIGURE 6 — room_occupancy_sensor_timeseries(1 month).png</w:t>
        <w:br/>
        <w:t xml:space="preserve">  4-panel comparison: Room 354 + 361 zone temperature (top), Room 354 VOC trend, Room 361 humidity trend, Room 354 floor-vibration/noise proxy (bottom).</w:t>
        <w:br/>
        <w:t xml:space="preserve">  Key observations: Zone temperatures in both rooms track similarly, confirming they share the same HVAC zone. Vibration/noise proxy (bottom panel) shows consistent elevated noise throughout occupied hours with periodic spikes. This panel establishes that the vibration signal is active and structured across the full multi-week window.</w:t>
        <w:br/>
        <w:br/>
        <w:t>FIGURE 7 — room354_vibration_chunks (chunks 01–07, 07:54 AM–10:57 AM)</w:t>
        <w:br/>
        <w:t xml:space="preserve">  7 x 30-minute panels of 4-channel vibration sensors (C8-1, C13-1, C8-7, C13-7) at 0.5-second resolution with scheduled class time shaded.</w:t>
        <w:br/>
        <w:t xml:space="preserve">  Classes covered: ME (08:00–08:50), CHE (09:00–09:50), ECE (10:00–10:50).</w:t>
        <w:br/>
        <w:br/>
        <w:t xml:space="preserve">  Key observations per channel:</w:t>
        <w:br/>
        <w:t xml:space="preserve">  • C8-1 (blue) is the most sensitive channel — clear amplitude increases during class periods and large bursts at class-end transitions (students packing up/leaving).</w:t>
        <w:br/>
        <w:t xml:space="preserve">  • C13-1 (orange) shows moderate elevation during class; less pronounced than C8-1.</w:t>
        <w:br/>
        <w:t xml:space="preserve">  • C8-7 (green) and C13-7 (red) show minor variance changes; useful as confirmation channels.</w:t>
        <w:br/>
        <w:br/>
        <w:t xml:space="preserve">  Class transition signatures (C8-1):</w:t>
        <w:br/>
        <w:t xml:space="preserve">  • Chunk 1 (07:54–08:24): quiet pre-class → amplitude picks up at ME class start (08:00).</w:t>
        <w:br/>
        <w:t xml:space="preserve">  • Chunk 2 (08:24–08:54): large C8-1 burst at ~08:44–08:49 = students leaving ME class.</w:t>
        <w:br/>
        <w:t xml:space="preserve">  • Chunk 3 (08:54–09:24): brief quiet gap between classes → activity resumes at CHE start (09:00).</w:t>
        <w:br/>
        <w:t xml:space="preserve">  • Chunk 4 (09:24–09:54): burst at ~09:50–09:54 = students leaving CHE class.</w:t>
        <w:br/>
        <w:t xml:space="preserve">  • Chunk 5 (09:54–10:24): elevated at 09:54 from hall traffic → settles into ECE class pattern.</w:t>
        <w:br/>
        <w:t xml:space="preserve">  • Chunk 6 (10:24–10:54): burst at ~10:24–10:29 (mid-class event) + burst at ~10:48–10:54 = ECE class end.</w:t>
        <w:br/>
        <w:t xml:space="preserve">  • Chunk 7 (10:54–10:57): no scheduled class — C8-1 noticeably flat and quiet; confirms quiet baseline.</w:t>
        <w:br/>
        <w:br/>
        <w:t xml:space="preserve">  Summary: End-of-class signature (large C8-1 burst) is the most repeatable feature. Class start is visible but subtler (gradual student arrival). Chunk 7 confirms quiet unoccupied baseline. These vibration labels are the planned ground-truth source for future LSTM model training.</w:t>
        <w:br/>
        <w:br/>
        <w:t>FIGURE 8 — room354_activity_chunks (chunks 01–07)</w:t>
        <w:br/>
        <w:t xml:space="preserve">  Derived activity index: 10-second rolling RMS + standard deviation, normalized and combined across 4 channels, with scheduled class time shaded.</w:t>
        <w:br/>
        <w:t xml:space="preserve">  Key observations: The combined room activity index (black line, bottom sub-panel) picks up clearly at class start across all three class periods. The normalized index suppresses channel-specific DC offsets and makes the transition more visible than raw vibration amplitude. C8-1 activity dominates; C13-1 adds secondary contribution. This processed index is a cleaner input feature for future occupancy classification than raw vibration.</w:t>
        <w:br/>
        <w:br/>
        <w:t>FIGURE 9 — co2_occ.png / room361_co2_flow_occupancy_timeseries.png (Room 361 reference)</w:t>
        <w:br/>
        <w:t xml:space="preserve">  3-panel: CO₂ (ppm), airflow (cfm), estimated occupancy with manual anchor dots.</w:t>
        <w:br/>
        <w:t xml:space="preserve">  Key observations: CO₂ builds from ~416 ppm baseline to 550–600 ppm during class periods. Airflow holds steady ~1,100–1,200 cfm except one brief spike. Manual anchors (black dots): 33 people (Apr 7 14:38), 11 people (Apr 8 15:00), 13 people (Apr 8 15:30). Physics formula estimated 11, 11, and 13 respectively — accurate for the two low-occupancy anchors but missed the 33-person anchor due to high-ventilation CO₂ dilution.</w:t>
        <w:br/>
        <w:br/>
        <w:t>Each figure should have a bold caption, axis labels ≥14 pt, and a one-sentence takeaway directly below it on the poster.</w:t>
      </w:r>
    </w:p>
    <w:p>
      <w:pPr>
        <w:spacing w:before="120" w:after="40"/>
      </w:pPr>
      <w:r>
        <w:rPr>
          <w:b/>
          <w:sz w:val="22"/>
        </w:rPr>
        <w:t>3. Design is cohesive and color scheme is not distracting</w:t>
      </w:r>
    </w:p>
    <w:p>
      <w:pPr>
        <w:spacing w:before="0" w:after="40"/>
        <w:ind w:left="288"/>
      </w:pPr>
      <w:r>
        <w:rPr>
          <w:i/>
          <w:color w:val="555555"/>
          <w:sz w:val="18"/>
        </w:rPr>
        <w:t>Target score: 2 (Agree)</w:t>
      </w:r>
    </w:p>
    <w:p>
      <w:pPr>
        <w:spacing w:before="0" w:after="160"/>
        <w:ind w:left="288"/>
      </w:pPr>
      <w:r>
        <w:rPr>
          <w:sz w:val="20"/>
        </w:rPr>
        <w:t>Recommended palette: Tennessee Tech purple (#4E2A84) for headers, white/light gray backgrounds, and a single accent color (gold #F0A500) for highlighted metrics. Use consistent line weights in all plots (2 pt for primary series, 1 pt for secondary). Avoid red/green color pairs — use purple/gold or blue/orange for accessibility.</w:t>
      </w:r>
    </w:p>
    <w:p>
      <w:pPr>
        <w:spacing w:before="120" w:after="40"/>
      </w:pPr>
      <w:r>
        <w:rPr>
          <w:b/>
          <w:sz w:val="22"/>
        </w:rPr>
        <w:t>4. Format is consistent with no spelling or grammatical errors</w:t>
      </w:r>
    </w:p>
    <w:p>
      <w:pPr>
        <w:spacing w:before="0" w:after="40"/>
        <w:ind w:left="288"/>
      </w:pPr>
      <w:r>
        <w:rPr>
          <w:i/>
          <w:color w:val="555555"/>
          <w:sz w:val="18"/>
        </w:rPr>
        <w:t>Target score: 3 (Strongly Agree)</w:t>
      </w:r>
    </w:p>
    <w:p>
      <w:pPr>
        <w:spacing w:before="0" w:after="160"/>
        <w:ind w:left="288"/>
      </w:pPr>
      <w:r>
        <w:rPr>
          <w:sz w:val="20"/>
        </w:rPr>
        <w:t>Run a spell-check pass before final print. Key terms to verify:</w:t>
        <w:br/>
        <w:t xml:space="preserve">  • CO₂ (subscript 2, not CO2)</w:t>
        <w:br/>
        <w:t xml:space="preserve">  • VOC (volatile organic compounds)</w:t>
        <w:br/>
        <w:t xml:space="preserve">  • ACH (air changes per hour)</w:t>
        <w:br/>
        <w:t xml:space="preserve">  • cfm (cubic feet per minute, lowercase)</w:t>
        <w:br/>
        <w:t xml:space="preserve">  • KODE (smart-building data platform name, all caps)</w:t>
        <w:br/>
        <w:t xml:space="preserve">  • TDMS (data format for vibration sensor files, all caps)</w:t>
        <w:br/>
        <w:t xml:space="preserve">  • LSTM (long short-term memory, all caps)</w:t>
        <w:br/>
        <w:t>Ensure all section headers use title case. Figure captions use sentence case. Author names: Fengjun Han, Samuel Hartmann, Dalton Sloan, Garrett Green.</w:t>
      </w:r>
    </w:p>
    <w:p>
      <w:pPr>
        <w:spacing w:before="120" w:after="40"/>
      </w:pPr>
      <w:r>
        <w:rPr>
          <w:b/>
          <w:sz w:val="22"/>
        </w:rPr>
        <w:t>5. Poster is well-organized and information flows naturally from Introduction through Conclusion</w:t>
      </w:r>
    </w:p>
    <w:p>
      <w:pPr>
        <w:spacing w:before="0" w:after="40"/>
        <w:ind w:left="288"/>
      </w:pPr>
      <w:r>
        <w:rPr>
          <w:i/>
          <w:color w:val="555555"/>
          <w:sz w:val="18"/>
        </w:rPr>
        <w:t>Target score: 3 (Strongly Agree)</w:t>
      </w:r>
    </w:p>
    <w:p>
      <w:pPr>
        <w:spacing w:before="0" w:after="160"/>
        <w:ind w:left="288"/>
      </w:pPr>
      <w:r>
        <w:rPr>
          <w:sz w:val="20"/>
        </w:rPr>
        <w:t>Recommended left-to-right, top-to-bottom column flow:</w:t>
        <w:br/>
        <w:t xml:space="preserve">  Column 1: Problem Statement → Dataset</w:t>
        <w:br/>
        <w:t xml:space="preserve">  Column 2: Methods → Story (narrative + central figure)</w:t>
        <w:br/>
        <w:t xml:space="preserve">  Column 3: Results → Conclusion → References</w:t>
        <w:br/>
        <w:t>Use visual dividers (thin ruled lines or shaded boxes) to separate sections. Number figures (Fig. 1, Fig. 2, …) and reference them by number in the text.</w:t>
      </w:r>
    </w:p>
    <w:p>
      <w:pPr>
        <w:spacing w:before="200"/>
      </w:pPr>
      <w:r>
        <w:rPr>
          <w:b/>
          <w:color w:val="4A4A8A"/>
          <w:sz w:val="26"/>
        </w:rPr>
        <w:t>PART 2: Content  [35 pts]</w:t>
      </w:r>
    </w:p>
    <w:p>
      <w:pPr>
        <w:spacing w:before="120" w:after="40"/>
      </w:pPr>
      <w:r>
        <w:rPr>
          <w:b/>
          <w:sz w:val="22"/>
        </w:rPr>
        <w:t>1. Intro / Significance / Need / Research Question</w:t>
      </w:r>
    </w:p>
    <w:p>
      <w:pPr>
        <w:spacing w:before="0" w:after="40"/>
        <w:ind w:left="288"/>
      </w:pPr>
      <w:r>
        <w:rPr>
          <w:i/>
          <w:color w:val="555555"/>
          <w:sz w:val="18"/>
        </w:rPr>
        <w:t>Target score: 4–5 (Agree to Strongly Agree)</w:t>
      </w:r>
    </w:p>
    <w:p>
      <w:pPr>
        <w:spacing w:before="0" w:after="160"/>
        <w:ind w:left="288"/>
      </w:pPr>
      <w:r>
        <w:rPr>
          <w:sz w:val="20"/>
        </w:rPr>
        <w:t>PROBLEM STATEMENT (poster text):</w:t>
        <w:br/>
        <w:br/>
        <w:t>Buildings waste significant energy running HVAC systems on fixed schedules regardless of actual room occupancy. This project investigates whether CO₂, VOC, humidity, temperature, discharge airflow, and floor vibration signals — already collected in the Ashraf Islam Engineering Building (AIEB) at Tennessee Tech via the KODE smart-building platform — can be used to continuously estimate room occupancy without cameras or badge readers.</w:t>
        <w:br/>
        <w:br/>
        <w:t>Research question: Can a physics-based CO₂ mass-balance formula, combined with IAQ and vibration signals, accurately estimate the number of occupants in a university classroom using only existing building sensor data?</w:t>
        <w:br/>
        <w:br/>
        <w:t>Significance: A validated occupancy model enables demand-driven HVAC scheduling, reducing energy waste during low-use periods while maintaining indoor air quality standards. Room 354 is the primary study room because it has floor vibration sensors; Room 361 was used as a secondary reference check.</w:t>
      </w:r>
    </w:p>
    <w:p>
      <w:pPr>
        <w:spacing w:before="120" w:after="40"/>
      </w:pPr>
      <w:r>
        <w:rPr>
          <w:b/>
          <w:sz w:val="22"/>
        </w:rPr>
        <w:t>2. Methods — sufficiently detailed to allow understanding of materials, instruments, and procedures</w:t>
      </w:r>
    </w:p>
    <w:p>
      <w:pPr>
        <w:spacing w:before="0" w:after="40"/>
        <w:ind w:left="288"/>
      </w:pPr>
      <w:r>
        <w:rPr>
          <w:i/>
          <w:color w:val="555555"/>
          <w:sz w:val="18"/>
        </w:rPr>
        <w:t>Target score: 4–5 (Agree to Strongly Agree)</w:t>
      </w:r>
    </w:p>
    <w:p>
      <w:pPr>
        <w:spacing w:before="0" w:after="160"/>
        <w:ind w:left="288"/>
      </w:pPr>
      <w:r>
        <w:rPr>
          <w:sz w:val="20"/>
        </w:rPr>
        <w:t>METHODS (poster text):</w:t>
        <w:br/>
        <w:br/>
        <w:t>Data Collection (via KODE smart-building platform):</w:t>
        <w:br/>
        <w:t xml:space="preserve">  • Room 354 (primary): 30-day IAQ + FPB long-format point-history CSV exports (2026-02-27 to 2026-03-29). Sensors: CO₂ (ppm), VOC, humidity (%), temperature (°F), discharge airflow (cfm), floor vibration (4 channels: C8-1, C13-1, C8-7, C13-7 at 0.5-second resolution).</w:t>
        <w:br/>
        <w:t xml:space="preserve">  • Room 354 single-day vibration: Apr 13, 2026 (07:54 AM–10:57 AM) covering ME, CHE, and ECE class periods.</w:t>
        <w:br/>
        <w:t xml:space="preserve">  • Room 361 (reference check): FPB export (Apr 3–9, 2026) + 3 manual headcounts as qualitative anchors.</w:t>
        <w:br/>
        <w:t xml:space="preserve">  • Room dimensions: 50 ft × 30 ft × 15 ft (≈637.1 m³).</w:t>
        <w:br/>
        <w:br/>
        <w:t>Preprocessing:</w:t>
        <w:br/>
        <w:t xml:space="preserve">  • Parse UTC timestamps, pivot long → wide format, resample to 5-minute intervals.</w:t>
        <w:br/>
        <w:t xml:space="preserve">  • Average overlapping IAQ/FPB CO₂, humidity, and temperature streams into unified room-level signals.</w:t>
        <w:br/>
        <w:t xml:space="preserve">  • Convert discharge airflow (cfm) → air changes per hour (ACH) using room volume.</w:t>
        <w:br/>
        <w:t xml:space="preserve">  • Vibration: compute 10-second rolling RMS + standard deviation per channel; normalize and combine into a room activity index.</w:t>
        <w:br/>
        <w:br/>
        <w:t>Occupancy Estimation (physics-based, no ML training):</w:t>
        <w:br/>
        <w:t xml:space="preserve">  1. CO₂ mass-balance anchor: N = V × ACH × (C_indoor − C_outdoor) / G_person</w:t>
        <w:br/>
        <w:t xml:space="preserve">     where V = 637.1 m³, C_outdoor ≈ 416 ppm (measured ambient), G_person = 0.018 m³/h/person.</w:t>
        <w:br/>
        <w:t xml:space="preserve">  2. Blended estimate: 70% airflow-aware CO₂ anchor + 30% multi-sensor index (VOC, humidity, temperature).</w:t>
        <w:br/>
        <w:t xml:space="preserve">  3. Vibration activity index: class-transition spikes on channel C8-1 used to identify occupied vs. unoccupied windows.</w:t>
        <w:br/>
        <w:br/>
        <w:t>Exploratory Analysis:</w:t>
        <w:br/>
        <w:t xml:space="preserve">  • Pearson correlation matrix across all IAQ features and estimated occupancy.</w:t>
        <w:br/>
        <w:t xml:space="preserve">  • 4-panel time-series visualization of VOC/CO₂, humidity, temperature, and airflow.</w:t>
        <w:br/>
        <w:t xml:space="preserve">  • Vibration chunk plots (7 × 30-min windows) with scheduled class time overlay.</w:t>
        <w:br/>
        <w:br/>
        <w:t>Key assumptions:</w:t>
        <w:br/>
        <w:t xml:space="preserve">  • Outdoor CO₂ baseline: ≈416 ppm (measured ambient).</w:t>
        <w:br/>
        <w:t xml:space="preserve">  • Per-person CO₂ generation: 0.018 m³/h (light activity / seated classroom).</w:t>
        <w:br/>
        <w:t xml:space="preserve">  • Discharge airflow treated as a ventilation proxy; converted to ACH.</w:t>
        <w:br/>
        <w:t xml:space="preserve">  • Fallback ACH = 4.0 for the ≈2% of 5-minute bins where airflow data is missing.</w:t>
      </w:r>
    </w:p>
    <w:p>
      <w:pPr>
        <w:spacing w:before="120" w:after="40"/>
      </w:pPr>
      <w:r>
        <w:rPr>
          <w:b/>
          <w:sz w:val="22"/>
        </w:rPr>
        <w:t>3. Results — address the research question; clear and meaningful presentation; significance discussed</w:t>
      </w:r>
    </w:p>
    <w:p>
      <w:pPr>
        <w:spacing w:before="0" w:after="40"/>
        <w:ind w:left="288"/>
      </w:pPr>
      <w:r>
        <w:rPr>
          <w:i/>
          <w:color w:val="555555"/>
          <w:sz w:val="18"/>
        </w:rPr>
        <w:t>Target score: 4–5 (Agree to Strongly Agree)</w:t>
      </w:r>
    </w:p>
    <w:p>
      <w:pPr>
        <w:spacing w:before="0" w:after="160"/>
        <w:ind w:left="288"/>
      </w:pPr>
      <w:r>
        <w:rPr>
          <w:sz w:val="20"/>
        </w:rPr>
        <w:t>RESULTS (poster text):</w:t>
        <w:br/>
        <w:br/>
        <w:t>Sensor Correlations with Estimated Occupancy (Room 354, 30-day dataset):</w:t>
        <w:br/>
        <w:t xml:space="preserve">  • CO₂ ↔ occupancy: r = 0.978 (dominant signal)</w:t>
        <w:br/>
        <w:t xml:space="preserve">  • VOC ↔ occupancy: r = 0.748 (strong secondary signal)</w:t>
        <w:br/>
        <w:t xml:space="preserve">  • CO₂ ↔ VOC: r = 0.751 (move together during occupied periods)</w:t>
        <w:br/>
        <w:t xml:space="preserve">  • Temperature ↔ CO₂: r = 0.414 (positive linear relationship, not independent)</w:t>
        <w:br/>
        <w:t xml:space="preserve">  • Humidity ↔ VOC: r = 0.40 (positive linear relationship, slow background drift)</w:t>
        <w:br/>
        <w:t xml:space="preserve">  • Airflow ↔ occupancy: r = −0.031 (near zero — ventilation dilutes CO₂, not a headcount proxy)</w:t>
        <w:br/>
        <w:br/>
        <w:t>Effect of Measured Airflow vs. Fixed 4 ACH Assumption:</w:t>
        <w:br/>
        <w:t xml:space="preserve">  • Measured median ACH: 2.96 (below the fixed 4 ACH assumption).</w:t>
        <w:br/>
        <w:t xml:space="preserve">  • Mean occupancy estimate: 5.22 people (fixed) → 4.17 people (measured airflow), −20%.</w:t>
        <w:br/>
        <w:t xml:space="preserve">  • Peak estimate reduced from 70.6 → 46.0 people (−35%).</w:t>
        <w:br/>
        <w:t xml:space="preserve">  • Intervals with &gt;30 estimated people: 150 → 85 (−43%).</w:t>
        <w:br/>
        <w:t xml:space="preserve">  • Occupancy-curve volatility (std dev): 7.61 → 6.40 (−16%).</w:t>
        <w:br/>
        <w:br/>
        <w:t>Room 354 Blended Estimate Summary (30-day window):</w:t>
        <w:br/>
        <w:t xml:space="preserve">  • Mean: 4.22 people | P90: 13.4 people | P99: 29.8 people | Max: 46.0 people</w:t>
        <w:br/>
        <w:br/>
        <w:t>CO₂ Sensor Lag:</w:t>
        <w:br/>
        <w:t xml:space="preserve">  • Estimated occupancy peaks can lag actual room use by up to ~1 hour due to CO₂ accumulation time in the 637 m³ room volume. Most noticeable at class start; decay after class end is also gradual.</w:t>
        <w:br/>
        <w:br/>
        <w:t>Vibration Findings (Room 354, Apr 13 single-day, 4 channels):</w:t>
        <w:br/>
        <w:t xml:space="preserve">  • C8-1 is the most sensitive channel — shows clear amplitude increases during all three class periods (ME 08:00–08:50, CHE 09:00–09:50, ECE 10:00–10:50).</w:t>
        <w:br/>
        <w:t xml:space="preserve">  • End-of-class signature: large C8-1 burst at class end in every period (‘08:44–:49, 09:50–09:54, 10:48–10:54) — the most repeatable vibration feature.</w:t>
        <w:br/>
        <w:t xml:space="preserve">  • Between-class gaps and post-class chunk (10:54–10:57, no class): C8-1 returns to flat quiet baseline, confirming the signal discriminates occupied from unoccupied.</w:t>
        <w:br/>
        <w:t xml:space="preserve">  • Derived room activity index (rolling RMS + std dev, normalized) picks up clearly at each class start.</w:t>
        <w:br/>
        <w:t xml:space="preserve">  • These vibration-derived class windows will serve as ground-truth occupancy labels for future LSTM model training.</w:t>
        <w:br/>
        <w:br/>
        <w:t>Room 361 Qualitative Reference Check (3 manual headcounts):</w:t>
        <w:br/>
        <w:t xml:space="preserve">  • Manual counts: 33 people (Apr 7 ~14:38), 11 people (Apr 8 ~15:00), 13 people (Apr 8 ~15:30).</w:t>
        <w:br/>
        <w:t xml:space="preserve">  • Physics formula estimates at those times: ~11, ~11, ~13 people respectively.</w:t>
        <w:br/>
        <w:t xml:space="preserve">  • Low-occupancy anchors (11 and 13 people): errors under 1.5 people — formula performed well.</w:t>
        <w:br/>
        <w:t xml:space="preserve">  • High-occupancy anchor (33 people): large miss (~22 people) caused by high ventilation (~1,130 cfm) diluting CO₂ faster than occupants could accumulate it at the sensor — illustrates the CO₂ lag + high-flow limitation.</w:t>
        <w:br/>
        <w:t xml:space="preserve">  • Because only 3 anchors are available, these are qualitative reference checks, not a validated accuracy benchmark.</w:t>
      </w:r>
    </w:p>
    <w:p>
      <w:pPr>
        <w:spacing w:before="120" w:after="40"/>
      </w:pPr>
      <w:r>
        <w:rPr>
          <w:b/>
          <w:sz w:val="22"/>
        </w:rPr>
        <w:t>4. Conclusions / Recommendations — appropriate conclusions drawn; future work provided</w:t>
      </w:r>
    </w:p>
    <w:p>
      <w:pPr>
        <w:spacing w:before="0" w:after="40"/>
        <w:ind w:left="288"/>
      </w:pPr>
      <w:r>
        <w:rPr>
          <w:i/>
          <w:color w:val="555555"/>
          <w:sz w:val="18"/>
        </w:rPr>
        <w:t>Target score: 4–5 (Agree to Strongly Agree)</w:t>
      </w:r>
    </w:p>
    <w:p>
      <w:pPr>
        <w:spacing w:before="0" w:after="160"/>
        <w:ind w:left="288"/>
      </w:pPr>
      <w:r>
        <w:rPr>
          <w:sz w:val="20"/>
        </w:rPr>
        <w:t>CONCLUSION (poster text):</w:t>
        <w:br/>
        <w:br/>
        <w:t>What we found:</w:t>
        <w:br/>
        <w:t xml:space="preserve">  1. CO₂ and VOC are the strongest passive occupancy indicators in this classroom setting; temperature and humidity have a positive linear relationship with both but are not reliable standalone signals.</w:t>
        <w:br/>
        <w:t xml:space="preserve">  2. Measured airflow (ACH) meaningfully improves CO₂-based estimates vs. fixed-ventilation assumptions — reducing the mean estimate by ~20% and peak spikes by 35%.</w:t>
        <w:br/>
        <w:t xml:space="preserve">  3. Floor vibration sensors (C8-1 channel) reliably detect class transitions: end-of-class bursts are the most repeatable feature; unoccupied periods show a flat quiet baseline.</w:t>
        <w:br/>
        <w:t xml:space="preserve">  4. CO₂ accumulation lag (up to ~1 hour) means the physics formula tracks sustained occupancy better than instantaneous headcount, especially under high-ventilation conditions.</w:t>
        <w:br/>
        <w:t xml:space="preserve">  5. Occupancy-aware HVAC scheduling using these signals could reduce wasted HVAC runtime during low-use periods.</w:t>
        <w:br/>
        <w:br/>
        <w:t>Future Work:</w:t>
        <w:br/>
        <w:t xml:space="preserve">  • Align TDMS vibration data to the 5-minute IAQ/FPB time index to create ground-truth occupancy labels for Room 354.</w:t>
        <w:br/>
        <w:t xml:space="preserve">  • Train an LSTM temporal model on the Jetstream HPC cluster using vibration-derived labels + IAQ features.</w:t>
        <w:br/>
        <w:t xml:space="preserve">  • Collect additional manual headcounts in Rooms 354 and 361 to validate the physics estimate more broadly.</w:t>
        <w:br/>
        <w:t xml:space="preserve">  • Add outdoor CO₂ monitoring to replace the fixed ~416 ppm ambient assumption.</w:t>
        <w:br/>
        <w:t xml:space="preserve">  • Evaluate coarse occupancy classes (empty / low / medium / high) for practical HVAC control deployment.</w:t>
      </w:r>
    </w:p>
    <w:p>
      <w:pPr>
        <w:spacing w:before="120" w:after="40"/>
      </w:pPr>
      <w:r>
        <w:rPr>
          <w:b/>
          <w:sz w:val="22"/>
        </w:rPr>
        <w:t>5. References — provided and properly cited</w:t>
      </w:r>
    </w:p>
    <w:p>
      <w:pPr>
        <w:spacing w:before="0" w:after="40"/>
        <w:ind w:left="288"/>
      </w:pPr>
      <w:r>
        <w:rPr>
          <w:i/>
          <w:color w:val="555555"/>
          <w:sz w:val="18"/>
        </w:rPr>
        <w:t>Target score: 3 (Strongly Agree)</w:t>
      </w:r>
    </w:p>
    <w:p>
      <w:pPr>
        <w:spacing w:before="0" w:after="160"/>
        <w:ind w:left="288"/>
      </w:pPr>
      <w:r>
        <w:rPr>
          <w:sz w:val="20"/>
        </w:rPr>
        <w:t>REFERENCES (poster text — use APA or IEEE format consistently):</w:t>
        <w:br/>
        <w:br/>
        <w:t>[1] ASHRAE Standard 62.1-2022, Ventilation and Acceptable Indoor Air Quality. Atlanta, GA: ASHRAE.</w:t>
        <w:br/>
        <w:br/>
        <w:t>[2] Fisk, W. J., et al. (2011). Association of ventilation rates and CO₂ concentrations with health and other responses in commercial and institutional buildings. Indoor Air, 21(4), 301–311.</w:t>
        <w:br/>
        <w:br/>
        <w:t>[3] Batterman, S. (2017). Review and extension of CO₂-based methods to determine ventilation rates with application to school classrooms. International Journal of Environmental Research and Public Health, 14(2), 145.</w:t>
        <w:br/>
        <w:br/>
        <w:t>[4] Tennessee Tech University. (2026). AIEB Building FPB, IAQ, and vibration sensor point-history exports (Rooms 354 and 361). Internal dataset via KODE smart-building platform.</w:t>
      </w:r>
    </w:p>
    <w:p>
      <w:pPr>
        <w:spacing w:before="120" w:after="40"/>
      </w:pPr>
      <w:r>
        <w:rPr>
          <w:b/>
          <w:sz w:val="22"/>
        </w:rPr>
        <w:t>6. Acknowledgements — appropriate expressions of support from outside agencies and contributors</w:t>
      </w:r>
    </w:p>
    <w:p>
      <w:pPr>
        <w:spacing w:before="0" w:after="40"/>
        <w:ind w:left="288"/>
      </w:pPr>
      <w:r>
        <w:rPr>
          <w:i/>
          <w:color w:val="555555"/>
          <w:sz w:val="18"/>
        </w:rPr>
        <w:t>Target score: 3 (Strongly Agree)</w:t>
      </w:r>
    </w:p>
    <w:p>
      <w:pPr>
        <w:spacing w:before="0" w:after="160"/>
        <w:ind w:left="288"/>
      </w:pPr>
      <w:r>
        <w:rPr>
          <w:sz w:val="20"/>
        </w:rPr>
        <w:t>ACKNOWLEDGEMENTS (poster text):</w:t>
        <w:br/>
        <w:br/>
        <w:t>The authors thank the following individuals and groups for their support of this project:</w:t>
        <w:br/>
        <w:br/>
        <w:t xml:space="preserve">  • Chandler Norman — building systems expertise and FPB/IAQ data access via the KODE platform.</w:t>
        <w:br/>
        <w:t xml:space="preserve">  • Norman Walker — domain guidance on HVAC operations and ventilation interpretation.</w:t>
        <w:br/>
        <w:t xml:space="preserve">  • Elisabeth Humphrey — project coordination support.</w:t>
        <w:br/>
        <w:t xml:space="preserve">  • Dr. Steven Anton — faculty advisor and technical review.</w:t>
        <w:br/>
        <w:t xml:space="preserve">  • Jetstream2 HPC cluster (ACCESS allocation) — planned for future LSTM model training on the full vibration + IAQ time-series dataset.</w:t>
        <w:br/>
        <w:t xml:space="preserve">  • Tennessee Tech College of Engineering — facilities and sensor infrastructure access.</w:t>
      </w:r>
    </w:p>
    <w:p>
      <w:r>
        <w:br w:type="page"/>
      </w:r>
    </w:p>
    <w:p>
      <w:pPr>
        <w:spacing w:before="200"/>
      </w:pPr>
      <w:r>
        <w:rPr>
          <w:b/>
          <w:color w:val="4A4A8A"/>
          <w:sz w:val="26"/>
        </w:rPr>
        <w:t>REFERENCE: Target Score Summary  [50 pts]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Criterion</w:t>
            </w:r>
          </w:p>
        </w:tc>
        <w:tc>
          <w:tcPr>
            <w:tcW w:type="dxa" w:w="2880"/>
          </w:tcPr>
          <w:p>
            <w:r>
              <w:t>Max Points</w:t>
            </w:r>
          </w:p>
        </w:tc>
        <w:tc>
          <w:tcPr>
            <w:tcW w:type="dxa" w:w="2880"/>
          </w:tcPr>
          <w:p>
            <w:r>
              <w:t>Target</w:t>
            </w:r>
          </w:p>
        </w:tc>
      </w:tr>
      <w:tr>
        <w:tc>
          <w:tcPr>
            <w:tcW w:type="dxa" w:w="2880"/>
          </w:tcPr>
          <w:p>
            <w:r>
              <w:t>Part 1: Appearance &amp; Organization</w:t>
            </w:r>
          </w:p>
        </w:tc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13–15</w:t>
            </w:r>
          </w:p>
        </w:tc>
      </w:tr>
      <w:tr>
        <w:tc>
          <w:tcPr>
            <w:tcW w:type="dxa" w:w="2880"/>
          </w:tcPr>
          <w:p>
            <w:r>
              <w:t xml:space="preserve">  1. Text readability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>
              <w:t xml:space="preserve">  2. Figures/tables legibility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>
              <w:t xml:space="preserve">  3. Cohesive design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2–3</w:t>
            </w:r>
          </w:p>
        </w:tc>
      </w:tr>
      <w:tr>
        <w:tc>
          <w:tcPr>
            <w:tcW w:type="dxa" w:w="2880"/>
          </w:tcPr>
          <w:p>
            <w:r>
              <w:t xml:space="preserve">  4. Consistent format / no errors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>
              <w:t xml:space="preserve">  5. Organization &amp; flow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>
              <w:t>Part 2: Content</w:t>
            </w:r>
          </w:p>
        </w:tc>
        <w:tc>
          <w:tcPr>
            <w:tcW w:type="dxa" w:w="2880"/>
          </w:tcPr>
          <w:p>
            <w:r>
              <w:t>35</w:t>
            </w:r>
          </w:p>
        </w:tc>
        <w:tc>
          <w:tcPr>
            <w:tcW w:type="dxa" w:w="2880"/>
          </w:tcPr>
          <w:p>
            <w:r>
              <w:t>30–35</w:t>
            </w:r>
          </w:p>
        </w:tc>
      </w:tr>
      <w:tr>
        <w:tc>
          <w:tcPr>
            <w:tcW w:type="dxa" w:w="2880"/>
          </w:tcPr>
          <w:p>
            <w:r>
              <w:t xml:space="preserve">  1. Intro / significance / research question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4–5</w:t>
            </w:r>
          </w:p>
        </w:tc>
      </w:tr>
      <w:tr>
        <w:tc>
          <w:tcPr>
            <w:tcW w:type="dxa" w:w="2880"/>
          </w:tcPr>
          <w:p>
            <w:r>
              <w:t xml:space="preserve">  2. Methods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4–5</w:t>
            </w:r>
          </w:p>
        </w:tc>
      </w:tr>
      <w:tr>
        <w:tc>
          <w:tcPr>
            <w:tcW w:type="dxa" w:w="2880"/>
          </w:tcPr>
          <w:p>
            <w:r>
              <w:t xml:space="preserve">  3. Results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8–10</w:t>
            </w:r>
          </w:p>
        </w:tc>
      </w:tr>
      <w:tr>
        <w:tc>
          <w:tcPr>
            <w:tcW w:type="dxa" w:w="2880"/>
          </w:tcPr>
          <w:p>
            <w:r>
              <w:t xml:space="preserve">  4. Conclusions / recommendations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4–5</w:t>
            </w:r>
          </w:p>
        </w:tc>
      </w:tr>
      <w:tr>
        <w:tc>
          <w:tcPr>
            <w:tcW w:type="dxa" w:w="2880"/>
          </w:tcPr>
          <w:p>
            <w:r>
              <w:t xml:space="preserve">  5. References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5</w:t>
            </w:r>
          </w:p>
        </w:tc>
      </w:tr>
      <w:tr>
        <w:tc>
          <w:tcPr>
            <w:tcW w:type="dxa" w:w="2880"/>
          </w:tcPr>
          <w:p>
            <w:r>
              <w:t xml:space="preserve">  6. Acknowledgements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5</w:t>
            </w:r>
          </w:p>
        </w:tc>
      </w:tr>
      <w:tr>
        <w:tc>
          <w:tcPr>
            <w:tcW w:type="dxa" w:w="2880"/>
          </w:tcPr>
          <w:p>
            <w:r>
              <w:t>TOTAL</w:t>
            </w:r>
          </w:p>
        </w:tc>
        <w:tc>
          <w:tcPr>
            <w:tcW w:type="dxa" w:w="2880"/>
          </w:tcPr>
          <w:p>
            <w:r>
              <w:t>50</w:t>
            </w:r>
          </w:p>
        </w:tc>
        <w:tc>
          <w:tcPr>
            <w:tcW w:type="dxa" w:w="2880"/>
          </w:tcPr>
          <w:p>
            <w:r>
              <w:t>43–50</w:t>
            </w:r>
          </w:p>
        </w:tc>
      </w:tr>
    </w:tbl>
    <w:p/>
    <w:p>
      <w:r>
        <w:rPr>
          <w:i/>
          <w:sz w:val="18"/>
        </w:rPr>
        <w:t>Note: Scores are self-assessed targets based on current project completeness. The largest risk to a perfect score is Results depth — ensure the anchor evaluation table and the high-ventilation bias finding are clearly discussed on the poster.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