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800" w:line="276" w:lineRule="auto"/>
        <w:jc w:val="center"/>
      </w:pPr>
      <w:r>
        <w:rPr>
          <w:rFonts w:ascii="Aptos" w:hAnsi="Aptos"/>
          <w:b/>
          <w:i w:val="0"/>
          <w:color w:val="24528C"/>
          <w:sz w:val="30"/>
        </w:rPr>
        <w:t>Genesis OS / Relationship Scores</w:t>
      </w:r>
    </w:p>
    <w:p>
      <w:pPr>
        <w:spacing w:after="160" w:before="0" w:line="276" w:lineRule="auto"/>
        <w:jc w:val="center"/>
      </w:pPr>
      <w:r>
        <w:rPr>
          <w:rFonts w:ascii="Aptos" w:hAnsi="Aptos"/>
          <w:b/>
          <w:i w:val="0"/>
          <w:color w:val="1C2737"/>
          <w:sz w:val="48"/>
        </w:rPr>
        <w:t>Cluster Rule Pack Files - Batch 1</w:t>
      </w:r>
    </w:p>
    <w:p>
      <w:pPr>
        <w:spacing w:after="360" w:before="0" w:line="276" w:lineRule="auto"/>
        <w:jc w:val="center"/>
      </w:pPr>
      <w:r>
        <w:rPr>
          <w:rFonts w:ascii="Aptos" w:hAnsi="Aptos"/>
          <w:b w:val="0"/>
          <w:i w:val="0"/>
          <w:color w:val="5A6878"/>
          <w:sz w:val="24"/>
        </w:rPr>
        <w:t>Implementation sheets for the first governed clusters named by Cluster Rule Pack Specification v1</w:t>
      </w:r>
    </w:p>
    <w:tbl>
      <w:tblPr>
        <w:tblW w:type="auto" w:w="0"/>
        <w:jc w:val="center"/>
        <w:tblLayout w:type="fixed"/>
        <w:tblLook w:firstColumn="1" w:firstRow="1" w:lastColumn="0" w:lastRow="0" w:noHBand="0" w:noVBand="1" w:val="04A0"/>
        <w:tblBorders>
          <w:top w:val="single" w:sz="10" w:space="0" w:color="AFC2D5"/>
          <w:left w:val="single" w:sz="10" w:space="0" w:color="AFC2D5"/>
          <w:bottom w:val="single" w:sz="10" w:space="0" w:color="AFC2D5"/>
          <w:right w:val="single" w:sz="10" w:space="0" w:color="AFC2D5"/>
          <w:insideH w:val="single" w:sz="10" w:space="0" w:color="AFC2D5"/>
          <w:insideV w:val="single" w:sz="10" w:space="0" w:color="AFC2D5"/>
        </w:tblBorders>
      </w:tblPr>
      <w:tblGrid>
        <w:gridCol w:w="9936"/>
      </w:tblGrid>
      <w:tr>
        <w:tc>
          <w:tcPr>
            <w:tcW w:type="dxa" w:w="9936"/>
            <w:shd w:fill="F4F8FB"/>
            <w:tcMar>
              <w:top w:w="120" w:type="dxa"/>
              <w:start w:w="140" w:type="dxa"/>
              <w:bottom w:w="120" w:type="dxa"/>
              <w:end w:w="140" w:type="dxa"/>
            </w:tcMar>
          </w:tcPr>
          <w:p>
            <w:pPr>
              <w:spacing w:after="40" w:before="0" w:line="276" w:lineRule="auto"/>
            </w:pPr>
            <w:r>
              <w:rPr>
                <w:rFonts w:ascii="Aptos" w:hAnsi="Aptos"/>
                <w:b/>
                <w:i w:val="0"/>
                <w:color w:val="24528C"/>
                <w:sz w:val="21"/>
              </w:rPr>
              <w:t>What this pack is</w:t>
            </w:r>
          </w:p>
          <w:p>
            <w:pPr>
              <w:spacing w:after="0" w:before="0" w:line="276" w:lineRule="auto"/>
            </w:pPr>
            <w:r>
              <w:rPr>
                <w:rFonts w:ascii="Aptos" w:hAnsi="Aptos"/>
                <w:b w:val="0"/>
                <w:i w:val="0"/>
                <w:color w:val="1C2737"/>
                <w:sz w:val="20"/>
              </w:rPr>
              <w:t>This document is the first cluster-by-cluster companion set that sits beside the governing specification. It converts the six initial governed clusters into implementable rule files with trigger posture, severity mapping, write-back behavior, decay, readiness impact, forecast impact, drift interlocks, and QA test expectations.</w:t>
            </w:r>
          </w:p>
        </w:tc>
      </w:tr>
    </w:tbl>
    <w:p/>
    <w:tbl>
      <w:tblPr>
        <w:tblW w:type="auto" w:w="0"/>
        <w:jc w:val="center"/>
        <w:tblLayout w:type="fixed"/>
        <w:tblLook w:firstColumn="1" w:firstRow="1" w:lastColumn="0" w:lastRow="0" w:noHBand="0" w:noVBand="1" w:val="04A0"/>
        <w:tblBorders>
          <w:top w:val="single" w:sz="8" w:space="0" w:color="C7D0DA"/>
          <w:left w:val="single" w:sz="8" w:space="0" w:color="C7D0DA"/>
          <w:bottom w:val="single" w:sz="8" w:space="0" w:color="C7D0DA"/>
          <w:right w:val="single" w:sz="8" w:space="0" w:color="C7D0DA"/>
          <w:insideH w:val="single" w:sz="8" w:space="0" w:color="C7D0DA"/>
          <w:insideV w:val="single" w:sz="8" w:space="0" w:color="C7D0DA"/>
        </w:tblBorders>
      </w:tblPr>
      <w:tblGrid>
        <w:gridCol w:w="4968"/>
        <w:gridCol w:w="4968"/>
      </w:tblGrid>
      <w:tr>
        <w:tc>
          <w:tcPr>
            <w:tcW w:type="dxa" w:w="2592"/>
            <w:tcMar>
              <w:top w:w="80" w:type="dxa"/>
              <w:start w:w="90" w:type="dxa"/>
              <w:bottom w:w="80" w:type="dxa"/>
              <w:end w:w="90" w:type="dxa"/>
            </w:tcMar>
            <w:vAlign w:val="center"/>
            <w:shd w:fill="EAF1F8"/>
          </w:tcPr>
          <w:p>
            <w:pPr>
              <w:spacing w:after="80" w:before="0" w:line="276" w:lineRule="auto"/>
            </w:pPr>
            <w:r>
              <w:rPr>
                <w:rFonts w:ascii="Aptos" w:hAnsi="Aptos"/>
                <w:b/>
                <w:i w:val="0"/>
                <w:color w:val="1C2737"/>
                <w:sz w:val="20"/>
              </w:rPr>
              <w:t>Status</w:t>
            </w:r>
          </w:p>
        </w:tc>
        <w:tc>
          <w:tcPr>
            <w:tcW w:type="dxa" w:w="7056"/>
            <w:tcMar>
              <w:top w:w="80" w:type="dxa"/>
              <w:start w:w="90" w:type="dxa"/>
              <w:bottom w:w="80" w:type="dxa"/>
              <w:end w:w="90" w:type="dxa"/>
            </w:tcMar>
            <w:vAlign w:val="center"/>
          </w:tcPr>
          <w:p>
            <w:pPr>
              <w:spacing w:after="80" w:before="0" w:line="276" w:lineRule="auto"/>
            </w:pPr>
            <w:r>
              <w:rPr>
                <w:rFonts w:ascii="Aptos" w:hAnsi="Aptos"/>
                <w:b w:val="0"/>
                <w:i w:val="0"/>
                <w:color w:val="1C2737"/>
                <w:sz w:val="20"/>
              </w:rPr>
              <w:t>Implementation-ready rule-pack batch for governed v1 launch</w:t>
            </w:r>
          </w:p>
        </w:tc>
      </w:tr>
      <w:tr>
        <w:tc>
          <w:tcPr>
            <w:tcW w:type="dxa" w:w="2592"/>
            <w:tcMar>
              <w:top w:w="80" w:type="dxa"/>
              <w:start w:w="90" w:type="dxa"/>
              <w:bottom w:w="80" w:type="dxa"/>
              <w:end w:w="90" w:type="dxa"/>
            </w:tcMar>
            <w:vAlign w:val="center"/>
            <w:shd w:fill="EAF1F8"/>
          </w:tcPr>
          <w:p>
            <w:pPr>
              <w:spacing w:after="80" w:before="0" w:line="276" w:lineRule="auto"/>
            </w:pPr>
            <w:r>
              <w:rPr>
                <w:rFonts w:ascii="Aptos" w:hAnsi="Aptos"/>
                <w:b/>
                <w:i w:val="0"/>
                <w:color w:val="1C2737"/>
                <w:sz w:val="20"/>
              </w:rPr>
              <w:t>Depends on</w:t>
            </w:r>
          </w:p>
        </w:tc>
        <w:tc>
          <w:tcPr>
            <w:tcW w:type="dxa" w:w="7056"/>
            <w:tcMar>
              <w:top w:w="80" w:type="dxa"/>
              <w:start w:w="90" w:type="dxa"/>
              <w:bottom w:w="80" w:type="dxa"/>
              <w:end w:w="90" w:type="dxa"/>
            </w:tcMar>
            <w:vAlign w:val="center"/>
          </w:tcPr>
          <w:p>
            <w:pPr>
              <w:spacing w:after="80" w:before="0" w:line="276" w:lineRule="auto"/>
            </w:pPr>
            <w:r>
              <w:rPr>
                <w:rFonts w:ascii="Aptos" w:hAnsi="Aptos"/>
                <w:b w:val="0"/>
                <w:i w:val="0"/>
                <w:color w:val="1C2737"/>
                <w:sz w:val="20"/>
              </w:rPr>
              <w:t>Cluster Rule Pack Specification v1, Readiness &amp; Forecast Contract v1 and Part 2, DriftEligibility appendix, workbook-governed threshold references</w:t>
            </w:r>
          </w:p>
        </w:tc>
      </w:tr>
      <w:tr>
        <w:tc>
          <w:tcPr>
            <w:tcW w:type="dxa" w:w="2592"/>
            <w:tcMar>
              <w:top w:w="80" w:type="dxa"/>
              <w:start w:w="90" w:type="dxa"/>
              <w:bottom w:w="80" w:type="dxa"/>
              <w:end w:w="90" w:type="dxa"/>
            </w:tcMar>
            <w:vAlign w:val="center"/>
            <w:shd w:fill="EAF1F8"/>
          </w:tcPr>
          <w:p>
            <w:pPr>
              <w:spacing w:after="80" w:before="0" w:line="276" w:lineRule="auto"/>
            </w:pPr>
            <w:r>
              <w:rPr>
                <w:rFonts w:ascii="Aptos" w:hAnsi="Aptos"/>
                <w:b/>
                <w:i w:val="0"/>
                <w:color w:val="1C2737"/>
                <w:sz w:val="20"/>
              </w:rPr>
              <w:t>Clusters included</w:t>
            </w:r>
          </w:p>
        </w:tc>
        <w:tc>
          <w:tcPr>
            <w:tcW w:type="dxa" w:w="7056"/>
            <w:tcMar>
              <w:top w:w="80" w:type="dxa"/>
              <w:start w:w="90" w:type="dxa"/>
              <w:bottom w:w="80" w:type="dxa"/>
              <w:end w:w="90" w:type="dxa"/>
            </w:tcMar>
            <w:vAlign w:val="center"/>
          </w:tcPr>
          <w:p>
            <w:pPr>
              <w:spacing w:after="80" w:before="0" w:line="276" w:lineRule="auto"/>
            </w:pPr>
            <w:r>
              <w:rPr>
                <w:rFonts w:ascii="Aptos" w:hAnsi="Aptos"/>
                <w:b w:val="0"/>
                <w:i w:val="0"/>
                <w:color w:val="1C2737"/>
                <w:sz w:val="20"/>
              </w:rPr>
              <w:t>Vulnerability Loop, Control Avoidance, Slow Drift, Push-Pull, Repair Gap, Readiness Overstatement</w:t>
            </w:r>
          </w:p>
        </w:tc>
      </w:tr>
      <w:tr>
        <w:tc>
          <w:tcPr>
            <w:tcW w:type="dxa" w:w="2592"/>
            <w:tcMar>
              <w:top w:w="80" w:type="dxa"/>
              <w:start w:w="90" w:type="dxa"/>
              <w:bottom w:w="80" w:type="dxa"/>
              <w:end w:w="90" w:type="dxa"/>
            </w:tcMar>
            <w:vAlign w:val="center"/>
            <w:shd w:fill="EAF1F8"/>
          </w:tcPr>
          <w:p>
            <w:pPr>
              <w:spacing w:after="80" w:before="0" w:line="276" w:lineRule="auto"/>
            </w:pPr>
            <w:r>
              <w:rPr>
                <w:rFonts w:ascii="Aptos" w:hAnsi="Aptos"/>
                <w:b/>
                <w:i w:val="0"/>
                <w:color w:val="1C2737"/>
                <w:sz w:val="20"/>
              </w:rPr>
              <w:t>Versioning rule</w:t>
            </w:r>
          </w:p>
        </w:tc>
        <w:tc>
          <w:tcPr>
            <w:tcW w:type="dxa" w:w="7056"/>
            <w:tcMar>
              <w:top w:w="80" w:type="dxa"/>
              <w:start w:w="90" w:type="dxa"/>
              <w:bottom w:w="80" w:type="dxa"/>
              <w:end w:w="90" w:type="dxa"/>
            </w:tcMar>
            <w:vAlign w:val="center"/>
          </w:tcPr>
          <w:p>
            <w:pPr>
              <w:spacing w:after="80" w:before="0" w:line="276" w:lineRule="auto"/>
            </w:pPr>
            <w:r>
              <w:rPr>
                <w:rFonts w:ascii="Aptos" w:hAnsi="Aptos"/>
                <w:b w:val="0"/>
                <w:i w:val="0"/>
                <w:color w:val="1C2737"/>
                <w:sz w:val="20"/>
              </w:rPr>
              <w:t>Any trigger, threshold, or write-back change requires a version tag, migration note, and parity test against historical data</w:t>
            </w:r>
          </w:p>
        </w:tc>
      </w:tr>
    </w:tbl>
    <w:p/>
    <w:p>
      <w:r>
        <w:br w:type="page"/>
      </w:r>
    </w:p>
    <w:p>
      <w:pPr>
        <w:spacing w:before="200" w:after="40"/>
      </w:pPr>
      <w:r>
        <w:rPr>
          <w:b/>
          <w:color w:val="24528C"/>
          <w:sz w:val="28"/>
        </w:rPr>
        <w:t>Batch intent and implementation notes</w:t>
      </w:r>
    </w:p>
    <w:p>
      <w:pPr>
        <w:pStyle w:val="ListBullet"/>
        <w:spacing w:after="60" w:before="0" w:line="276" w:lineRule="auto"/>
        <w:ind w:left="259"/>
      </w:pPr>
      <w:r>
        <w:rPr>
          <w:rFonts w:ascii="Aptos" w:hAnsi="Aptos"/>
          <w:b w:val="0"/>
          <w:i w:val="0"/>
          <w:color w:val="1C2737"/>
          <w:sz w:val="21"/>
        </w:rPr>
        <w:t>These files assume the universal severity ladder and write-back classes already defined by the governing cluster specification.</w:t>
      </w:r>
    </w:p>
    <w:p>
      <w:pPr>
        <w:pStyle w:val="ListBullet"/>
        <w:spacing w:after="60" w:before="0" w:line="276" w:lineRule="auto"/>
        <w:ind w:left="259"/>
      </w:pPr>
      <w:r>
        <w:rPr>
          <w:rFonts w:ascii="Aptos" w:hAnsi="Aptos"/>
          <w:b w:val="0"/>
          <w:i w:val="0"/>
          <w:color w:val="1C2737"/>
          <w:sz w:val="21"/>
        </w:rPr>
        <w:t>Thresholds below are intentionally explicit enough for engineering, but they should still be cross-referenced to the canonical threshold workbook once the service constants are frozen.</w:t>
      </w:r>
    </w:p>
    <w:p>
      <w:pPr>
        <w:pStyle w:val="ListBullet"/>
        <w:spacing w:after="60" w:before="0" w:line="276" w:lineRule="auto"/>
        <w:ind w:left="259"/>
      </w:pPr>
      <w:r>
        <w:rPr>
          <w:rFonts w:ascii="Aptos" w:hAnsi="Aptos"/>
          <w:b w:val="0"/>
          <w:i w:val="0"/>
          <w:color w:val="1C2737"/>
          <w:sz w:val="21"/>
        </w:rPr>
        <w:t>A cluster may open in memory before it writes back. Public or partner-visible surfaces must only react to persisted write-back states allowed by policy.</w:t>
      </w:r>
    </w:p>
    <w:p>
      <w:pPr>
        <w:pStyle w:val="ListBullet"/>
        <w:spacing w:after="60" w:before="0" w:line="276" w:lineRule="auto"/>
        <w:ind w:left="259"/>
      </w:pPr>
      <w:r>
        <w:rPr>
          <w:rFonts w:ascii="Aptos" w:hAnsi="Aptos"/>
          <w:b w:val="0"/>
          <w:i w:val="0"/>
          <w:color w:val="1C2737"/>
          <w:sz w:val="21"/>
        </w:rPr>
        <w:t>No cluster in this batch is allowed to rewrite baseline archetype or baseline shadow assignments. They govern current operational state, not identity recasting.</w:t>
      </w:r>
    </w:p>
    <w:tbl>
      <w:tblPr>
        <w:tblW w:type="auto" w:w="0"/>
        <w:jc w:val="center"/>
        <w:tblLayout w:type="fixed"/>
        <w:tblLook w:firstColumn="1" w:firstRow="1" w:lastColumn="0" w:lastRow="0" w:noHBand="0" w:noVBand="1" w:val="04A0"/>
        <w:tblBorders>
          <w:top w:val="single" w:sz="8" w:space="0" w:color="C7D0DA"/>
          <w:left w:val="single" w:sz="8" w:space="0" w:color="C7D0DA"/>
          <w:bottom w:val="single" w:sz="8" w:space="0" w:color="C7D0DA"/>
          <w:right w:val="single" w:sz="8" w:space="0" w:color="C7D0DA"/>
          <w:insideH w:val="single" w:sz="8" w:space="0" w:color="C7D0DA"/>
          <w:insideV w:val="single" w:sz="8" w:space="0" w:color="C7D0DA"/>
        </w:tblBorders>
      </w:tblPr>
      <w:tblGrid>
        <w:gridCol w:w="2484"/>
        <w:gridCol w:w="2484"/>
        <w:gridCol w:w="2484"/>
        <w:gridCol w:w="2484"/>
      </w:tblGrid>
      <w:tr>
        <w:tc>
          <w:tcPr>
            <w:tcW w:type="dxa" w:w="1224"/>
            <w:tcMar>
              <w:top w:w="80" w:type="dxa"/>
              <w:start w:w="90" w:type="dxa"/>
              <w:bottom w:w="80" w:type="dxa"/>
              <w:end w:w="90" w:type="dxa"/>
            </w:tcMar>
            <w:shd w:fill="DDEAF7"/>
          </w:tcPr>
          <w:p>
            <w:pPr>
              <w:spacing w:after="80" w:before="0" w:line="276" w:lineRule="auto"/>
              <w:jc w:val="center"/>
            </w:pPr>
            <w:r>
              <w:rPr>
                <w:rFonts w:ascii="Aptos" w:hAnsi="Aptos"/>
                <w:b/>
                <w:i w:val="0"/>
                <w:color w:val="1C2737"/>
                <w:sz w:val="18"/>
              </w:rPr>
              <w:t>Cluster</w:t>
            </w:r>
          </w:p>
        </w:tc>
        <w:tc>
          <w:tcPr>
            <w:tcW w:type="dxa" w:w="2880"/>
            <w:tcMar>
              <w:top w:w="80" w:type="dxa"/>
              <w:start w:w="90" w:type="dxa"/>
              <w:bottom w:w="80" w:type="dxa"/>
              <w:end w:w="90" w:type="dxa"/>
            </w:tcMar>
            <w:shd w:fill="DDEAF7"/>
          </w:tcPr>
          <w:p>
            <w:pPr>
              <w:spacing w:after="80" w:before="0" w:line="276" w:lineRule="auto"/>
              <w:jc w:val="center"/>
            </w:pPr>
            <w:r>
              <w:rPr>
                <w:rFonts w:ascii="Aptos" w:hAnsi="Aptos"/>
                <w:b/>
                <w:i w:val="0"/>
                <w:color w:val="1C2737"/>
                <w:sz w:val="18"/>
              </w:rPr>
              <w:t>Core signal</w:t>
            </w:r>
          </w:p>
        </w:tc>
        <w:tc>
          <w:tcPr>
            <w:tcW w:type="dxa" w:w="1944"/>
            <w:tcMar>
              <w:top w:w="80" w:type="dxa"/>
              <w:start w:w="90" w:type="dxa"/>
              <w:bottom w:w="80" w:type="dxa"/>
              <w:end w:w="90" w:type="dxa"/>
            </w:tcMar>
            <w:shd w:fill="DDEAF7"/>
          </w:tcPr>
          <w:p>
            <w:pPr>
              <w:spacing w:after="80" w:before="0" w:line="276" w:lineRule="auto"/>
              <w:jc w:val="center"/>
            </w:pPr>
            <w:r>
              <w:rPr>
                <w:rFonts w:ascii="Aptos" w:hAnsi="Aptos"/>
                <w:b/>
                <w:i w:val="0"/>
                <w:color w:val="1C2737"/>
                <w:sz w:val="18"/>
              </w:rPr>
              <w:t>Primary scope</w:t>
            </w:r>
          </w:p>
        </w:tc>
        <w:tc>
          <w:tcPr>
            <w:tcW w:type="dxa" w:w="3744"/>
            <w:tcMar>
              <w:top w:w="80" w:type="dxa"/>
              <w:start w:w="90" w:type="dxa"/>
              <w:bottom w:w="80" w:type="dxa"/>
              <w:end w:w="90" w:type="dxa"/>
            </w:tcMar>
            <w:shd w:fill="DDEAF7"/>
          </w:tcPr>
          <w:p>
            <w:pPr>
              <w:spacing w:after="80" w:before="0" w:line="276" w:lineRule="auto"/>
              <w:jc w:val="center"/>
            </w:pPr>
            <w:r>
              <w:rPr>
                <w:rFonts w:ascii="Aptos" w:hAnsi="Aptos"/>
                <w:b/>
                <w:i w:val="0"/>
                <w:color w:val="1C2737"/>
                <w:sz w:val="18"/>
              </w:rPr>
              <w:t>Main downstream systems</w:t>
            </w:r>
          </w:p>
        </w:tc>
      </w:tr>
      <w:tr>
        <w:tc>
          <w:tcPr>
            <w:tcW w:type="dxa" w:w="1224"/>
            <w:tcMar>
              <w:top w:w="80" w:type="dxa"/>
              <w:start w:w="90" w:type="dxa"/>
              <w:bottom w:w="80" w:type="dxa"/>
              <w:end w:w="90" w:type="dxa"/>
            </w:tcMar>
            <w:vAlign w:val="center"/>
          </w:tcPr>
          <w:p>
            <w:pPr>
              <w:spacing w:after="80" w:before="0" w:line="276" w:lineRule="auto"/>
              <w:jc w:val="center"/>
            </w:pPr>
            <w:r>
              <w:rPr>
                <w:rFonts w:ascii="Aptos" w:hAnsi="Aptos"/>
                <w:b/>
                <w:i w:val="0"/>
                <w:color w:val="1C2737"/>
                <w:sz w:val="18"/>
              </w:rPr>
              <w:t>CL-101</w:t>
            </w:r>
          </w:p>
        </w:tc>
        <w:tc>
          <w:tcPr>
            <w:tcW w:type="dxa" w:w="2880"/>
            <w:tcMar>
              <w:top w:w="80" w:type="dxa"/>
              <w:start w:w="90" w:type="dxa"/>
              <w:bottom w:w="80" w:type="dxa"/>
              <w:end w:w="90" w:type="dxa"/>
            </w:tcMar>
            <w:vAlign w:val="center"/>
          </w:tcPr>
          <w:p>
            <w:pPr>
              <w:spacing w:after="80" w:before="0" w:line="276" w:lineRule="auto"/>
            </w:pPr>
            <w:r>
              <w:rPr>
                <w:rFonts w:ascii="Aptos" w:hAnsi="Aptos"/>
                <w:b w:val="0"/>
                <w:i w:val="0"/>
                <w:color w:val="1C2737"/>
                <w:sz w:val="18"/>
              </w:rPr>
              <w:t>closeness sought, then contact retreats when vulnerability becomes real</w:t>
            </w:r>
          </w:p>
        </w:tc>
        <w:tc>
          <w:tcPr>
            <w:tcW w:type="dxa" w:w="1944"/>
            <w:tcMar>
              <w:top w:w="80" w:type="dxa"/>
              <w:start w:w="90" w:type="dxa"/>
              <w:bottom w:w="80" w:type="dxa"/>
              <w:end w:w="90" w:type="dxa"/>
            </w:tcMar>
            <w:vAlign w:val="center"/>
          </w:tcPr>
          <w:p>
            <w:pPr>
              <w:spacing w:after="80" w:before="0" w:line="276" w:lineRule="auto"/>
            </w:pPr>
            <w:r>
              <w:rPr>
                <w:rFonts w:ascii="Aptos" w:hAnsi="Aptos"/>
                <w:b w:val="0"/>
                <w:i w:val="0"/>
                <w:color w:val="1C2737"/>
                <w:sz w:val="18"/>
              </w:rPr>
              <w:t>Individual and pair</w:t>
            </w:r>
          </w:p>
        </w:tc>
        <w:tc>
          <w:tcPr>
            <w:tcW w:type="dxa" w:w="3744"/>
            <w:tcMar>
              <w:top w:w="80" w:type="dxa"/>
              <w:start w:w="90" w:type="dxa"/>
              <w:bottom w:w="80" w:type="dxa"/>
              <w:end w:w="90" w:type="dxa"/>
            </w:tcMar>
            <w:vAlign w:val="center"/>
          </w:tcPr>
          <w:p>
            <w:pPr>
              <w:spacing w:after="80" w:before="0" w:line="276" w:lineRule="auto"/>
            </w:pPr>
            <w:r>
              <w:rPr>
                <w:rFonts w:ascii="Aptos" w:hAnsi="Aptos"/>
                <w:b w:val="0"/>
                <w:i w:val="0"/>
                <w:color w:val="1C2737"/>
                <w:sz w:val="18"/>
              </w:rPr>
              <w:t>Readiness, forecast, Sanctuary, AI coaching</w:t>
            </w:r>
          </w:p>
        </w:tc>
      </w:tr>
      <w:tr>
        <w:tc>
          <w:tcPr>
            <w:tcW w:type="dxa" w:w="1224"/>
            <w:tcMar>
              <w:top w:w="80" w:type="dxa"/>
              <w:start w:w="90" w:type="dxa"/>
              <w:bottom w:w="80" w:type="dxa"/>
              <w:end w:w="90" w:type="dxa"/>
            </w:tcMar>
            <w:vAlign w:val="center"/>
          </w:tcPr>
          <w:p>
            <w:pPr>
              <w:spacing w:after="80" w:before="0" w:line="276" w:lineRule="auto"/>
              <w:jc w:val="center"/>
            </w:pPr>
            <w:r>
              <w:rPr>
                <w:rFonts w:ascii="Aptos" w:hAnsi="Aptos"/>
                <w:b/>
                <w:i w:val="0"/>
                <w:color w:val="1C2737"/>
                <w:sz w:val="18"/>
              </w:rPr>
              <w:t>CL-102</w:t>
            </w:r>
          </w:p>
        </w:tc>
        <w:tc>
          <w:tcPr>
            <w:tcW w:type="dxa" w:w="2880"/>
            <w:tcMar>
              <w:top w:w="80" w:type="dxa"/>
              <w:start w:w="90" w:type="dxa"/>
              <w:bottom w:w="80" w:type="dxa"/>
              <w:end w:w="90" w:type="dxa"/>
            </w:tcMar>
            <w:vAlign w:val="center"/>
          </w:tcPr>
          <w:p>
            <w:pPr>
              <w:spacing w:after="80" w:before="0" w:line="276" w:lineRule="auto"/>
            </w:pPr>
            <w:r>
              <w:rPr>
                <w:rFonts w:ascii="Aptos" w:hAnsi="Aptos"/>
                <w:b w:val="0"/>
                <w:i w:val="0"/>
                <w:color w:val="1C2737"/>
                <w:sz w:val="18"/>
              </w:rPr>
              <w:t>autonomy defense pattern that blocks repair, structure, or mutual planning</w:t>
            </w:r>
          </w:p>
        </w:tc>
        <w:tc>
          <w:tcPr>
            <w:tcW w:type="dxa" w:w="1944"/>
            <w:tcMar>
              <w:top w:w="80" w:type="dxa"/>
              <w:start w:w="90" w:type="dxa"/>
              <w:bottom w:w="80" w:type="dxa"/>
              <w:end w:w="90" w:type="dxa"/>
            </w:tcMar>
            <w:vAlign w:val="center"/>
          </w:tcPr>
          <w:p>
            <w:pPr>
              <w:spacing w:after="80" w:before="0" w:line="276" w:lineRule="auto"/>
            </w:pPr>
            <w:r>
              <w:rPr>
                <w:rFonts w:ascii="Aptos" w:hAnsi="Aptos"/>
                <w:b w:val="0"/>
                <w:i w:val="0"/>
                <w:color w:val="1C2737"/>
                <w:sz w:val="18"/>
              </w:rPr>
              <w:t>Individual and pair</w:t>
            </w:r>
          </w:p>
        </w:tc>
        <w:tc>
          <w:tcPr>
            <w:tcW w:type="dxa" w:w="3744"/>
            <w:tcMar>
              <w:top w:w="80" w:type="dxa"/>
              <w:start w:w="90" w:type="dxa"/>
              <w:bottom w:w="80" w:type="dxa"/>
              <w:end w:w="90" w:type="dxa"/>
            </w:tcMar>
            <w:vAlign w:val="center"/>
          </w:tcPr>
          <w:p>
            <w:pPr>
              <w:spacing w:after="80" w:before="0" w:line="276" w:lineRule="auto"/>
            </w:pPr>
            <w:r>
              <w:rPr>
                <w:rFonts w:ascii="Aptos" w:hAnsi="Aptos"/>
                <w:b w:val="0"/>
                <w:i w:val="0"/>
                <w:color w:val="1C2737"/>
                <w:sz w:val="18"/>
              </w:rPr>
              <w:t>Readiness, forecast, pacing, Knock / messaging guidance</w:t>
            </w:r>
          </w:p>
        </w:tc>
      </w:tr>
      <w:tr>
        <w:tc>
          <w:tcPr>
            <w:tcW w:type="dxa" w:w="1224"/>
            <w:tcMar>
              <w:top w:w="80" w:type="dxa"/>
              <w:start w:w="90" w:type="dxa"/>
              <w:bottom w:w="80" w:type="dxa"/>
              <w:end w:w="90" w:type="dxa"/>
            </w:tcMar>
            <w:vAlign w:val="center"/>
          </w:tcPr>
          <w:p>
            <w:pPr>
              <w:spacing w:after="80" w:before="0" w:line="276" w:lineRule="auto"/>
              <w:jc w:val="center"/>
            </w:pPr>
            <w:r>
              <w:rPr>
                <w:rFonts w:ascii="Aptos" w:hAnsi="Aptos"/>
                <w:b/>
                <w:i w:val="0"/>
                <w:color w:val="1C2737"/>
                <w:sz w:val="18"/>
              </w:rPr>
              <w:t>CL-103</w:t>
            </w:r>
          </w:p>
        </w:tc>
        <w:tc>
          <w:tcPr>
            <w:tcW w:type="dxa" w:w="2880"/>
            <w:tcMar>
              <w:top w:w="80" w:type="dxa"/>
              <w:start w:w="90" w:type="dxa"/>
              <w:bottom w:w="80" w:type="dxa"/>
              <w:end w:w="90" w:type="dxa"/>
            </w:tcMar>
            <w:vAlign w:val="center"/>
          </w:tcPr>
          <w:p>
            <w:pPr>
              <w:spacing w:after="80" w:before="0" w:line="276" w:lineRule="auto"/>
            </w:pPr>
            <w:r>
              <w:rPr>
                <w:rFonts w:ascii="Aptos" w:hAnsi="Aptos"/>
                <w:b w:val="0"/>
                <w:i w:val="0"/>
                <w:color w:val="1C2737"/>
                <w:sz w:val="18"/>
              </w:rPr>
              <w:t>slow-moving deterioration in connection quality across a governed rollup window</w:t>
            </w:r>
          </w:p>
        </w:tc>
        <w:tc>
          <w:tcPr>
            <w:tcW w:type="dxa" w:w="1944"/>
            <w:tcMar>
              <w:top w:w="80" w:type="dxa"/>
              <w:start w:w="90" w:type="dxa"/>
              <w:bottom w:w="80" w:type="dxa"/>
              <w:end w:w="90" w:type="dxa"/>
            </w:tcMar>
            <w:vAlign w:val="center"/>
          </w:tcPr>
          <w:p>
            <w:pPr>
              <w:spacing w:after="80" w:before="0" w:line="276" w:lineRule="auto"/>
            </w:pPr>
            <w:r>
              <w:rPr>
                <w:rFonts w:ascii="Aptos" w:hAnsi="Aptos"/>
                <w:b w:val="0"/>
                <w:i w:val="0"/>
                <w:color w:val="1C2737"/>
                <w:sz w:val="18"/>
              </w:rPr>
              <w:t>Pair-state with user write-back mirrors</w:t>
            </w:r>
          </w:p>
        </w:tc>
        <w:tc>
          <w:tcPr>
            <w:tcW w:type="dxa" w:w="3744"/>
            <w:tcMar>
              <w:top w:w="80" w:type="dxa"/>
              <w:start w:w="90" w:type="dxa"/>
              <w:bottom w:w="80" w:type="dxa"/>
              <w:end w:w="90" w:type="dxa"/>
            </w:tcMar>
            <w:vAlign w:val="center"/>
          </w:tcPr>
          <w:p>
            <w:pPr>
              <w:spacing w:after="80" w:before="0" w:line="276" w:lineRule="auto"/>
            </w:pPr>
            <w:r>
              <w:rPr>
                <w:rFonts w:ascii="Aptos" w:hAnsi="Aptos"/>
                <w:b w:val="0"/>
                <w:i w:val="0"/>
                <w:color w:val="1C2737"/>
                <w:sz w:val="18"/>
              </w:rPr>
              <w:t>Forecast, pair guidance, drift ledger, guarded mode surfaces</w:t>
            </w:r>
          </w:p>
        </w:tc>
      </w:tr>
      <w:tr>
        <w:tc>
          <w:tcPr>
            <w:tcW w:type="dxa" w:w="1224"/>
            <w:tcMar>
              <w:top w:w="80" w:type="dxa"/>
              <w:start w:w="90" w:type="dxa"/>
              <w:bottom w:w="80" w:type="dxa"/>
              <w:end w:w="90" w:type="dxa"/>
            </w:tcMar>
            <w:vAlign w:val="center"/>
          </w:tcPr>
          <w:p>
            <w:pPr>
              <w:spacing w:after="80" w:before="0" w:line="276" w:lineRule="auto"/>
              <w:jc w:val="center"/>
            </w:pPr>
            <w:r>
              <w:rPr>
                <w:rFonts w:ascii="Aptos" w:hAnsi="Aptos"/>
                <w:b/>
                <w:i w:val="0"/>
                <w:color w:val="1C2737"/>
                <w:sz w:val="18"/>
              </w:rPr>
              <w:t>CL-104</w:t>
            </w:r>
          </w:p>
        </w:tc>
        <w:tc>
          <w:tcPr>
            <w:tcW w:type="dxa" w:w="2880"/>
            <w:tcMar>
              <w:top w:w="80" w:type="dxa"/>
              <w:start w:w="90" w:type="dxa"/>
              <w:bottom w:w="80" w:type="dxa"/>
              <w:end w:w="90" w:type="dxa"/>
            </w:tcMar>
            <w:vAlign w:val="center"/>
          </w:tcPr>
          <w:p>
            <w:pPr>
              <w:spacing w:after="80" w:before="0" w:line="276" w:lineRule="auto"/>
            </w:pPr>
            <w:r>
              <w:rPr>
                <w:rFonts w:ascii="Aptos" w:hAnsi="Aptos"/>
                <w:b w:val="0"/>
                <w:i w:val="0"/>
                <w:color w:val="1C2737"/>
                <w:sz w:val="18"/>
              </w:rPr>
              <w:t>alternating pursuit and withdrawal cycle that destabilizes reciprocity</w:t>
            </w:r>
          </w:p>
        </w:tc>
        <w:tc>
          <w:tcPr>
            <w:tcW w:type="dxa" w:w="1944"/>
            <w:tcMar>
              <w:top w:w="80" w:type="dxa"/>
              <w:start w:w="90" w:type="dxa"/>
              <w:bottom w:w="80" w:type="dxa"/>
              <w:end w:w="90" w:type="dxa"/>
            </w:tcMar>
            <w:vAlign w:val="center"/>
          </w:tcPr>
          <w:p>
            <w:pPr>
              <w:spacing w:after="80" w:before="0" w:line="276" w:lineRule="auto"/>
            </w:pPr>
            <w:r>
              <w:rPr>
                <w:rFonts w:ascii="Aptos" w:hAnsi="Aptos"/>
                <w:b w:val="0"/>
                <w:i w:val="0"/>
                <w:color w:val="1C2737"/>
                <w:sz w:val="18"/>
              </w:rPr>
              <w:t>Pair with mirrored user-state traces</w:t>
            </w:r>
          </w:p>
        </w:tc>
        <w:tc>
          <w:tcPr>
            <w:tcW w:type="dxa" w:w="3744"/>
            <w:tcMar>
              <w:top w:w="80" w:type="dxa"/>
              <w:start w:w="90" w:type="dxa"/>
              <w:bottom w:w="80" w:type="dxa"/>
              <w:end w:w="90" w:type="dxa"/>
            </w:tcMar>
            <w:vAlign w:val="center"/>
          </w:tcPr>
          <w:p>
            <w:pPr>
              <w:spacing w:after="80" w:before="0" w:line="276" w:lineRule="auto"/>
            </w:pPr>
            <w:r>
              <w:rPr>
                <w:rFonts w:ascii="Aptos" w:hAnsi="Aptos"/>
                <w:b w:val="0"/>
                <w:i w:val="0"/>
                <w:color w:val="1C2737"/>
                <w:sz w:val="18"/>
              </w:rPr>
              <w:t>Forecast, messaging interventions, Sanctuary reflections</w:t>
            </w:r>
          </w:p>
        </w:tc>
      </w:tr>
      <w:tr>
        <w:tc>
          <w:tcPr>
            <w:tcW w:type="dxa" w:w="1224"/>
            <w:tcMar>
              <w:top w:w="80" w:type="dxa"/>
              <w:start w:w="90" w:type="dxa"/>
              <w:bottom w:w="80" w:type="dxa"/>
              <w:end w:w="90" w:type="dxa"/>
            </w:tcMar>
            <w:vAlign w:val="center"/>
          </w:tcPr>
          <w:p>
            <w:pPr>
              <w:spacing w:after="80" w:before="0" w:line="276" w:lineRule="auto"/>
              <w:jc w:val="center"/>
            </w:pPr>
            <w:r>
              <w:rPr>
                <w:rFonts w:ascii="Aptos" w:hAnsi="Aptos"/>
                <w:b/>
                <w:i w:val="0"/>
                <w:color w:val="1C2737"/>
                <w:sz w:val="18"/>
              </w:rPr>
              <w:t>CL-105</w:t>
            </w:r>
          </w:p>
        </w:tc>
        <w:tc>
          <w:tcPr>
            <w:tcW w:type="dxa" w:w="2880"/>
            <w:tcMar>
              <w:top w:w="80" w:type="dxa"/>
              <w:start w:w="90" w:type="dxa"/>
              <w:bottom w:w="80" w:type="dxa"/>
              <w:end w:w="90" w:type="dxa"/>
            </w:tcMar>
            <w:vAlign w:val="center"/>
          </w:tcPr>
          <w:p>
            <w:pPr>
              <w:spacing w:after="80" w:before="0" w:line="276" w:lineRule="auto"/>
            </w:pPr>
            <w:r>
              <w:rPr>
                <w:rFonts w:ascii="Aptos" w:hAnsi="Aptos"/>
                <w:b w:val="0"/>
                <w:i w:val="0"/>
                <w:color w:val="1C2737"/>
                <w:sz w:val="18"/>
              </w:rPr>
              <w:t>conflict occurs but repair behavior is absent, delayed, or collapses</w:t>
            </w:r>
          </w:p>
        </w:tc>
        <w:tc>
          <w:tcPr>
            <w:tcW w:type="dxa" w:w="1944"/>
            <w:tcMar>
              <w:top w:w="80" w:type="dxa"/>
              <w:start w:w="90" w:type="dxa"/>
              <w:bottom w:w="80" w:type="dxa"/>
              <w:end w:w="90" w:type="dxa"/>
            </w:tcMar>
            <w:vAlign w:val="center"/>
          </w:tcPr>
          <w:p>
            <w:pPr>
              <w:spacing w:after="80" w:before="0" w:line="276" w:lineRule="auto"/>
            </w:pPr>
            <w:r>
              <w:rPr>
                <w:rFonts w:ascii="Aptos" w:hAnsi="Aptos"/>
                <w:b w:val="0"/>
                <w:i w:val="0"/>
                <w:color w:val="1C2737"/>
                <w:sz w:val="18"/>
              </w:rPr>
              <w:t>Pair and individual behavior trace</w:t>
            </w:r>
          </w:p>
        </w:tc>
        <w:tc>
          <w:tcPr>
            <w:tcW w:type="dxa" w:w="3744"/>
            <w:tcMar>
              <w:top w:w="80" w:type="dxa"/>
              <w:start w:w="90" w:type="dxa"/>
              <w:bottom w:w="80" w:type="dxa"/>
              <w:end w:w="90" w:type="dxa"/>
            </w:tcMar>
            <w:vAlign w:val="center"/>
          </w:tcPr>
          <w:p>
            <w:pPr>
              <w:spacing w:after="80" w:before="0" w:line="276" w:lineRule="auto"/>
            </w:pPr>
            <w:r>
              <w:rPr>
                <w:rFonts w:ascii="Aptos" w:hAnsi="Aptos"/>
                <w:b w:val="0"/>
                <w:i w:val="0"/>
                <w:color w:val="1C2737"/>
                <w:sz w:val="18"/>
              </w:rPr>
              <w:t>Forecast, readiness confidence, AI intervention timing</w:t>
            </w:r>
          </w:p>
        </w:tc>
      </w:tr>
      <w:tr>
        <w:tc>
          <w:tcPr>
            <w:tcW w:type="dxa" w:w="1224"/>
            <w:tcMar>
              <w:top w:w="80" w:type="dxa"/>
              <w:start w:w="90" w:type="dxa"/>
              <w:bottom w:w="80" w:type="dxa"/>
              <w:end w:w="90" w:type="dxa"/>
            </w:tcMar>
            <w:vAlign w:val="center"/>
          </w:tcPr>
          <w:p>
            <w:pPr>
              <w:spacing w:after="80" w:before="0" w:line="276" w:lineRule="auto"/>
              <w:jc w:val="center"/>
            </w:pPr>
            <w:r>
              <w:rPr>
                <w:rFonts w:ascii="Aptos" w:hAnsi="Aptos"/>
                <w:b/>
                <w:i w:val="0"/>
                <w:color w:val="1C2737"/>
                <w:sz w:val="18"/>
              </w:rPr>
              <w:t>CL-106</w:t>
            </w:r>
          </w:p>
        </w:tc>
        <w:tc>
          <w:tcPr>
            <w:tcW w:type="dxa" w:w="2880"/>
            <w:tcMar>
              <w:top w:w="80" w:type="dxa"/>
              <w:start w:w="90" w:type="dxa"/>
              <w:bottom w:w="80" w:type="dxa"/>
              <w:end w:w="90" w:type="dxa"/>
            </w:tcMar>
            <w:vAlign w:val="center"/>
          </w:tcPr>
          <w:p>
            <w:pPr>
              <w:spacing w:after="80" w:before="0" w:line="276" w:lineRule="auto"/>
            </w:pPr>
            <w:r>
              <w:rPr>
                <w:rFonts w:ascii="Aptos" w:hAnsi="Aptos"/>
                <w:b w:val="0"/>
                <w:i w:val="0"/>
                <w:color w:val="1C2737"/>
                <w:sz w:val="18"/>
              </w:rPr>
              <w:t>claimed readiness exceeds evidence-supported readiness or current behavioral stability</w:t>
            </w:r>
          </w:p>
        </w:tc>
        <w:tc>
          <w:tcPr>
            <w:tcW w:type="dxa" w:w="1944"/>
            <w:tcMar>
              <w:top w:w="80" w:type="dxa"/>
              <w:start w:w="90" w:type="dxa"/>
              <w:bottom w:w="80" w:type="dxa"/>
              <w:end w:w="90" w:type="dxa"/>
            </w:tcMar>
            <w:vAlign w:val="center"/>
          </w:tcPr>
          <w:p>
            <w:pPr>
              <w:spacing w:after="80" w:before="0" w:line="276" w:lineRule="auto"/>
            </w:pPr>
            <w:r>
              <w:rPr>
                <w:rFonts w:ascii="Aptos" w:hAnsi="Aptos"/>
                <w:b w:val="0"/>
                <w:i w:val="0"/>
                <w:color w:val="1C2737"/>
                <w:sz w:val="18"/>
              </w:rPr>
              <w:t>Individual</w:t>
            </w:r>
          </w:p>
        </w:tc>
        <w:tc>
          <w:tcPr>
            <w:tcW w:type="dxa" w:w="3744"/>
            <w:tcMar>
              <w:top w:w="80" w:type="dxa"/>
              <w:start w:w="90" w:type="dxa"/>
              <w:bottom w:w="80" w:type="dxa"/>
              <w:end w:w="90" w:type="dxa"/>
            </w:tcMar>
            <w:vAlign w:val="center"/>
          </w:tcPr>
          <w:p>
            <w:pPr>
              <w:spacing w:after="80" w:before="0" w:line="276" w:lineRule="auto"/>
            </w:pPr>
            <w:r>
              <w:rPr>
                <w:rFonts w:ascii="Aptos" w:hAnsi="Aptos"/>
                <w:b w:val="0"/>
                <w:i w:val="0"/>
                <w:color w:val="1C2737"/>
                <w:sz w:val="18"/>
              </w:rPr>
              <w:t>Public readiness display, AI coaching, eligibility gates</w:t>
            </w:r>
          </w:p>
        </w:tc>
      </w:tr>
    </w:tbl>
    <w:p/>
    <w:p>
      <w:pPr>
        <w:spacing w:before="200" w:after="40"/>
      </w:pPr>
      <w:r>
        <w:rPr>
          <w:b/>
          <w:color w:val="24528C"/>
          <w:sz w:val="28"/>
        </w:rPr>
        <w:t>CL-101 - Vulnerability Loop</w:t>
      </w:r>
    </w:p>
    <w:tbl>
      <w:tblPr>
        <w:tblW w:type="auto" w:w="0"/>
        <w:jc w:val="center"/>
        <w:tblLayout w:type="fixed"/>
        <w:tblLook w:firstColumn="1" w:firstRow="1" w:lastColumn="0" w:lastRow="0" w:noHBand="0" w:noVBand="1" w:val="04A0"/>
        <w:tblBorders>
          <w:top w:val="single" w:sz="8" w:space="0" w:color="C7D0DA"/>
          <w:left w:val="single" w:sz="8" w:space="0" w:color="C7D0DA"/>
          <w:bottom w:val="single" w:sz="8" w:space="0" w:color="C7D0DA"/>
          <w:right w:val="single" w:sz="8" w:space="0" w:color="C7D0DA"/>
          <w:insideH w:val="single" w:sz="8" w:space="0" w:color="C7D0DA"/>
          <w:insideV w:val="single" w:sz="8" w:space="0" w:color="C7D0DA"/>
        </w:tblBorders>
      </w:tblPr>
      <w:tblGrid>
        <w:gridCol w:w="4968"/>
        <w:gridCol w:w="4968"/>
      </w:tblGrid>
      <w:tr>
        <w:tc>
          <w:tcPr>
            <w:tcW w:type="dxa" w:w="2592"/>
            <w:tcMar>
              <w:top w:w="80" w:type="dxa"/>
              <w:start w:w="90" w:type="dxa"/>
              <w:bottom w:w="80" w:type="dxa"/>
              <w:end w:w="90" w:type="dxa"/>
            </w:tcMar>
            <w:vAlign w:val="center"/>
            <w:shd w:fill="EAF1F8"/>
          </w:tcPr>
          <w:p>
            <w:pPr>
              <w:spacing w:after="80" w:before="0" w:line="276" w:lineRule="auto"/>
            </w:pPr>
            <w:r>
              <w:rPr>
                <w:rFonts w:ascii="Aptos" w:hAnsi="Aptos"/>
                <w:b/>
                <w:i w:val="0"/>
                <w:color w:val="1C2737"/>
                <w:sz w:val="20"/>
              </w:rPr>
              <w:t>Family</w:t>
            </w:r>
          </w:p>
        </w:tc>
        <w:tc>
          <w:tcPr>
            <w:tcW w:type="dxa" w:w="7056"/>
            <w:tcMar>
              <w:top w:w="80" w:type="dxa"/>
              <w:start w:w="90" w:type="dxa"/>
              <w:bottom w:w="80" w:type="dxa"/>
              <w:end w:w="90" w:type="dxa"/>
            </w:tcMar>
            <w:vAlign w:val="center"/>
          </w:tcPr>
          <w:p>
            <w:pPr>
              <w:spacing w:after="80" w:before="0" w:line="276" w:lineRule="auto"/>
            </w:pPr>
            <w:r>
              <w:rPr>
                <w:rFonts w:ascii="Aptos" w:hAnsi="Aptos"/>
                <w:b w:val="0"/>
                <w:i w:val="0"/>
                <w:color w:val="1C2737"/>
                <w:sz w:val="20"/>
              </w:rPr>
              <w:t>Contradiction / attachment reflection cluster</w:t>
            </w:r>
          </w:p>
        </w:tc>
      </w:tr>
      <w:tr>
        <w:tc>
          <w:tcPr>
            <w:tcW w:type="dxa" w:w="2592"/>
            <w:tcMar>
              <w:top w:w="80" w:type="dxa"/>
              <w:start w:w="90" w:type="dxa"/>
              <w:bottom w:w="80" w:type="dxa"/>
              <w:end w:w="90" w:type="dxa"/>
            </w:tcMar>
            <w:vAlign w:val="center"/>
            <w:shd w:fill="EAF1F8"/>
          </w:tcPr>
          <w:p>
            <w:pPr>
              <w:spacing w:after="80" w:before="0" w:line="276" w:lineRule="auto"/>
            </w:pPr>
            <w:r>
              <w:rPr>
                <w:rFonts w:ascii="Aptos" w:hAnsi="Aptos"/>
                <w:b/>
                <w:i w:val="0"/>
                <w:color w:val="1C2737"/>
                <w:sz w:val="20"/>
              </w:rPr>
              <w:t>Scope</w:t>
            </w:r>
          </w:p>
        </w:tc>
        <w:tc>
          <w:tcPr>
            <w:tcW w:type="dxa" w:w="7056"/>
            <w:tcMar>
              <w:top w:w="80" w:type="dxa"/>
              <w:start w:w="90" w:type="dxa"/>
              <w:bottom w:w="80" w:type="dxa"/>
              <w:end w:w="90" w:type="dxa"/>
            </w:tcMar>
            <w:vAlign w:val="center"/>
          </w:tcPr>
          <w:p>
            <w:pPr>
              <w:spacing w:after="80" w:before="0" w:line="276" w:lineRule="auto"/>
            </w:pPr>
            <w:r>
              <w:rPr>
                <w:rFonts w:ascii="Aptos" w:hAnsi="Aptos"/>
                <w:b w:val="0"/>
                <w:i w:val="0"/>
                <w:color w:val="1C2737"/>
                <w:sz w:val="20"/>
              </w:rPr>
              <w:t>Individual first; pair-visible effect allowed only through softened downstream signals</w:t>
            </w:r>
          </w:p>
        </w:tc>
      </w:tr>
      <w:tr>
        <w:tc>
          <w:tcPr>
            <w:tcW w:type="dxa" w:w="2592"/>
            <w:tcMar>
              <w:top w:w="80" w:type="dxa"/>
              <w:start w:w="90" w:type="dxa"/>
              <w:bottom w:w="80" w:type="dxa"/>
              <w:end w:w="90" w:type="dxa"/>
            </w:tcMar>
            <w:vAlign w:val="center"/>
            <w:shd w:fill="EAF1F8"/>
          </w:tcPr>
          <w:p>
            <w:pPr>
              <w:spacing w:after="80" w:before="0" w:line="276" w:lineRule="auto"/>
            </w:pPr>
            <w:r>
              <w:rPr>
                <w:rFonts w:ascii="Aptos" w:hAnsi="Aptos"/>
                <w:b/>
                <w:i w:val="0"/>
                <w:color w:val="1C2737"/>
                <w:sz w:val="20"/>
              </w:rPr>
              <w:t>Purpose</w:t>
            </w:r>
          </w:p>
        </w:tc>
        <w:tc>
          <w:tcPr>
            <w:tcW w:type="dxa" w:w="7056"/>
            <w:tcMar>
              <w:top w:w="80" w:type="dxa"/>
              <w:start w:w="90" w:type="dxa"/>
              <w:bottom w:w="80" w:type="dxa"/>
              <w:end w:w="90" w:type="dxa"/>
            </w:tcMar>
            <w:vAlign w:val="center"/>
          </w:tcPr>
          <w:p>
            <w:pPr>
              <w:spacing w:after="80" w:before="0" w:line="276" w:lineRule="auto"/>
            </w:pPr>
            <w:r>
              <w:rPr>
                <w:rFonts w:ascii="Aptos" w:hAnsi="Aptos"/>
                <w:b w:val="0"/>
                <w:i w:val="0"/>
                <w:color w:val="1C2737"/>
                <w:sz w:val="20"/>
              </w:rPr>
              <w:t>Detect a recurring pattern where the user expresses desire for closeness, depth, honesty, or reassurance, then pulls back when intimacy becomes emotionally real or demands stable reciprocity.</w:t>
            </w:r>
          </w:p>
        </w:tc>
      </w:tr>
      <w:tr>
        <w:tc>
          <w:tcPr>
            <w:tcW w:type="dxa" w:w="2592"/>
            <w:tcMar>
              <w:top w:w="80" w:type="dxa"/>
              <w:start w:w="90" w:type="dxa"/>
              <w:bottom w:w="80" w:type="dxa"/>
              <w:end w:w="90" w:type="dxa"/>
            </w:tcMar>
            <w:vAlign w:val="center"/>
            <w:shd w:fill="EAF1F8"/>
          </w:tcPr>
          <w:p>
            <w:pPr>
              <w:spacing w:after="80" w:before="0" w:line="276" w:lineRule="auto"/>
            </w:pPr>
            <w:r>
              <w:rPr>
                <w:rFonts w:ascii="Aptos" w:hAnsi="Aptos"/>
                <w:b/>
                <w:i w:val="0"/>
                <w:color w:val="1C2737"/>
                <w:sz w:val="20"/>
              </w:rPr>
              <w:t>Primary sources</w:t>
            </w:r>
          </w:p>
        </w:tc>
        <w:tc>
          <w:tcPr>
            <w:tcW w:type="dxa" w:w="7056"/>
            <w:tcMar>
              <w:top w:w="80" w:type="dxa"/>
              <w:start w:w="90" w:type="dxa"/>
              <w:bottom w:w="80" w:type="dxa"/>
              <w:end w:w="90" w:type="dxa"/>
            </w:tcMar>
            <w:vAlign w:val="center"/>
          </w:tcPr>
          <w:p>
            <w:pPr>
              <w:spacing w:after="80" w:before="0" w:line="276" w:lineRule="auto"/>
            </w:pPr>
            <w:r>
              <w:rPr>
                <w:rFonts w:ascii="Aptos" w:hAnsi="Aptos"/>
                <w:b w:val="0"/>
                <w:i w:val="0"/>
                <w:color w:val="1C2737"/>
                <w:sz w:val="20"/>
              </w:rPr>
              <w:t>Assessment contradictions (for example openness vs retreat answers), message-response retreat events, bid acceptance followed by avoidance, reflection completions, repair participation.</w:t>
            </w:r>
          </w:p>
        </w:tc>
      </w:tr>
      <w:tr>
        <w:tc>
          <w:tcPr>
            <w:tcW w:type="dxa" w:w="2592"/>
            <w:tcMar>
              <w:top w:w="80" w:type="dxa"/>
              <w:start w:w="90" w:type="dxa"/>
              <w:bottom w:w="80" w:type="dxa"/>
              <w:end w:w="90" w:type="dxa"/>
            </w:tcMar>
            <w:vAlign w:val="center"/>
            <w:shd w:fill="EAF1F8"/>
          </w:tcPr>
          <w:p>
            <w:pPr>
              <w:spacing w:after="80" w:before="0" w:line="276" w:lineRule="auto"/>
            </w:pPr>
            <w:r>
              <w:rPr>
                <w:rFonts w:ascii="Aptos" w:hAnsi="Aptos"/>
                <w:b/>
                <w:i w:val="0"/>
                <w:color w:val="1C2737"/>
                <w:sz w:val="20"/>
              </w:rPr>
              <w:t>Default posture</w:t>
            </w:r>
          </w:p>
        </w:tc>
        <w:tc>
          <w:tcPr>
            <w:tcW w:type="dxa" w:w="7056"/>
            <w:tcMar>
              <w:top w:w="80" w:type="dxa"/>
              <w:start w:w="90" w:type="dxa"/>
              <w:bottom w:w="80" w:type="dxa"/>
              <w:end w:w="90" w:type="dxa"/>
            </w:tcMar>
            <w:vAlign w:val="center"/>
          </w:tcPr>
          <w:p>
            <w:pPr>
              <w:spacing w:after="80" w:before="0" w:line="276" w:lineRule="auto"/>
            </w:pPr>
            <w:r>
              <w:rPr>
                <w:rFonts w:ascii="Aptos" w:hAnsi="Aptos"/>
                <w:b w:val="0"/>
                <w:i w:val="0"/>
                <w:color w:val="1C2737"/>
                <w:sz w:val="20"/>
              </w:rPr>
              <w:t>High-confidence contradiction cluster with controlled early warning; should open cautiously and escalate only when repetition or cross-source agreement exists.</w:t>
            </w:r>
          </w:p>
        </w:tc>
      </w:tr>
      <w:tr>
        <w:tc>
          <w:tcPr>
            <w:tcW w:type="dxa" w:w="2592"/>
            <w:tcMar>
              <w:top w:w="80" w:type="dxa"/>
              <w:start w:w="90" w:type="dxa"/>
              <w:bottom w:w="80" w:type="dxa"/>
              <w:end w:w="90" w:type="dxa"/>
            </w:tcMar>
            <w:vAlign w:val="center"/>
            <w:shd w:fill="EAF1F8"/>
          </w:tcPr>
          <w:p>
            <w:pPr>
              <w:spacing w:after="80" w:before="0" w:line="276" w:lineRule="auto"/>
            </w:pPr>
            <w:r>
              <w:rPr>
                <w:rFonts w:ascii="Aptos" w:hAnsi="Aptos"/>
                <w:b/>
                <w:i w:val="0"/>
                <w:color w:val="1C2737"/>
                <w:sz w:val="20"/>
              </w:rPr>
              <w:t>User exposure</w:t>
            </w:r>
          </w:p>
        </w:tc>
        <w:tc>
          <w:tcPr>
            <w:tcW w:type="dxa" w:w="7056"/>
            <w:tcMar>
              <w:top w:w="80" w:type="dxa"/>
              <w:start w:w="90" w:type="dxa"/>
              <w:bottom w:w="80" w:type="dxa"/>
              <w:end w:w="90" w:type="dxa"/>
            </w:tcMar>
            <w:vAlign w:val="center"/>
          </w:tcPr>
          <w:p>
            <w:pPr>
              <w:spacing w:after="80" w:before="0" w:line="276" w:lineRule="auto"/>
            </w:pPr>
            <w:r>
              <w:rPr>
                <w:rFonts w:ascii="Aptos" w:hAnsi="Aptos"/>
                <w:b w:val="0"/>
                <w:i w:val="0"/>
                <w:color w:val="1C2737"/>
                <w:sz w:val="20"/>
              </w:rPr>
              <w:t>Softened user-facing language allowed; raw cluster ID remains internal.</w:t>
            </w:r>
          </w:p>
        </w:tc>
      </w:tr>
    </w:tbl>
    <w:p/>
    <w:p>
      <w:pPr>
        <w:spacing w:after="60" w:before="0" w:line="276" w:lineRule="auto"/>
      </w:pPr>
      <w:r>
        <w:rPr>
          <w:rFonts w:ascii="Aptos" w:hAnsi="Aptos"/>
          <w:b/>
          <w:i w:val="0"/>
          <w:color w:val="1C2737"/>
          <w:sz w:val="23"/>
        </w:rPr>
        <w:t>Canonical detection logic</w:t>
      </w:r>
    </w:p>
    <w:p>
      <w:pPr>
        <w:pStyle w:val="ListBullet"/>
        <w:spacing w:after="60" w:before="0" w:line="276" w:lineRule="auto"/>
        <w:ind w:left="259"/>
      </w:pPr>
      <w:r>
        <w:rPr>
          <w:rFonts w:ascii="Aptos" w:hAnsi="Aptos"/>
          <w:b w:val="0"/>
          <w:i w:val="0"/>
          <w:color w:val="1C2737"/>
          <w:sz w:val="21"/>
        </w:rPr>
        <w:t>Open S1 when a workbook-approved contradiction pair suggests closeness-seeking plus retreat-protective posture, or when one behavioral retreat event follows a strong closeness bid within the recent window.</w:t>
      </w:r>
    </w:p>
    <w:p>
      <w:pPr>
        <w:pStyle w:val="ListBullet"/>
        <w:spacing w:after="60" w:before="0" w:line="276" w:lineRule="auto"/>
        <w:ind w:left="259"/>
      </w:pPr>
      <w:r>
        <w:rPr>
          <w:rFonts w:ascii="Aptos" w:hAnsi="Aptos"/>
          <w:b w:val="0"/>
          <w:i w:val="0"/>
          <w:color w:val="1C2737"/>
          <w:sz w:val="21"/>
        </w:rPr>
        <w:t>Escalate to S2 when at least two qualifying events occur in 30 days, or one assessment contradiction aligns with one behavioral retreat event.</w:t>
      </w:r>
    </w:p>
    <w:p>
      <w:pPr>
        <w:pStyle w:val="ListBullet"/>
        <w:spacing w:after="60" w:before="0" w:line="276" w:lineRule="auto"/>
        <w:ind w:left="259"/>
      </w:pPr>
      <w:r>
        <w:rPr>
          <w:rFonts w:ascii="Aptos" w:hAnsi="Aptos"/>
          <w:b w:val="0"/>
          <w:i w:val="0"/>
          <w:color w:val="1C2737"/>
          <w:sz w:val="21"/>
        </w:rPr>
        <w:t>Escalate to S3 when the pattern repeats after reassurance, after a vulnerable conversation, or after the user explicitly asks for closeness then reduces continuity.</w:t>
      </w:r>
    </w:p>
    <w:p>
      <w:pPr>
        <w:pStyle w:val="ListBullet"/>
        <w:spacing w:after="60" w:before="0" w:line="276" w:lineRule="auto"/>
        <w:ind w:left="259"/>
      </w:pPr>
      <w:r>
        <w:rPr>
          <w:rFonts w:ascii="Aptos" w:hAnsi="Aptos"/>
          <w:b w:val="0"/>
          <w:i w:val="0"/>
          <w:color w:val="1C2737"/>
          <w:sz w:val="21"/>
        </w:rPr>
        <w:t>Escalate to S4 when the cycle is repeated across at least two separate connection episodes or when it materially drags repair, reciprocity, or pair stability.</w:t>
      </w:r>
    </w:p>
    <w:p>
      <w:pPr>
        <w:pStyle w:val="ListBullet"/>
        <w:spacing w:after="60" w:before="0" w:line="276" w:lineRule="auto"/>
        <w:ind w:left="259"/>
      </w:pPr>
      <w:r>
        <w:rPr>
          <w:rFonts w:ascii="Aptos" w:hAnsi="Aptos"/>
          <w:b w:val="0"/>
          <w:i w:val="0"/>
          <w:color w:val="1C2737"/>
          <w:sz w:val="21"/>
        </w:rPr>
        <w:t>S5 is reserved for persistent and reinforced patterning that keeps producing rupture-level instability despite reflection prompts and sufficient opportunity for repair.</w:t>
      </w:r>
    </w:p>
    <w:p>
      <w:pPr>
        <w:spacing w:after="60" w:before="0" w:line="276" w:lineRule="auto"/>
      </w:pPr>
      <w:r>
        <w:rPr>
          <w:rFonts w:ascii="Aptos" w:hAnsi="Aptos"/>
          <w:b/>
          <w:i w:val="0"/>
          <w:color w:val="1C2737"/>
          <w:sz w:val="23"/>
        </w:rPr>
        <w:t>Severity ladder for this cluster</w:t>
      </w:r>
    </w:p>
    <w:tbl>
      <w:tblPr>
        <w:tblW w:type="auto" w:w="0"/>
        <w:jc w:val="center"/>
        <w:tblLayout w:type="fixed"/>
        <w:tblLook w:firstColumn="1" w:firstRow="1" w:lastColumn="0" w:lastRow="0" w:noHBand="0" w:noVBand="1" w:val="04A0"/>
        <w:tblBorders>
          <w:top w:val="single" w:sz="8" w:space="0" w:color="C7D0DA"/>
          <w:left w:val="single" w:sz="8" w:space="0" w:color="C7D0DA"/>
          <w:bottom w:val="single" w:sz="8" w:space="0" w:color="C7D0DA"/>
          <w:right w:val="single" w:sz="8" w:space="0" w:color="C7D0DA"/>
          <w:insideH w:val="single" w:sz="8" w:space="0" w:color="C7D0DA"/>
          <w:insideV w:val="single" w:sz="8" w:space="0" w:color="C7D0DA"/>
        </w:tblBorders>
      </w:tblPr>
      <w:tblGrid>
        <w:gridCol w:w="2484"/>
        <w:gridCol w:w="2484"/>
        <w:gridCol w:w="2484"/>
        <w:gridCol w:w="2484"/>
      </w:tblGrid>
      <w:tr>
        <w:tc>
          <w:tcPr>
            <w:tcW w:type="dxa" w:w="1296"/>
            <w:tcMar>
              <w:top w:w="90" w:type="dxa"/>
              <w:start w:w="100" w:type="dxa"/>
              <w:bottom w:w="90" w:type="dxa"/>
              <w:end w:w="100" w:type="dxa"/>
            </w:tcMar>
            <w:shd w:fill="DDEAF7"/>
          </w:tcPr>
          <w:p>
            <w:pPr>
              <w:spacing w:after="80" w:before="0" w:line="276" w:lineRule="auto"/>
              <w:jc w:val="center"/>
            </w:pPr>
            <w:r>
              <w:rPr>
                <w:rFonts w:ascii="Aptos" w:hAnsi="Aptos"/>
                <w:b/>
                <w:i w:val="0"/>
                <w:color w:val="1C2737"/>
                <w:sz w:val="19"/>
              </w:rPr>
              <w:t>Lvl</w:t>
            </w:r>
          </w:p>
        </w:tc>
        <w:tc>
          <w:tcPr>
            <w:tcW w:type="dxa" w:w="1872"/>
            <w:tcMar>
              <w:top w:w="90" w:type="dxa"/>
              <w:start w:w="100" w:type="dxa"/>
              <w:bottom w:w="90" w:type="dxa"/>
              <w:end w:w="100" w:type="dxa"/>
            </w:tcMar>
            <w:shd w:fill="DDEAF7"/>
          </w:tcPr>
          <w:p>
            <w:pPr>
              <w:spacing w:after="80" w:before="0" w:line="276" w:lineRule="auto"/>
              <w:jc w:val="center"/>
            </w:pPr>
            <w:r>
              <w:rPr>
                <w:rFonts w:ascii="Aptos" w:hAnsi="Aptos"/>
                <w:b/>
                <w:i w:val="0"/>
                <w:color w:val="1C2737"/>
                <w:sz w:val="19"/>
              </w:rPr>
              <w:t>Trigger Posture</w:t>
            </w:r>
          </w:p>
        </w:tc>
        <w:tc>
          <w:tcPr>
            <w:tcW w:type="dxa" w:w="3744"/>
            <w:tcMar>
              <w:top w:w="90" w:type="dxa"/>
              <w:start w:w="100" w:type="dxa"/>
              <w:bottom w:w="90" w:type="dxa"/>
              <w:end w:w="100" w:type="dxa"/>
            </w:tcMar>
            <w:shd w:fill="DDEAF7"/>
          </w:tcPr>
          <w:p>
            <w:pPr>
              <w:spacing w:after="80" w:before="0" w:line="276" w:lineRule="auto"/>
              <w:jc w:val="center"/>
            </w:pPr>
            <w:r>
              <w:rPr>
                <w:rFonts w:ascii="Aptos" w:hAnsi="Aptos"/>
                <w:b/>
                <w:i w:val="0"/>
                <w:color w:val="1C2737"/>
                <w:sz w:val="19"/>
              </w:rPr>
              <w:t>Default Write-Back</w:t>
            </w:r>
          </w:p>
        </w:tc>
        <w:tc>
          <w:tcPr>
            <w:tcW w:type="dxa" w:w="3168"/>
            <w:tcMar>
              <w:top w:w="90" w:type="dxa"/>
              <w:start w:w="100" w:type="dxa"/>
              <w:bottom w:w="90" w:type="dxa"/>
              <w:end w:w="100" w:type="dxa"/>
            </w:tcMar>
            <w:shd w:fill="DDEAF7"/>
          </w:tcPr>
          <w:p>
            <w:pPr>
              <w:spacing w:after="80" w:before="0" w:line="276" w:lineRule="auto"/>
              <w:jc w:val="center"/>
            </w:pPr>
            <w:r>
              <w:rPr>
                <w:rFonts w:ascii="Aptos" w:hAnsi="Aptos"/>
                <w:b/>
                <w:i w:val="0"/>
                <w:color w:val="1C2737"/>
                <w:sz w:val="19"/>
              </w:rPr>
              <w:t>Primary Effect</w:t>
            </w:r>
          </w:p>
        </w:tc>
      </w:tr>
      <w:tr>
        <w:tc>
          <w:tcPr>
            <w:tcW w:type="dxa" w:w="1296"/>
            <w:tcMar>
              <w:top w:w="90" w:type="dxa"/>
              <w:start w:w="100" w:type="dxa"/>
              <w:bottom w:w="90" w:type="dxa"/>
              <w:end w:w="100" w:type="dxa"/>
            </w:tcMar>
            <w:vAlign w:val="center"/>
          </w:tcPr>
          <w:p>
            <w:pPr>
              <w:spacing w:after="80" w:before="0" w:line="276" w:lineRule="auto"/>
              <w:jc w:val="center"/>
            </w:pPr>
            <w:r>
              <w:rPr>
                <w:rFonts w:ascii="Aptos" w:hAnsi="Aptos"/>
                <w:b/>
                <w:i w:val="0"/>
                <w:color w:val="1C2737"/>
                <w:sz w:val="19"/>
              </w:rPr>
              <w:t>S1</w:t>
            </w:r>
          </w:p>
        </w:tc>
        <w:tc>
          <w:tcPr>
            <w:tcW w:type="dxa" w:w="1872"/>
            <w:tcMar>
              <w:top w:w="90" w:type="dxa"/>
              <w:start w:w="100" w:type="dxa"/>
              <w:bottom w:w="90" w:type="dxa"/>
              <w:end w:w="100" w:type="dxa"/>
            </w:tcMar>
            <w:vAlign w:val="center"/>
          </w:tcPr>
          <w:p>
            <w:pPr>
              <w:spacing w:after="80" w:before="0" w:line="276" w:lineRule="auto"/>
            </w:pPr>
            <w:r>
              <w:rPr>
                <w:rFonts w:ascii="Aptos" w:hAnsi="Aptos"/>
                <w:b w:val="0"/>
                <w:i w:val="0"/>
                <w:color w:val="1C2737"/>
                <w:sz w:val="18"/>
              </w:rPr>
              <w:t>watch only</w:t>
            </w:r>
          </w:p>
        </w:tc>
        <w:tc>
          <w:tcPr>
            <w:tcW w:type="dxa" w:w="3744"/>
            <w:tcMar>
              <w:top w:w="90" w:type="dxa"/>
              <w:start w:w="100" w:type="dxa"/>
              <w:bottom w:w="90" w:type="dxa"/>
              <w:end w:w="100" w:type="dxa"/>
            </w:tcMar>
            <w:vAlign w:val="center"/>
          </w:tcPr>
          <w:p>
            <w:pPr>
              <w:spacing w:after="80" w:before="0" w:line="276" w:lineRule="auto"/>
            </w:pPr>
            <w:r>
              <w:rPr>
                <w:rFonts w:ascii="Aptos" w:hAnsi="Aptos"/>
                <w:b w:val="0"/>
                <w:i w:val="0"/>
                <w:color w:val="1C2737"/>
                <w:sz w:val="18"/>
              </w:rPr>
              <w:t>ephemeral in-memory flag or low-weight user trace</w:t>
            </w:r>
          </w:p>
        </w:tc>
        <w:tc>
          <w:tcPr>
            <w:tcW w:type="dxa" w:w="3168"/>
            <w:tcMar>
              <w:top w:w="90" w:type="dxa"/>
              <w:start w:w="100" w:type="dxa"/>
              <w:bottom w:w="90" w:type="dxa"/>
              <w:end w:w="100" w:type="dxa"/>
            </w:tcMar>
            <w:vAlign w:val="center"/>
          </w:tcPr>
          <w:p>
            <w:pPr>
              <w:spacing w:after="80" w:before="0" w:line="276" w:lineRule="auto"/>
            </w:pPr>
            <w:r>
              <w:rPr>
                <w:rFonts w:ascii="Aptos" w:hAnsi="Aptos"/>
                <w:b w:val="0"/>
                <w:i w:val="0"/>
                <w:color w:val="1C2737"/>
                <w:sz w:val="18"/>
              </w:rPr>
              <w:t>nudges confidence, no public penalty</w:t>
            </w:r>
          </w:p>
        </w:tc>
      </w:tr>
      <w:tr>
        <w:tc>
          <w:tcPr>
            <w:tcW w:type="dxa" w:w="1296"/>
            <w:tcMar>
              <w:top w:w="90" w:type="dxa"/>
              <w:start w:w="100" w:type="dxa"/>
              <w:bottom w:w="90" w:type="dxa"/>
              <w:end w:w="100" w:type="dxa"/>
            </w:tcMar>
            <w:vAlign w:val="center"/>
          </w:tcPr>
          <w:p>
            <w:pPr>
              <w:spacing w:after="80" w:before="0" w:line="276" w:lineRule="auto"/>
              <w:jc w:val="center"/>
            </w:pPr>
            <w:r>
              <w:rPr>
                <w:rFonts w:ascii="Aptos" w:hAnsi="Aptos"/>
                <w:b/>
                <w:i w:val="0"/>
                <w:color w:val="1C2737"/>
                <w:sz w:val="19"/>
              </w:rPr>
              <w:t>S2</w:t>
            </w:r>
          </w:p>
        </w:tc>
        <w:tc>
          <w:tcPr>
            <w:tcW w:type="dxa" w:w="1872"/>
            <w:tcMar>
              <w:top w:w="90" w:type="dxa"/>
              <w:start w:w="100" w:type="dxa"/>
              <w:bottom w:w="90" w:type="dxa"/>
              <w:end w:w="100" w:type="dxa"/>
            </w:tcMar>
            <w:vAlign w:val="center"/>
          </w:tcPr>
          <w:p>
            <w:pPr>
              <w:spacing w:after="80" w:before="0" w:line="276" w:lineRule="auto"/>
            </w:pPr>
            <w:r>
              <w:rPr>
                <w:rFonts w:ascii="Aptos" w:hAnsi="Aptos"/>
                <w:b w:val="0"/>
                <w:i w:val="0"/>
                <w:color w:val="1C2737"/>
                <w:sz w:val="18"/>
              </w:rPr>
              <w:t>light contradiction confirmed</w:t>
            </w:r>
          </w:p>
        </w:tc>
        <w:tc>
          <w:tcPr>
            <w:tcW w:type="dxa" w:w="3744"/>
            <w:tcMar>
              <w:top w:w="90" w:type="dxa"/>
              <w:start w:w="100" w:type="dxa"/>
              <w:bottom w:w="90" w:type="dxa"/>
              <w:end w:w="100" w:type="dxa"/>
            </w:tcMar>
            <w:vAlign w:val="center"/>
          </w:tcPr>
          <w:p>
            <w:pPr>
              <w:spacing w:after="80" w:before="0" w:line="276" w:lineRule="auto"/>
            </w:pPr>
            <w:r>
              <w:rPr>
                <w:rFonts w:ascii="Aptos" w:hAnsi="Aptos"/>
                <w:b w:val="0"/>
                <w:i w:val="0"/>
                <w:color w:val="1C2737"/>
                <w:sz w:val="18"/>
              </w:rPr>
              <w:t>user_cluster_state opens; reflection prompt eligible</w:t>
            </w:r>
          </w:p>
        </w:tc>
        <w:tc>
          <w:tcPr>
            <w:tcW w:type="dxa" w:w="3168"/>
            <w:tcMar>
              <w:top w:w="90" w:type="dxa"/>
              <w:start w:w="100" w:type="dxa"/>
              <w:bottom w:w="90" w:type="dxa"/>
              <w:end w:w="100" w:type="dxa"/>
            </w:tcMar>
            <w:vAlign w:val="center"/>
          </w:tcPr>
          <w:p>
            <w:pPr>
              <w:spacing w:after="80" w:before="0" w:line="276" w:lineRule="auto"/>
            </w:pPr>
            <w:r>
              <w:rPr>
                <w:rFonts w:ascii="Aptos" w:hAnsi="Aptos"/>
                <w:b w:val="0"/>
                <w:i w:val="0"/>
                <w:color w:val="1C2737"/>
                <w:sz w:val="18"/>
              </w:rPr>
              <w:t>small readiness drag, forecast confidence watch</w:t>
            </w:r>
          </w:p>
        </w:tc>
      </w:tr>
      <w:tr>
        <w:tc>
          <w:tcPr>
            <w:tcW w:type="dxa" w:w="1296"/>
            <w:tcMar>
              <w:top w:w="90" w:type="dxa"/>
              <w:start w:w="100" w:type="dxa"/>
              <w:bottom w:w="90" w:type="dxa"/>
              <w:end w:w="100" w:type="dxa"/>
            </w:tcMar>
            <w:vAlign w:val="center"/>
          </w:tcPr>
          <w:p>
            <w:pPr>
              <w:spacing w:after="80" w:before="0" w:line="276" w:lineRule="auto"/>
              <w:jc w:val="center"/>
            </w:pPr>
            <w:r>
              <w:rPr>
                <w:rFonts w:ascii="Aptos" w:hAnsi="Aptos"/>
                <w:b/>
                <w:i w:val="0"/>
                <w:color w:val="1C2737"/>
                <w:sz w:val="19"/>
              </w:rPr>
              <w:t>S3</w:t>
            </w:r>
          </w:p>
        </w:tc>
        <w:tc>
          <w:tcPr>
            <w:tcW w:type="dxa" w:w="1872"/>
            <w:tcMar>
              <w:top w:w="90" w:type="dxa"/>
              <w:start w:w="100" w:type="dxa"/>
              <w:bottom w:w="90" w:type="dxa"/>
              <w:end w:w="100" w:type="dxa"/>
            </w:tcMar>
            <w:vAlign w:val="center"/>
          </w:tcPr>
          <w:p>
            <w:pPr>
              <w:spacing w:after="80" w:before="0" w:line="276" w:lineRule="auto"/>
            </w:pPr>
            <w:r>
              <w:rPr>
                <w:rFonts w:ascii="Aptos" w:hAnsi="Aptos"/>
                <w:b w:val="0"/>
                <w:i w:val="0"/>
                <w:color w:val="1C2737"/>
                <w:sz w:val="18"/>
              </w:rPr>
              <w:t>active repetition</w:t>
            </w:r>
          </w:p>
        </w:tc>
        <w:tc>
          <w:tcPr>
            <w:tcW w:type="dxa" w:w="3744"/>
            <w:tcMar>
              <w:top w:w="90" w:type="dxa"/>
              <w:start w:w="100" w:type="dxa"/>
              <w:bottom w:w="90" w:type="dxa"/>
              <w:end w:w="100" w:type="dxa"/>
            </w:tcMar>
            <w:vAlign w:val="center"/>
          </w:tcPr>
          <w:p>
            <w:pPr>
              <w:spacing w:after="80" w:before="0" w:line="276" w:lineRule="auto"/>
            </w:pPr>
            <w:r>
              <w:rPr>
                <w:rFonts w:ascii="Aptos" w:hAnsi="Aptos"/>
                <w:b w:val="0"/>
                <w:i w:val="0"/>
                <w:color w:val="1C2737"/>
                <w:sz w:val="18"/>
              </w:rPr>
              <w:t>persistent user write-back with 30d TTL</w:t>
            </w:r>
          </w:p>
        </w:tc>
        <w:tc>
          <w:tcPr>
            <w:tcW w:type="dxa" w:w="3168"/>
            <w:tcMar>
              <w:top w:w="90" w:type="dxa"/>
              <w:start w:w="100" w:type="dxa"/>
              <w:bottom w:w="90" w:type="dxa"/>
              <w:end w:w="100" w:type="dxa"/>
            </w:tcMar>
            <w:vAlign w:val="center"/>
          </w:tcPr>
          <w:p>
            <w:pPr>
              <w:spacing w:after="80" w:before="0" w:line="276" w:lineRule="auto"/>
            </w:pPr>
            <w:r>
              <w:rPr>
                <w:rFonts w:ascii="Aptos" w:hAnsi="Aptos"/>
                <w:b w:val="0"/>
                <w:i w:val="0"/>
                <w:color w:val="1C2737"/>
                <w:sz w:val="18"/>
              </w:rPr>
              <w:t>moderate readiness penalty and pair caution</w:t>
            </w:r>
          </w:p>
        </w:tc>
      </w:tr>
      <w:tr>
        <w:tc>
          <w:tcPr>
            <w:tcW w:type="dxa" w:w="1296"/>
            <w:tcMar>
              <w:top w:w="90" w:type="dxa"/>
              <w:start w:w="100" w:type="dxa"/>
              <w:bottom w:w="90" w:type="dxa"/>
              <w:end w:w="100" w:type="dxa"/>
            </w:tcMar>
            <w:vAlign w:val="center"/>
          </w:tcPr>
          <w:p>
            <w:pPr>
              <w:spacing w:after="80" w:before="0" w:line="276" w:lineRule="auto"/>
              <w:jc w:val="center"/>
            </w:pPr>
            <w:r>
              <w:rPr>
                <w:rFonts w:ascii="Aptos" w:hAnsi="Aptos"/>
                <w:b/>
                <w:i w:val="0"/>
                <w:color w:val="1C2737"/>
                <w:sz w:val="19"/>
              </w:rPr>
              <w:t>S4</w:t>
            </w:r>
          </w:p>
        </w:tc>
        <w:tc>
          <w:tcPr>
            <w:tcW w:type="dxa" w:w="1872"/>
            <w:tcMar>
              <w:top w:w="90" w:type="dxa"/>
              <w:start w:w="100" w:type="dxa"/>
              <w:bottom w:w="90" w:type="dxa"/>
              <w:end w:w="100" w:type="dxa"/>
            </w:tcMar>
            <w:vAlign w:val="center"/>
          </w:tcPr>
          <w:p>
            <w:pPr>
              <w:spacing w:after="80" w:before="0" w:line="276" w:lineRule="auto"/>
            </w:pPr>
            <w:r>
              <w:rPr>
                <w:rFonts w:ascii="Aptos" w:hAnsi="Aptos"/>
                <w:b w:val="0"/>
                <w:i w:val="0"/>
                <w:color w:val="1C2737"/>
                <w:sz w:val="18"/>
              </w:rPr>
              <w:t>repeating destabilizer</w:t>
            </w:r>
          </w:p>
        </w:tc>
        <w:tc>
          <w:tcPr>
            <w:tcW w:type="dxa" w:w="3744"/>
            <w:tcMar>
              <w:top w:w="90" w:type="dxa"/>
              <w:start w:w="100" w:type="dxa"/>
              <w:bottom w:w="90" w:type="dxa"/>
              <w:end w:w="100" w:type="dxa"/>
            </w:tcMar>
            <w:vAlign w:val="center"/>
          </w:tcPr>
          <w:p>
            <w:pPr>
              <w:spacing w:after="80" w:before="0" w:line="276" w:lineRule="auto"/>
            </w:pPr>
            <w:r>
              <w:rPr>
                <w:rFonts w:ascii="Aptos" w:hAnsi="Aptos"/>
                <w:b w:val="0"/>
                <w:i w:val="0"/>
                <w:color w:val="1C2737"/>
                <w:sz w:val="18"/>
              </w:rPr>
              <w:t>persistent user write-back plus pair caution trace</w:t>
            </w:r>
          </w:p>
        </w:tc>
        <w:tc>
          <w:tcPr>
            <w:tcW w:type="dxa" w:w="3168"/>
            <w:tcMar>
              <w:top w:w="90" w:type="dxa"/>
              <w:start w:w="100" w:type="dxa"/>
              <w:bottom w:w="90" w:type="dxa"/>
              <w:end w:w="100" w:type="dxa"/>
            </w:tcMar>
            <w:vAlign w:val="center"/>
          </w:tcPr>
          <w:p>
            <w:pPr>
              <w:spacing w:after="80" w:before="0" w:line="276" w:lineRule="auto"/>
            </w:pPr>
            <w:r>
              <w:rPr>
                <w:rFonts w:ascii="Aptos" w:hAnsi="Aptos"/>
                <w:b w:val="0"/>
                <w:i w:val="0"/>
                <w:color w:val="1C2737"/>
                <w:sz w:val="18"/>
              </w:rPr>
              <w:t>stronger readiness drag; forecast guarded</w:t>
            </w:r>
          </w:p>
        </w:tc>
      </w:tr>
      <w:tr>
        <w:tc>
          <w:tcPr>
            <w:tcW w:type="dxa" w:w="1296"/>
            <w:tcMar>
              <w:top w:w="90" w:type="dxa"/>
              <w:start w:w="100" w:type="dxa"/>
              <w:bottom w:w="90" w:type="dxa"/>
              <w:end w:w="100" w:type="dxa"/>
            </w:tcMar>
            <w:vAlign w:val="center"/>
          </w:tcPr>
          <w:p>
            <w:pPr>
              <w:spacing w:after="80" w:before="0" w:line="276" w:lineRule="auto"/>
              <w:jc w:val="center"/>
            </w:pPr>
            <w:r>
              <w:rPr>
                <w:rFonts w:ascii="Aptos" w:hAnsi="Aptos"/>
                <w:b/>
                <w:i w:val="0"/>
                <w:color w:val="1C2737"/>
                <w:sz w:val="19"/>
              </w:rPr>
              <w:t>S5</w:t>
            </w:r>
          </w:p>
        </w:tc>
        <w:tc>
          <w:tcPr>
            <w:tcW w:type="dxa" w:w="1872"/>
            <w:tcMar>
              <w:top w:w="90" w:type="dxa"/>
              <w:start w:w="100" w:type="dxa"/>
              <w:bottom w:w="90" w:type="dxa"/>
              <w:end w:w="100" w:type="dxa"/>
            </w:tcMar>
            <w:vAlign w:val="center"/>
          </w:tcPr>
          <w:p>
            <w:pPr>
              <w:spacing w:after="80" w:before="0" w:line="276" w:lineRule="auto"/>
            </w:pPr>
            <w:r>
              <w:rPr>
                <w:rFonts w:ascii="Aptos" w:hAnsi="Aptos"/>
                <w:b w:val="0"/>
                <w:i w:val="0"/>
                <w:color w:val="1C2737"/>
                <w:sz w:val="18"/>
              </w:rPr>
              <w:t>critical unresolved loop</w:t>
            </w:r>
          </w:p>
        </w:tc>
        <w:tc>
          <w:tcPr>
            <w:tcW w:type="dxa" w:w="3744"/>
            <w:tcMar>
              <w:top w:w="90" w:type="dxa"/>
              <w:start w:w="100" w:type="dxa"/>
              <w:bottom w:w="90" w:type="dxa"/>
              <w:end w:w="100" w:type="dxa"/>
            </w:tcMar>
            <w:vAlign w:val="center"/>
          </w:tcPr>
          <w:p>
            <w:pPr>
              <w:spacing w:after="80" w:before="0" w:line="276" w:lineRule="auto"/>
            </w:pPr>
            <w:r>
              <w:rPr>
                <w:rFonts w:ascii="Aptos" w:hAnsi="Aptos"/>
                <w:b w:val="0"/>
                <w:i w:val="0"/>
                <w:color w:val="1C2737"/>
                <w:sz w:val="18"/>
              </w:rPr>
              <w:t>persistent user and pair protection flags</w:t>
            </w:r>
          </w:p>
        </w:tc>
        <w:tc>
          <w:tcPr>
            <w:tcW w:type="dxa" w:w="3168"/>
            <w:tcMar>
              <w:top w:w="90" w:type="dxa"/>
              <w:start w:w="100" w:type="dxa"/>
              <w:bottom w:w="90" w:type="dxa"/>
              <w:end w:w="100" w:type="dxa"/>
            </w:tcMar>
            <w:vAlign w:val="center"/>
          </w:tcPr>
          <w:p>
            <w:pPr>
              <w:spacing w:after="80" w:before="0" w:line="276" w:lineRule="auto"/>
            </w:pPr>
            <w:r>
              <w:rPr>
                <w:rFonts w:ascii="Aptos" w:hAnsi="Aptos"/>
                <w:b w:val="0"/>
                <w:i w:val="0"/>
                <w:color w:val="1C2737"/>
                <w:sz w:val="18"/>
              </w:rPr>
              <w:t>suppress numeric exposure; intervention required</w:t>
            </w:r>
          </w:p>
        </w:tc>
      </w:tr>
    </w:tbl>
    <w:p/>
    <w:tbl>
      <w:tblPr>
        <w:tblW w:type="auto" w:w="0"/>
        <w:jc w:val="center"/>
        <w:tblLayout w:type="fixed"/>
        <w:tblLook w:firstColumn="1" w:firstRow="1" w:lastColumn="0" w:lastRow="0" w:noHBand="0" w:noVBand="1" w:val="04A0"/>
        <w:tblBorders>
          <w:top w:val="single" w:sz="8" w:space="0" w:color="C7D0DA"/>
          <w:left w:val="single" w:sz="8" w:space="0" w:color="C7D0DA"/>
          <w:bottom w:val="single" w:sz="8" w:space="0" w:color="C7D0DA"/>
          <w:right w:val="single" w:sz="8" w:space="0" w:color="C7D0DA"/>
          <w:insideH w:val="single" w:sz="8" w:space="0" w:color="C7D0DA"/>
          <w:insideV w:val="single" w:sz="8" w:space="0" w:color="C7D0DA"/>
        </w:tblBorders>
      </w:tblPr>
      <w:tblGrid>
        <w:gridCol w:w="4968"/>
        <w:gridCol w:w="4968"/>
      </w:tblGrid>
      <w:tr>
        <w:tc>
          <w:tcPr>
            <w:tcW w:type="dxa" w:w="2592"/>
            <w:tcMar>
              <w:top w:w="80" w:type="dxa"/>
              <w:start w:w="90" w:type="dxa"/>
              <w:bottom w:w="80" w:type="dxa"/>
              <w:end w:w="90" w:type="dxa"/>
            </w:tcMar>
            <w:shd w:fill="DDEAF7"/>
          </w:tcPr>
          <w:p>
            <w:pPr>
              <w:spacing w:after="80" w:before="0" w:line="276" w:lineRule="auto"/>
              <w:jc w:val="center"/>
            </w:pPr>
            <w:r>
              <w:rPr>
                <w:rFonts w:ascii="Aptos" w:hAnsi="Aptos"/>
                <w:b/>
                <w:i w:val="0"/>
                <w:color w:val="1C2737"/>
                <w:sz w:val="18"/>
              </w:rPr>
              <w:t>Area</w:t>
            </w:r>
          </w:p>
        </w:tc>
        <w:tc>
          <w:tcPr>
            <w:tcW w:type="dxa" w:w="7776"/>
            <w:tcMar>
              <w:top w:w="80" w:type="dxa"/>
              <w:start w:w="90" w:type="dxa"/>
              <w:bottom w:w="80" w:type="dxa"/>
              <w:end w:w="90" w:type="dxa"/>
            </w:tcMar>
            <w:shd w:fill="DDEAF7"/>
          </w:tcPr>
          <w:p>
            <w:pPr>
              <w:spacing w:after="80" w:before="0" w:line="276" w:lineRule="auto"/>
              <w:jc w:val="center"/>
            </w:pPr>
            <w:r>
              <w:rPr>
                <w:rFonts w:ascii="Aptos" w:hAnsi="Aptos"/>
                <w:b/>
                <w:i w:val="0"/>
                <w:color w:val="1C2737"/>
                <w:sz w:val="18"/>
              </w:rPr>
              <w:t>Rule</w:t>
            </w:r>
          </w:p>
        </w:tc>
      </w:tr>
      <w:tr>
        <w:tc>
          <w:tcPr>
            <w:tcW w:type="dxa" w:w="2592"/>
            <w:tcMar>
              <w:top w:w="80" w:type="dxa"/>
              <w:start w:w="90" w:type="dxa"/>
              <w:bottom w:w="80" w:type="dxa"/>
              <w:end w:w="90" w:type="dxa"/>
            </w:tcMar>
            <w:vAlign w:val="center"/>
          </w:tcPr>
          <w:p>
            <w:pPr>
              <w:spacing w:after="80" w:before="0" w:line="276" w:lineRule="auto"/>
              <w:jc w:val="center"/>
            </w:pPr>
            <w:r>
              <w:rPr>
                <w:rFonts w:ascii="Aptos" w:hAnsi="Aptos"/>
                <w:b/>
                <w:i w:val="0"/>
                <w:color w:val="1C2737"/>
                <w:sz w:val="18"/>
              </w:rPr>
              <w:t>Write-back</w:t>
            </w:r>
          </w:p>
        </w:tc>
        <w:tc>
          <w:tcPr>
            <w:tcW w:type="dxa" w:w="7776"/>
            <w:tcMar>
              <w:top w:w="80" w:type="dxa"/>
              <w:start w:w="90" w:type="dxa"/>
              <w:bottom w:w="80" w:type="dxa"/>
              <w:end w:w="90" w:type="dxa"/>
            </w:tcMar>
            <w:vAlign w:val="center"/>
          </w:tcPr>
          <w:p>
            <w:pPr>
              <w:spacing w:after="80" w:before="0" w:line="276" w:lineRule="auto"/>
            </w:pPr>
            <w:r>
              <w:rPr>
                <w:rFonts w:ascii="Aptos" w:hAnsi="Aptos"/>
                <w:b w:val="0"/>
                <w:i w:val="0"/>
                <w:color w:val="1C2737"/>
                <w:sz w:val="18"/>
              </w:rPr>
              <w:t>Store cluster state on the user record with source hash references, contradiction pair IDs, last three reinforcing event IDs, confidence band, and allowed consumer services. Pair write-back is permitted only from S4 upward and must use softened labels rather than the raw cluster name.</w:t>
            </w:r>
          </w:p>
        </w:tc>
      </w:tr>
      <w:tr>
        <w:tc>
          <w:tcPr>
            <w:tcW w:type="dxa" w:w="2592"/>
            <w:tcMar>
              <w:top w:w="80" w:type="dxa"/>
              <w:start w:w="90" w:type="dxa"/>
              <w:bottom w:w="80" w:type="dxa"/>
              <w:end w:w="90" w:type="dxa"/>
            </w:tcMar>
            <w:vAlign w:val="center"/>
          </w:tcPr>
          <w:p>
            <w:pPr>
              <w:spacing w:after="80" w:before="0" w:line="276" w:lineRule="auto"/>
              <w:jc w:val="center"/>
            </w:pPr>
            <w:r>
              <w:rPr>
                <w:rFonts w:ascii="Aptos" w:hAnsi="Aptos"/>
                <w:b/>
                <w:i w:val="0"/>
                <w:color w:val="1C2737"/>
                <w:sz w:val="18"/>
              </w:rPr>
              <w:t>Decay / clear</w:t>
            </w:r>
          </w:p>
        </w:tc>
        <w:tc>
          <w:tcPr>
            <w:tcW w:type="dxa" w:w="7776"/>
            <w:tcMar>
              <w:top w:w="80" w:type="dxa"/>
              <w:start w:w="90" w:type="dxa"/>
              <w:bottom w:w="80" w:type="dxa"/>
              <w:end w:w="90" w:type="dxa"/>
            </w:tcMar>
            <w:vAlign w:val="center"/>
          </w:tcPr>
          <w:p>
            <w:pPr>
              <w:spacing w:after="80" w:before="0" w:line="276" w:lineRule="auto"/>
            </w:pPr>
            <w:r>
              <w:rPr>
                <w:rFonts w:ascii="Aptos" w:hAnsi="Aptos"/>
                <w:b w:val="0"/>
                <w:i w:val="0"/>
                <w:color w:val="1C2737"/>
                <w:sz w:val="18"/>
              </w:rPr>
              <w:t>Downgrade one level after 21 days with no reinforcing event plus one positive continuity or repair signal. Hard clear after 60 quiet days or after two approved reflection completions plus stable reciprocity evidence. Do not clear during active slow drift.</w:t>
            </w:r>
          </w:p>
        </w:tc>
      </w:tr>
      <w:tr>
        <w:tc>
          <w:tcPr>
            <w:tcW w:type="dxa" w:w="2592"/>
            <w:tcMar>
              <w:top w:w="80" w:type="dxa"/>
              <w:start w:w="90" w:type="dxa"/>
              <w:bottom w:w="80" w:type="dxa"/>
              <w:end w:w="90" w:type="dxa"/>
            </w:tcMar>
            <w:vAlign w:val="center"/>
          </w:tcPr>
          <w:p>
            <w:pPr>
              <w:spacing w:after="80" w:before="0" w:line="276" w:lineRule="auto"/>
              <w:jc w:val="center"/>
            </w:pPr>
            <w:r>
              <w:rPr>
                <w:rFonts w:ascii="Aptos" w:hAnsi="Aptos"/>
                <w:b/>
                <w:i w:val="0"/>
                <w:color w:val="1C2737"/>
                <w:sz w:val="18"/>
              </w:rPr>
              <w:t>Readiness effect</w:t>
            </w:r>
          </w:p>
        </w:tc>
        <w:tc>
          <w:tcPr>
            <w:tcW w:type="dxa" w:w="7776"/>
            <w:tcMar>
              <w:top w:w="80" w:type="dxa"/>
              <w:start w:w="90" w:type="dxa"/>
              <w:bottom w:w="80" w:type="dxa"/>
              <w:end w:w="90" w:type="dxa"/>
            </w:tcMar>
            <w:vAlign w:val="center"/>
          </w:tcPr>
          <w:p>
            <w:pPr>
              <w:spacing w:after="80" w:before="0" w:line="276" w:lineRule="auto"/>
            </w:pPr>
            <w:r>
              <w:rPr>
                <w:rFonts w:ascii="Aptos" w:hAnsi="Aptos"/>
                <w:b w:val="0"/>
                <w:i w:val="0"/>
                <w:color w:val="1C2737"/>
                <w:sz w:val="18"/>
              </w:rPr>
              <w:t>S2 may reduce readiness confidence without moving the public band. S3 applies a moderate contradiction penalty. S4-S5 suppress raw numeric readiness unless confidence remains high and policy explicitly allows it.</w:t>
            </w:r>
          </w:p>
        </w:tc>
      </w:tr>
      <w:tr>
        <w:tc>
          <w:tcPr>
            <w:tcW w:type="dxa" w:w="2592"/>
            <w:tcMar>
              <w:top w:w="80" w:type="dxa"/>
              <w:start w:w="90" w:type="dxa"/>
              <w:bottom w:w="80" w:type="dxa"/>
              <w:end w:w="90" w:type="dxa"/>
            </w:tcMar>
            <w:vAlign w:val="center"/>
          </w:tcPr>
          <w:p>
            <w:pPr>
              <w:spacing w:after="80" w:before="0" w:line="276" w:lineRule="auto"/>
              <w:jc w:val="center"/>
            </w:pPr>
            <w:r>
              <w:rPr>
                <w:rFonts w:ascii="Aptos" w:hAnsi="Aptos"/>
                <w:b/>
                <w:i w:val="0"/>
                <w:color w:val="1C2737"/>
                <w:sz w:val="18"/>
              </w:rPr>
              <w:t>Forecast effect</w:t>
            </w:r>
          </w:p>
        </w:tc>
        <w:tc>
          <w:tcPr>
            <w:tcW w:type="dxa" w:w="7776"/>
            <w:tcMar>
              <w:top w:w="80" w:type="dxa"/>
              <w:start w:w="90" w:type="dxa"/>
              <w:bottom w:w="80" w:type="dxa"/>
              <w:end w:w="90" w:type="dxa"/>
            </w:tcMar>
            <w:vAlign w:val="center"/>
          </w:tcPr>
          <w:p>
            <w:pPr>
              <w:spacing w:after="80" w:before="0" w:line="276" w:lineRule="auto"/>
            </w:pPr>
            <w:r>
              <w:rPr>
                <w:rFonts w:ascii="Aptos" w:hAnsi="Aptos"/>
                <w:b w:val="0"/>
                <w:i w:val="0"/>
                <w:color w:val="1C2737"/>
                <w:sz w:val="18"/>
              </w:rPr>
              <w:t>From S3 upward, increase contradiction load and reciprocity strain. S4-S5 may downgrade pair forecast to guarded mode even when compatibility remains strong.</w:t>
            </w:r>
          </w:p>
        </w:tc>
      </w:tr>
      <w:tr>
        <w:tc>
          <w:tcPr>
            <w:tcW w:type="dxa" w:w="2592"/>
            <w:tcMar>
              <w:top w:w="80" w:type="dxa"/>
              <w:start w:w="90" w:type="dxa"/>
              <w:bottom w:w="80" w:type="dxa"/>
              <w:end w:w="90" w:type="dxa"/>
            </w:tcMar>
            <w:vAlign w:val="center"/>
          </w:tcPr>
          <w:p>
            <w:pPr>
              <w:spacing w:after="80" w:before="0" w:line="276" w:lineRule="auto"/>
              <w:jc w:val="center"/>
            </w:pPr>
            <w:r>
              <w:rPr>
                <w:rFonts w:ascii="Aptos" w:hAnsi="Aptos"/>
                <w:b/>
                <w:i w:val="0"/>
                <w:color w:val="1C2737"/>
                <w:sz w:val="18"/>
              </w:rPr>
              <w:t>Drift interlock</w:t>
            </w:r>
          </w:p>
        </w:tc>
        <w:tc>
          <w:tcPr>
            <w:tcW w:type="dxa" w:w="7776"/>
            <w:tcMar>
              <w:top w:w="80" w:type="dxa"/>
              <w:start w:w="90" w:type="dxa"/>
              <w:bottom w:w="80" w:type="dxa"/>
              <w:end w:w="90" w:type="dxa"/>
            </w:tcMar>
            <w:vAlign w:val="center"/>
          </w:tcPr>
          <w:p>
            <w:pPr>
              <w:spacing w:after="80" w:before="0" w:line="276" w:lineRule="auto"/>
            </w:pPr>
            <w:r>
              <w:rPr>
                <w:rFonts w:ascii="Aptos" w:hAnsi="Aptos"/>
                <w:b w:val="0"/>
                <w:i w:val="0"/>
                <w:color w:val="1C2737"/>
                <w:sz w:val="18"/>
              </w:rPr>
              <w:t>Do not convert a short-lived loop into drift by itself. Vulnerability Loop can reinforce drift only when the same retreat pattern persists across the governed drift rollup window and DriftEligibility is satisfied.</w:t>
            </w:r>
          </w:p>
        </w:tc>
      </w:tr>
      <w:tr>
        <w:tc>
          <w:tcPr>
            <w:tcW w:type="dxa" w:w="2592"/>
            <w:tcMar>
              <w:top w:w="80" w:type="dxa"/>
              <w:start w:w="90" w:type="dxa"/>
              <w:bottom w:w="80" w:type="dxa"/>
              <w:end w:w="90" w:type="dxa"/>
            </w:tcMar>
            <w:vAlign w:val="center"/>
          </w:tcPr>
          <w:p>
            <w:pPr>
              <w:spacing w:after="80" w:before="0" w:line="276" w:lineRule="auto"/>
              <w:jc w:val="center"/>
            </w:pPr>
            <w:r>
              <w:rPr>
                <w:rFonts w:ascii="Aptos" w:hAnsi="Aptos"/>
                <w:b/>
                <w:i w:val="0"/>
                <w:color w:val="1C2737"/>
                <w:sz w:val="18"/>
              </w:rPr>
              <w:t>AI / Sanctuary use</w:t>
            </w:r>
          </w:p>
        </w:tc>
        <w:tc>
          <w:tcPr>
            <w:tcW w:type="dxa" w:w="7776"/>
            <w:tcMar>
              <w:top w:w="80" w:type="dxa"/>
              <w:start w:w="90" w:type="dxa"/>
              <w:bottom w:w="80" w:type="dxa"/>
              <w:end w:w="90" w:type="dxa"/>
            </w:tcMar>
            <w:vAlign w:val="center"/>
          </w:tcPr>
          <w:p>
            <w:pPr>
              <w:spacing w:after="80" w:before="0" w:line="276" w:lineRule="auto"/>
            </w:pPr>
            <w:r>
              <w:rPr>
                <w:rFonts w:ascii="Aptos" w:hAnsi="Aptos"/>
                <w:b w:val="0"/>
                <w:i w:val="0"/>
                <w:color w:val="1C2737"/>
                <w:sz w:val="18"/>
              </w:rPr>
              <w:t>AI may translate this cluster into coaching about wanting closeness but feeling overloaded once closeness arrives. Sanctuary can offer grounding, pacing, and repair reflection prompts, but must not shame or diagnose.</w:t>
            </w:r>
          </w:p>
        </w:tc>
      </w:tr>
    </w:tbl>
    <w:p/>
    <w:tbl>
      <w:tblPr>
        <w:tblW w:type="auto" w:w="0"/>
        <w:jc w:val="center"/>
        <w:tblLayout w:type="fixed"/>
        <w:tblLook w:firstColumn="1" w:firstRow="1" w:lastColumn="0" w:lastRow="0" w:noHBand="0" w:noVBand="1" w:val="04A0"/>
        <w:tblBorders>
          <w:top w:val="single" w:sz="10" w:space="0" w:color="AFC2D5"/>
          <w:left w:val="single" w:sz="10" w:space="0" w:color="AFC2D5"/>
          <w:bottom w:val="single" w:sz="10" w:space="0" w:color="AFC2D5"/>
          <w:right w:val="single" w:sz="10" w:space="0" w:color="AFC2D5"/>
          <w:insideH w:val="single" w:sz="10" w:space="0" w:color="AFC2D5"/>
          <w:insideV w:val="single" w:sz="10" w:space="0" w:color="AFC2D5"/>
        </w:tblBorders>
      </w:tblPr>
      <w:tblGrid>
        <w:gridCol w:w="9936"/>
      </w:tblGrid>
      <w:tr>
        <w:tc>
          <w:tcPr>
            <w:tcW w:type="dxa" w:w="9936"/>
            <w:shd w:fill="F4F8FB"/>
            <w:tcMar>
              <w:top w:w="120" w:type="dxa"/>
              <w:start w:w="140" w:type="dxa"/>
              <w:bottom w:w="120" w:type="dxa"/>
              <w:end w:w="140" w:type="dxa"/>
            </w:tcMar>
          </w:tcPr>
          <w:p>
            <w:pPr>
              <w:spacing w:after="40" w:before="0" w:line="276" w:lineRule="auto"/>
            </w:pPr>
            <w:r>
              <w:rPr>
                <w:rFonts w:ascii="Aptos" w:hAnsi="Aptos"/>
                <w:b/>
                <w:i w:val="0"/>
                <w:color w:val="24528C"/>
                <w:sz w:val="21"/>
              </w:rPr>
              <w:t>QA examples to lock before production</w:t>
            </w:r>
          </w:p>
          <w:p>
            <w:pPr>
              <w:spacing w:after="0" w:before="0" w:line="276" w:lineRule="auto"/>
            </w:pPr>
            <w:r>
              <w:rPr>
                <w:rFonts w:ascii="Aptos" w:hAnsi="Aptos"/>
                <w:b w:val="0"/>
                <w:i w:val="0"/>
                <w:color w:val="1C2737"/>
                <w:sz w:val="20"/>
              </w:rPr>
              <w:t>Test at least four cases: (1) assessment contradiction only, no behavior; should not exceed S2. (2) repeated post-vulnerability retreat; should reach S3. (3) healthy pause followed by clear repair; should decay rather than escalate. (4) one bad week during acute grief; should lower confidence and avoid over-penalizing.</w:t>
            </w:r>
          </w:p>
        </w:tc>
      </w:tr>
    </w:tbl>
    <w:p/>
    <w:p>
      <w:r>
        <w:br w:type="page"/>
      </w:r>
    </w:p>
    <w:p>
      <w:pPr>
        <w:spacing w:before="200" w:after="40"/>
      </w:pPr>
      <w:r>
        <w:rPr>
          <w:b/>
          <w:color w:val="24528C"/>
          <w:sz w:val="28"/>
        </w:rPr>
        <w:t>CL-102 - Control Avoidance</w:t>
      </w:r>
    </w:p>
    <w:tbl>
      <w:tblPr>
        <w:tblW w:type="auto" w:w="0"/>
        <w:jc w:val="center"/>
        <w:tblLayout w:type="fixed"/>
        <w:tblLook w:firstColumn="1" w:firstRow="1" w:lastColumn="0" w:lastRow="0" w:noHBand="0" w:noVBand="1" w:val="04A0"/>
        <w:tblBorders>
          <w:top w:val="single" w:sz="8" w:space="0" w:color="C7D0DA"/>
          <w:left w:val="single" w:sz="8" w:space="0" w:color="C7D0DA"/>
          <w:bottom w:val="single" w:sz="8" w:space="0" w:color="C7D0DA"/>
          <w:right w:val="single" w:sz="8" w:space="0" w:color="C7D0DA"/>
          <w:insideH w:val="single" w:sz="8" w:space="0" w:color="C7D0DA"/>
          <w:insideV w:val="single" w:sz="8" w:space="0" w:color="C7D0DA"/>
        </w:tblBorders>
      </w:tblPr>
      <w:tblGrid>
        <w:gridCol w:w="4968"/>
        <w:gridCol w:w="4968"/>
      </w:tblGrid>
      <w:tr>
        <w:tc>
          <w:tcPr>
            <w:tcW w:type="dxa" w:w="2592"/>
            <w:tcMar>
              <w:top w:w="80" w:type="dxa"/>
              <w:start w:w="90" w:type="dxa"/>
              <w:bottom w:w="80" w:type="dxa"/>
              <w:end w:w="90" w:type="dxa"/>
            </w:tcMar>
            <w:vAlign w:val="center"/>
            <w:shd w:fill="EAF1F8"/>
          </w:tcPr>
          <w:p>
            <w:pPr>
              <w:spacing w:after="80" w:before="0" w:line="276" w:lineRule="auto"/>
            </w:pPr>
            <w:r>
              <w:rPr>
                <w:rFonts w:ascii="Aptos" w:hAnsi="Aptos"/>
                <w:b/>
                <w:i w:val="0"/>
                <w:color w:val="1C2737"/>
                <w:sz w:val="20"/>
              </w:rPr>
              <w:t>Family</w:t>
            </w:r>
          </w:p>
        </w:tc>
        <w:tc>
          <w:tcPr>
            <w:tcW w:type="dxa" w:w="7056"/>
            <w:tcMar>
              <w:top w:w="80" w:type="dxa"/>
              <w:start w:w="90" w:type="dxa"/>
              <w:bottom w:w="80" w:type="dxa"/>
              <w:end w:w="90" w:type="dxa"/>
            </w:tcMar>
            <w:vAlign w:val="center"/>
          </w:tcPr>
          <w:p>
            <w:pPr>
              <w:spacing w:after="80" w:before="0" w:line="276" w:lineRule="auto"/>
            </w:pPr>
            <w:r>
              <w:rPr>
                <w:rFonts w:ascii="Aptos" w:hAnsi="Aptos"/>
                <w:b w:val="0"/>
                <w:i w:val="0"/>
                <w:color w:val="1C2737"/>
                <w:sz w:val="20"/>
              </w:rPr>
              <w:t>Autonomy defense / pacing conflict cluster</w:t>
            </w:r>
          </w:p>
        </w:tc>
      </w:tr>
      <w:tr>
        <w:tc>
          <w:tcPr>
            <w:tcW w:type="dxa" w:w="2592"/>
            <w:tcMar>
              <w:top w:w="80" w:type="dxa"/>
              <w:start w:w="90" w:type="dxa"/>
              <w:bottom w:w="80" w:type="dxa"/>
              <w:end w:w="90" w:type="dxa"/>
            </w:tcMar>
            <w:vAlign w:val="center"/>
            <w:shd w:fill="EAF1F8"/>
          </w:tcPr>
          <w:p>
            <w:pPr>
              <w:spacing w:after="80" w:before="0" w:line="276" w:lineRule="auto"/>
            </w:pPr>
            <w:r>
              <w:rPr>
                <w:rFonts w:ascii="Aptos" w:hAnsi="Aptos"/>
                <w:b/>
                <w:i w:val="0"/>
                <w:color w:val="1C2737"/>
                <w:sz w:val="20"/>
              </w:rPr>
              <w:t>Scope</w:t>
            </w:r>
          </w:p>
        </w:tc>
        <w:tc>
          <w:tcPr>
            <w:tcW w:type="dxa" w:w="7056"/>
            <w:tcMar>
              <w:top w:w="80" w:type="dxa"/>
              <w:start w:w="90" w:type="dxa"/>
              <w:bottom w:w="80" w:type="dxa"/>
              <w:end w:w="90" w:type="dxa"/>
            </w:tcMar>
            <w:vAlign w:val="center"/>
          </w:tcPr>
          <w:p>
            <w:pPr>
              <w:spacing w:after="80" w:before="0" w:line="276" w:lineRule="auto"/>
            </w:pPr>
            <w:r>
              <w:rPr>
                <w:rFonts w:ascii="Aptos" w:hAnsi="Aptos"/>
                <w:b w:val="0"/>
                <w:i w:val="0"/>
                <w:color w:val="1C2737"/>
                <w:sz w:val="20"/>
              </w:rPr>
              <w:t>Individual with pair-state consequences when planning, structure, or repair repeatedly fail</w:t>
            </w:r>
          </w:p>
        </w:tc>
      </w:tr>
      <w:tr>
        <w:tc>
          <w:tcPr>
            <w:tcW w:type="dxa" w:w="2592"/>
            <w:tcMar>
              <w:top w:w="80" w:type="dxa"/>
              <w:start w:w="90" w:type="dxa"/>
              <w:bottom w:w="80" w:type="dxa"/>
              <w:end w:w="90" w:type="dxa"/>
            </w:tcMar>
            <w:vAlign w:val="center"/>
            <w:shd w:fill="EAF1F8"/>
          </w:tcPr>
          <w:p>
            <w:pPr>
              <w:spacing w:after="80" w:before="0" w:line="276" w:lineRule="auto"/>
            </w:pPr>
            <w:r>
              <w:rPr>
                <w:rFonts w:ascii="Aptos" w:hAnsi="Aptos"/>
                <w:b/>
                <w:i w:val="0"/>
                <w:color w:val="1C2737"/>
                <w:sz w:val="20"/>
              </w:rPr>
              <w:t>Purpose</w:t>
            </w:r>
          </w:p>
        </w:tc>
        <w:tc>
          <w:tcPr>
            <w:tcW w:type="dxa" w:w="7056"/>
            <w:tcMar>
              <w:top w:w="80" w:type="dxa"/>
              <w:start w:w="90" w:type="dxa"/>
              <w:bottom w:w="80" w:type="dxa"/>
              <w:end w:w="90" w:type="dxa"/>
            </w:tcMar>
            <w:vAlign w:val="center"/>
          </w:tcPr>
          <w:p>
            <w:pPr>
              <w:spacing w:after="80" w:before="0" w:line="276" w:lineRule="auto"/>
            </w:pPr>
            <w:r>
              <w:rPr>
                <w:rFonts w:ascii="Aptos" w:hAnsi="Aptos"/>
                <w:b w:val="0"/>
                <w:i w:val="0"/>
                <w:color w:val="1C2737"/>
                <w:sz w:val="20"/>
              </w:rPr>
              <w:t>Detect the pattern where the user experiences mutual planning, accountability, or relational definition as threat or pressure and protects autonomy by deflection, delay, ambiguity, or selective disengagement.</w:t>
            </w:r>
          </w:p>
        </w:tc>
      </w:tr>
      <w:tr>
        <w:tc>
          <w:tcPr>
            <w:tcW w:type="dxa" w:w="2592"/>
            <w:tcMar>
              <w:top w:w="80" w:type="dxa"/>
              <w:start w:w="90" w:type="dxa"/>
              <w:bottom w:w="80" w:type="dxa"/>
              <w:end w:w="90" w:type="dxa"/>
            </w:tcMar>
            <w:vAlign w:val="center"/>
            <w:shd w:fill="EAF1F8"/>
          </w:tcPr>
          <w:p>
            <w:pPr>
              <w:spacing w:after="80" w:before="0" w:line="276" w:lineRule="auto"/>
            </w:pPr>
            <w:r>
              <w:rPr>
                <w:rFonts w:ascii="Aptos" w:hAnsi="Aptos"/>
                <w:b/>
                <w:i w:val="0"/>
                <w:color w:val="1C2737"/>
                <w:sz w:val="20"/>
              </w:rPr>
              <w:t>Primary sources</w:t>
            </w:r>
          </w:p>
        </w:tc>
        <w:tc>
          <w:tcPr>
            <w:tcW w:type="dxa" w:w="7056"/>
            <w:tcMar>
              <w:top w:w="80" w:type="dxa"/>
              <w:start w:w="90" w:type="dxa"/>
              <w:bottom w:w="80" w:type="dxa"/>
              <w:end w:w="90" w:type="dxa"/>
            </w:tcMar>
            <w:vAlign w:val="center"/>
          </w:tcPr>
          <w:p>
            <w:pPr>
              <w:spacing w:after="80" w:before="0" w:line="276" w:lineRule="auto"/>
            </w:pPr>
            <w:r>
              <w:rPr>
                <w:rFonts w:ascii="Aptos" w:hAnsi="Aptos"/>
                <w:b w:val="0"/>
                <w:i w:val="0"/>
                <w:color w:val="1C2737"/>
                <w:sz w:val="20"/>
              </w:rPr>
              <w:t>Assessment items around commitment, planning, definition, structure, exclusivity, accountability; messaging deferral events; calendar or plan cancellations; repair refusal; mismatch between stated goals and tolerated depth.</w:t>
            </w:r>
          </w:p>
        </w:tc>
      </w:tr>
      <w:tr>
        <w:tc>
          <w:tcPr>
            <w:tcW w:type="dxa" w:w="2592"/>
            <w:tcMar>
              <w:top w:w="80" w:type="dxa"/>
              <w:start w:w="90" w:type="dxa"/>
              <w:bottom w:w="80" w:type="dxa"/>
              <w:end w:w="90" w:type="dxa"/>
            </w:tcMar>
            <w:vAlign w:val="center"/>
            <w:shd w:fill="EAF1F8"/>
          </w:tcPr>
          <w:p>
            <w:pPr>
              <w:spacing w:after="80" w:before="0" w:line="276" w:lineRule="auto"/>
            </w:pPr>
            <w:r>
              <w:rPr>
                <w:rFonts w:ascii="Aptos" w:hAnsi="Aptos"/>
                <w:b/>
                <w:i w:val="0"/>
                <w:color w:val="1C2737"/>
                <w:sz w:val="20"/>
              </w:rPr>
              <w:t>Default posture</w:t>
            </w:r>
          </w:p>
        </w:tc>
        <w:tc>
          <w:tcPr>
            <w:tcW w:type="dxa" w:w="7056"/>
            <w:tcMar>
              <w:top w:w="80" w:type="dxa"/>
              <w:start w:w="90" w:type="dxa"/>
              <w:bottom w:w="80" w:type="dxa"/>
              <w:end w:w="90" w:type="dxa"/>
            </w:tcMar>
            <w:vAlign w:val="center"/>
          </w:tcPr>
          <w:p>
            <w:pPr>
              <w:spacing w:after="80" w:before="0" w:line="276" w:lineRule="auto"/>
            </w:pPr>
            <w:r>
              <w:rPr>
                <w:rFonts w:ascii="Aptos" w:hAnsi="Aptos"/>
                <w:b w:val="0"/>
                <w:i w:val="0"/>
                <w:color w:val="1C2737"/>
                <w:sz w:val="20"/>
              </w:rPr>
              <w:t>Meaningful but not automatically pathological. The rule must distinguish healthy pacing from defensive anti-structure behavior.</w:t>
            </w:r>
          </w:p>
        </w:tc>
      </w:tr>
      <w:tr>
        <w:tc>
          <w:tcPr>
            <w:tcW w:type="dxa" w:w="2592"/>
            <w:tcMar>
              <w:top w:w="80" w:type="dxa"/>
              <w:start w:w="90" w:type="dxa"/>
              <w:bottom w:w="80" w:type="dxa"/>
              <w:end w:w="90" w:type="dxa"/>
            </w:tcMar>
            <w:vAlign w:val="center"/>
            <w:shd w:fill="EAF1F8"/>
          </w:tcPr>
          <w:p>
            <w:pPr>
              <w:spacing w:after="80" w:before="0" w:line="276" w:lineRule="auto"/>
            </w:pPr>
            <w:r>
              <w:rPr>
                <w:rFonts w:ascii="Aptos" w:hAnsi="Aptos"/>
                <w:b/>
                <w:i w:val="0"/>
                <w:color w:val="1C2737"/>
                <w:sz w:val="20"/>
              </w:rPr>
              <w:t>User exposure</w:t>
            </w:r>
          </w:p>
        </w:tc>
        <w:tc>
          <w:tcPr>
            <w:tcW w:type="dxa" w:w="7056"/>
            <w:tcMar>
              <w:top w:w="80" w:type="dxa"/>
              <w:start w:w="90" w:type="dxa"/>
              <w:bottom w:w="80" w:type="dxa"/>
              <w:end w:w="90" w:type="dxa"/>
            </w:tcMar>
            <w:vAlign w:val="center"/>
          </w:tcPr>
          <w:p>
            <w:pPr>
              <w:spacing w:after="80" w:before="0" w:line="276" w:lineRule="auto"/>
            </w:pPr>
            <w:r>
              <w:rPr>
                <w:rFonts w:ascii="Aptos" w:hAnsi="Aptos"/>
                <w:b w:val="0"/>
                <w:i w:val="0"/>
                <w:color w:val="1C2737"/>
                <w:sz w:val="20"/>
              </w:rPr>
              <w:t>Softened user-facing labels allowed, such as “pressure mismatch” or “structure resistance”.</w:t>
            </w:r>
          </w:p>
        </w:tc>
      </w:tr>
    </w:tbl>
    <w:p/>
    <w:p>
      <w:pPr>
        <w:spacing w:after="60" w:before="0" w:line="276" w:lineRule="auto"/>
      </w:pPr>
      <w:r>
        <w:rPr>
          <w:rFonts w:ascii="Aptos" w:hAnsi="Aptos"/>
          <w:b/>
          <w:i w:val="0"/>
          <w:color w:val="1C2737"/>
          <w:sz w:val="23"/>
        </w:rPr>
        <w:t>Canonical detection logic</w:t>
      </w:r>
    </w:p>
    <w:p>
      <w:pPr>
        <w:pStyle w:val="ListBullet"/>
        <w:spacing w:after="60" w:before="0" w:line="276" w:lineRule="auto"/>
        <w:ind w:left="259"/>
      </w:pPr>
      <w:r>
        <w:rPr>
          <w:rFonts w:ascii="Aptos" w:hAnsi="Aptos"/>
          <w:b w:val="0"/>
          <w:i w:val="0"/>
          <w:color w:val="1C2737"/>
          <w:sz w:val="21"/>
        </w:rPr>
        <w:t>S1 requires either an assessment posture that strongly resists structure or one behavioral episode where planning or clarity is dodged after previously signaling interest.</w:t>
      </w:r>
    </w:p>
    <w:p>
      <w:pPr>
        <w:pStyle w:val="ListBullet"/>
        <w:spacing w:after="60" w:before="0" w:line="276" w:lineRule="auto"/>
        <w:ind w:left="259"/>
      </w:pPr>
      <w:r>
        <w:rPr>
          <w:rFonts w:ascii="Aptos" w:hAnsi="Aptos"/>
          <w:b w:val="0"/>
          <w:i w:val="0"/>
          <w:color w:val="1C2737"/>
          <w:sz w:val="21"/>
        </w:rPr>
        <w:t>S2 requires two qualifying events in 45 days or one assessment contradiction plus one behavior event that blocks structure or repair.</w:t>
      </w:r>
    </w:p>
    <w:p>
      <w:pPr>
        <w:pStyle w:val="ListBullet"/>
        <w:spacing w:after="60" w:before="0" w:line="276" w:lineRule="auto"/>
        <w:ind w:left="259"/>
      </w:pPr>
      <w:r>
        <w:rPr>
          <w:rFonts w:ascii="Aptos" w:hAnsi="Aptos"/>
          <w:b w:val="0"/>
          <w:i w:val="0"/>
          <w:color w:val="1C2737"/>
          <w:sz w:val="21"/>
        </w:rPr>
        <w:t>S3 requires repeated ambiguity maintenance that materially harms pacing alignment or leaves the other person carrying all definition labor.</w:t>
      </w:r>
    </w:p>
    <w:p>
      <w:pPr>
        <w:pStyle w:val="ListBullet"/>
        <w:spacing w:after="60" w:before="0" w:line="276" w:lineRule="auto"/>
        <w:ind w:left="259"/>
      </w:pPr>
      <w:r>
        <w:rPr>
          <w:rFonts w:ascii="Aptos" w:hAnsi="Aptos"/>
          <w:b w:val="0"/>
          <w:i w:val="0"/>
          <w:color w:val="1C2737"/>
          <w:sz w:val="21"/>
        </w:rPr>
        <w:t>S4 requires sustained patterning across multiple attempts at clarification, planning, or accountability, especially when accompanied by excuse churn or selective availability.</w:t>
      </w:r>
    </w:p>
    <w:p>
      <w:pPr>
        <w:pStyle w:val="ListBullet"/>
        <w:spacing w:after="60" w:before="0" w:line="276" w:lineRule="auto"/>
        <w:ind w:left="259"/>
      </w:pPr>
      <w:r>
        <w:rPr>
          <w:rFonts w:ascii="Aptos" w:hAnsi="Aptos"/>
          <w:b w:val="0"/>
          <w:i w:val="0"/>
          <w:color w:val="1C2737"/>
          <w:sz w:val="21"/>
        </w:rPr>
        <w:t>S5 is reserved for chronic and reinforced anti-structure behavior that drives repeated guarded or suppressed forecast outputs.</w:t>
      </w:r>
    </w:p>
    <w:p>
      <w:pPr>
        <w:spacing w:after="60" w:before="0" w:line="276" w:lineRule="auto"/>
      </w:pPr>
      <w:r>
        <w:rPr>
          <w:rFonts w:ascii="Aptos" w:hAnsi="Aptos"/>
          <w:b/>
          <w:i w:val="0"/>
          <w:color w:val="1C2737"/>
          <w:sz w:val="23"/>
        </w:rPr>
        <w:t>Severity ladder for this cluster</w:t>
      </w:r>
    </w:p>
    <w:tbl>
      <w:tblPr>
        <w:tblW w:type="auto" w:w="0"/>
        <w:jc w:val="center"/>
        <w:tblLayout w:type="fixed"/>
        <w:tblLook w:firstColumn="1" w:firstRow="1" w:lastColumn="0" w:lastRow="0" w:noHBand="0" w:noVBand="1" w:val="04A0"/>
        <w:tblBorders>
          <w:top w:val="single" w:sz="8" w:space="0" w:color="C7D0DA"/>
          <w:left w:val="single" w:sz="8" w:space="0" w:color="C7D0DA"/>
          <w:bottom w:val="single" w:sz="8" w:space="0" w:color="C7D0DA"/>
          <w:right w:val="single" w:sz="8" w:space="0" w:color="C7D0DA"/>
          <w:insideH w:val="single" w:sz="8" w:space="0" w:color="C7D0DA"/>
          <w:insideV w:val="single" w:sz="8" w:space="0" w:color="C7D0DA"/>
        </w:tblBorders>
      </w:tblPr>
      <w:tblGrid>
        <w:gridCol w:w="2484"/>
        <w:gridCol w:w="2484"/>
        <w:gridCol w:w="2484"/>
        <w:gridCol w:w="2484"/>
      </w:tblGrid>
      <w:tr>
        <w:tc>
          <w:tcPr>
            <w:tcW w:type="dxa" w:w="1296"/>
            <w:tcMar>
              <w:top w:w="90" w:type="dxa"/>
              <w:start w:w="100" w:type="dxa"/>
              <w:bottom w:w="90" w:type="dxa"/>
              <w:end w:w="100" w:type="dxa"/>
            </w:tcMar>
            <w:shd w:fill="DDEAF7"/>
          </w:tcPr>
          <w:p>
            <w:pPr>
              <w:spacing w:after="80" w:before="0" w:line="276" w:lineRule="auto"/>
              <w:jc w:val="center"/>
            </w:pPr>
            <w:r>
              <w:rPr>
                <w:rFonts w:ascii="Aptos" w:hAnsi="Aptos"/>
                <w:b/>
                <w:i w:val="0"/>
                <w:color w:val="1C2737"/>
                <w:sz w:val="19"/>
              </w:rPr>
              <w:t>Lvl</w:t>
            </w:r>
          </w:p>
        </w:tc>
        <w:tc>
          <w:tcPr>
            <w:tcW w:type="dxa" w:w="1872"/>
            <w:tcMar>
              <w:top w:w="90" w:type="dxa"/>
              <w:start w:w="100" w:type="dxa"/>
              <w:bottom w:w="90" w:type="dxa"/>
              <w:end w:w="100" w:type="dxa"/>
            </w:tcMar>
            <w:shd w:fill="DDEAF7"/>
          </w:tcPr>
          <w:p>
            <w:pPr>
              <w:spacing w:after="80" w:before="0" w:line="276" w:lineRule="auto"/>
              <w:jc w:val="center"/>
            </w:pPr>
            <w:r>
              <w:rPr>
                <w:rFonts w:ascii="Aptos" w:hAnsi="Aptos"/>
                <w:b/>
                <w:i w:val="0"/>
                <w:color w:val="1C2737"/>
                <w:sz w:val="19"/>
              </w:rPr>
              <w:t>Trigger Posture</w:t>
            </w:r>
          </w:p>
        </w:tc>
        <w:tc>
          <w:tcPr>
            <w:tcW w:type="dxa" w:w="3744"/>
            <w:tcMar>
              <w:top w:w="90" w:type="dxa"/>
              <w:start w:w="100" w:type="dxa"/>
              <w:bottom w:w="90" w:type="dxa"/>
              <w:end w:w="100" w:type="dxa"/>
            </w:tcMar>
            <w:shd w:fill="DDEAF7"/>
          </w:tcPr>
          <w:p>
            <w:pPr>
              <w:spacing w:after="80" w:before="0" w:line="276" w:lineRule="auto"/>
              <w:jc w:val="center"/>
            </w:pPr>
            <w:r>
              <w:rPr>
                <w:rFonts w:ascii="Aptos" w:hAnsi="Aptos"/>
                <w:b/>
                <w:i w:val="0"/>
                <w:color w:val="1C2737"/>
                <w:sz w:val="19"/>
              </w:rPr>
              <w:t>Default Write-Back</w:t>
            </w:r>
          </w:p>
        </w:tc>
        <w:tc>
          <w:tcPr>
            <w:tcW w:type="dxa" w:w="3168"/>
            <w:tcMar>
              <w:top w:w="90" w:type="dxa"/>
              <w:start w:w="100" w:type="dxa"/>
              <w:bottom w:w="90" w:type="dxa"/>
              <w:end w:w="100" w:type="dxa"/>
            </w:tcMar>
            <w:shd w:fill="DDEAF7"/>
          </w:tcPr>
          <w:p>
            <w:pPr>
              <w:spacing w:after="80" w:before="0" w:line="276" w:lineRule="auto"/>
              <w:jc w:val="center"/>
            </w:pPr>
            <w:r>
              <w:rPr>
                <w:rFonts w:ascii="Aptos" w:hAnsi="Aptos"/>
                <w:b/>
                <w:i w:val="0"/>
                <w:color w:val="1C2737"/>
                <w:sz w:val="19"/>
              </w:rPr>
              <w:t>Primary Effect</w:t>
            </w:r>
          </w:p>
        </w:tc>
      </w:tr>
      <w:tr>
        <w:tc>
          <w:tcPr>
            <w:tcW w:type="dxa" w:w="1296"/>
            <w:tcMar>
              <w:top w:w="90" w:type="dxa"/>
              <w:start w:w="100" w:type="dxa"/>
              <w:bottom w:w="90" w:type="dxa"/>
              <w:end w:w="100" w:type="dxa"/>
            </w:tcMar>
            <w:vAlign w:val="center"/>
          </w:tcPr>
          <w:p>
            <w:pPr>
              <w:spacing w:after="80" w:before="0" w:line="276" w:lineRule="auto"/>
              <w:jc w:val="center"/>
            </w:pPr>
            <w:r>
              <w:rPr>
                <w:rFonts w:ascii="Aptos" w:hAnsi="Aptos"/>
                <w:b/>
                <w:i w:val="0"/>
                <w:color w:val="1C2737"/>
                <w:sz w:val="19"/>
              </w:rPr>
              <w:t>S1</w:t>
            </w:r>
          </w:p>
        </w:tc>
        <w:tc>
          <w:tcPr>
            <w:tcW w:type="dxa" w:w="1872"/>
            <w:tcMar>
              <w:top w:w="90" w:type="dxa"/>
              <w:start w:w="100" w:type="dxa"/>
              <w:bottom w:w="90" w:type="dxa"/>
              <w:end w:w="100" w:type="dxa"/>
            </w:tcMar>
            <w:vAlign w:val="center"/>
          </w:tcPr>
          <w:p>
            <w:pPr>
              <w:spacing w:after="80" w:before="0" w:line="276" w:lineRule="auto"/>
            </w:pPr>
            <w:r>
              <w:rPr>
                <w:rFonts w:ascii="Aptos" w:hAnsi="Aptos"/>
                <w:b w:val="0"/>
                <w:i w:val="0"/>
                <w:color w:val="1C2737"/>
                <w:sz w:val="18"/>
              </w:rPr>
              <w:t>healthy caution or early signal</w:t>
            </w:r>
          </w:p>
        </w:tc>
        <w:tc>
          <w:tcPr>
            <w:tcW w:type="dxa" w:w="3744"/>
            <w:tcMar>
              <w:top w:w="90" w:type="dxa"/>
              <w:start w:w="100" w:type="dxa"/>
              <w:bottom w:w="90" w:type="dxa"/>
              <w:end w:w="100" w:type="dxa"/>
            </w:tcMar>
            <w:vAlign w:val="center"/>
          </w:tcPr>
          <w:p>
            <w:pPr>
              <w:spacing w:after="80" w:before="0" w:line="276" w:lineRule="auto"/>
            </w:pPr>
            <w:r>
              <w:rPr>
                <w:rFonts w:ascii="Aptos" w:hAnsi="Aptos"/>
                <w:b w:val="0"/>
                <w:i w:val="0"/>
                <w:color w:val="1C2737"/>
                <w:sz w:val="18"/>
              </w:rPr>
              <w:t>watch trace only</w:t>
            </w:r>
          </w:p>
        </w:tc>
        <w:tc>
          <w:tcPr>
            <w:tcW w:type="dxa" w:w="3168"/>
            <w:tcMar>
              <w:top w:w="90" w:type="dxa"/>
              <w:start w:w="100" w:type="dxa"/>
              <w:bottom w:w="90" w:type="dxa"/>
              <w:end w:w="100" w:type="dxa"/>
            </w:tcMar>
            <w:vAlign w:val="center"/>
          </w:tcPr>
          <w:p>
            <w:pPr>
              <w:spacing w:after="80" w:before="0" w:line="276" w:lineRule="auto"/>
            </w:pPr>
            <w:r>
              <w:rPr>
                <w:rFonts w:ascii="Aptos" w:hAnsi="Aptos"/>
                <w:b w:val="0"/>
                <w:i w:val="0"/>
                <w:color w:val="1C2737"/>
                <w:sz w:val="18"/>
              </w:rPr>
              <w:t>no score move; pacing watch</w:t>
            </w:r>
          </w:p>
        </w:tc>
      </w:tr>
      <w:tr>
        <w:tc>
          <w:tcPr>
            <w:tcW w:type="dxa" w:w="1296"/>
            <w:tcMar>
              <w:top w:w="90" w:type="dxa"/>
              <w:start w:w="100" w:type="dxa"/>
              <w:bottom w:w="90" w:type="dxa"/>
              <w:end w:w="100" w:type="dxa"/>
            </w:tcMar>
            <w:vAlign w:val="center"/>
          </w:tcPr>
          <w:p>
            <w:pPr>
              <w:spacing w:after="80" w:before="0" w:line="276" w:lineRule="auto"/>
              <w:jc w:val="center"/>
            </w:pPr>
            <w:r>
              <w:rPr>
                <w:rFonts w:ascii="Aptos" w:hAnsi="Aptos"/>
                <w:b/>
                <w:i w:val="0"/>
                <w:color w:val="1C2737"/>
                <w:sz w:val="19"/>
              </w:rPr>
              <w:t>S2</w:t>
            </w:r>
          </w:p>
        </w:tc>
        <w:tc>
          <w:tcPr>
            <w:tcW w:type="dxa" w:w="1872"/>
            <w:tcMar>
              <w:top w:w="90" w:type="dxa"/>
              <w:start w:w="100" w:type="dxa"/>
              <w:bottom w:w="90" w:type="dxa"/>
              <w:end w:w="100" w:type="dxa"/>
            </w:tcMar>
            <w:vAlign w:val="center"/>
          </w:tcPr>
          <w:p>
            <w:pPr>
              <w:spacing w:after="80" w:before="0" w:line="276" w:lineRule="auto"/>
            </w:pPr>
            <w:r>
              <w:rPr>
                <w:rFonts w:ascii="Aptos" w:hAnsi="Aptos"/>
                <w:b w:val="0"/>
                <w:i w:val="0"/>
                <w:color w:val="1C2737"/>
                <w:sz w:val="18"/>
              </w:rPr>
              <w:t>pattern starts to repeat</w:t>
            </w:r>
          </w:p>
        </w:tc>
        <w:tc>
          <w:tcPr>
            <w:tcW w:type="dxa" w:w="3744"/>
            <w:tcMar>
              <w:top w:w="90" w:type="dxa"/>
              <w:start w:w="100" w:type="dxa"/>
              <w:bottom w:w="90" w:type="dxa"/>
              <w:end w:w="100" w:type="dxa"/>
            </w:tcMar>
            <w:vAlign w:val="center"/>
          </w:tcPr>
          <w:p>
            <w:pPr>
              <w:spacing w:after="80" w:before="0" w:line="276" w:lineRule="auto"/>
            </w:pPr>
            <w:r>
              <w:rPr>
                <w:rFonts w:ascii="Aptos" w:hAnsi="Aptos"/>
                <w:b w:val="0"/>
                <w:i w:val="0"/>
                <w:color w:val="1C2737"/>
                <w:sz w:val="18"/>
              </w:rPr>
              <w:t>user write-back with low persistence</w:t>
            </w:r>
          </w:p>
        </w:tc>
        <w:tc>
          <w:tcPr>
            <w:tcW w:type="dxa" w:w="3168"/>
            <w:tcMar>
              <w:top w:w="90" w:type="dxa"/>
              <w:start w:w="100" w:type="dxa"/>
              <w:bottom w:w="90" w:type="dxa"/>
              <w:end w:w="100" w:type="dxa"/>
            </w:tcMar>
            <w:vAlign w:val="center"/>
          </w:tcPr>
          <w:p>
            <w:pPr>
              <w:spacing w:after="80" w:before="0" w:line="276" w:lineRule="auto"/>
            </w:pPr>
            <w:r>
              <w:rPr>
                <w:rFonts w:ascii="Aptos" w:hAnsi="Aptos"/>
                <w:b w:val="0"/>
                <w:i w:val="0"/>
                <w:color w:val="1C2737"/>
                <w:sz w:val="18"/>
              </w:rPr>
              <w:t>small readiness/pacing drag</w:t>
            </w:r>
          </w:p>
        </w:tc>
      </w:tr>
      <w:tr>
        <w:tc>
          <w:tcPr>
            <w:tcW w:type="dxa" w:w="1296"/>
            <w:tcMar>
              <w:top w:w="90" w:type="dxa"/>
              <w:start w:w="100" w:type="dxa"/>
              <w:bottom w:w="90" w:type="dxa"/>
              <w:end w:w="100" w:type="dxa"/>
            </w:tcMar>
            <w:vAlign w:val="center"/>
          </w:tcPr>
          <w:p>
            <w:pPr>
              <w:spacing w:after="80" w:before="0" w:line="276" w:lineRule="auto"/>
              <w:jc w:val="center"/>
            </w:pPr>
            <w:r>
              <w:rPr>
                <w:rFonts w:ascii="Aptos" w:hAnsi="Aptos"/>
                <w:b/>
                <w:i w:val="0"/>
                <w:color w:val="1C2737"/>
                <w:sz w:val="19"/>
              </w:rPr>
              <w:t>S3</w:t>
            </w:r>
          </w:p>
        </w:tc>
        <w:tc>
          <w:tcPr>
            <w:tcW w:type="dxa" w:w="1872"/>
            <w:tcMar>
              <w:top w:w="90" w:type="dxa"/>
              <w:start w:w="100" w:type="dxa"/>
              <w:bottom w:w="90" w:type="dxa"/>
              <w:end w:w="100" w:type="dxa"/>
            </w:tcMar>
            <w:vAlign w:val="center"/>
          </w:tcPr>
          <w:p>
            <w:pPr>
              <w:spacing w:after="80" w:before="0" w:line="276" w:lineRule="auto"/>
            </w:pPr>
            <w:r>
              <w:rPr>
                <w:rFonts w:ascii="Aptos" w:hAnsi="Aptos"/>
                <w:b w:val="0"/>
                <w:i w:val="0"/>
                <w:color w:val="1C2737"/>
                <w:sz w:val="18"/>
              </w:rPr>
              <w:t>active anti-structure pattern</w:t>
            </w:r>
          </w:p>
        </w:tc>
        <w:tc>
          <w:tcPr>
            <w:tcW w:type="dxa" w:w="3744"/>
            <w:tcMar>
              <w:top w:w="90" w:type="dxa"/>
              <w:start w:w="100" w:type="dxa"/>
              <w:bottom w:w="90" w:type="dxa"/>
              <w:end w:w="100" w:type="dxa"/>
            </w:tcMar>
            <w:vAlign w:val="center"/>
          </w:tcPr>
          <w:p>
            <w:pPr>
              <w:spacing w:after="80" w:before="0" w:line="276" w:lineRule="auto"/>
            </w:pPr>
            <w:r>
              <w:rPr>
                <w:rFonts w:ascii="Aptos" w:hAnsi="Aptos"/>
                <w:b w:val="0"/>
                <w:i w:val="0"/>
                <w:color w:val="1C2737"/>
                <w:sz w:val="18"/>
              </w:rPr>
              <w:t>persistent user write-back and pair pacing caution</w:t>
            </w:r>
          </w:p>
        </w:tc>
        <w:tc>
          <w:tcPr>
            <w:tcW w:type="dxa" w:w="3168"/>
            <w:tcMar>
              <w:top w:w="90" w:type="dxa"/>
              <w:start w:w="100" w:type="dxa"/>
              <w:bottom w:w="90" w:type="dxa"/>
              <w:end w:w="100" w:type="dxa"/>
            </w:tcMar>
            <w:vAlign w:val="center"/>
          </w:tcPr>
          <w:p>
            <w:pPr>
              <w:spacing w:after="80" w:before="0" w:line="276" w:lineRule="auto"/>
            </w:pPr>
            <w:r>
              <w:rPr>
                <w:rFonts w:ascii="Aptos" w:hAnsi="Aptos"/>
                <w:b w:val="0"/>
                <w:i w:val="0"/>
                <w:color w:val="1C2737"/>
                <w:sz w:val="18"/>
              </w:rPr>
              <w:t>moderate readiness and forecast effect</w:t>
            </w:r>
          </w:p>
        </w:tc>
      </w:tr>
      <w:tr>
        <w:tc>
          <w:tcPr>
            <w:tcW w:type="dxa" w:w="1296"/>
            <w:tcMar>
              <w:top w:w="90" w:type="dxa"/>
              <w:start w:w="100" w:type="dxa"/>
              <w:bottom w:w="90" w:type="dxa"/>
              <w:end w:w="100" w:type="dxa"/>
            </w:tcMar>
            <w:vAlign w:val="center"/>
          </w:tcPr>
          <w:p>
            <w:pPr>
              <w:spacing w:after="80" w:before="0" w:line="276" w:lineRule="auto"/>
              <w:jc w:val="center"/>
            </w:pPr>
            <w:r>
              <w:rPr>
                <w:rFonts w:ascii="Aptos" w:hAnsi="Aptos"/>
                <w:b/>
                <w:i w:val="0"/>
                <w:color w:val="1C2737"/>
                <w:sz w:val="19"/>
              </w:rPr>
              <w:t>S4</w:t>
            </w:r>
          </w:p>
        </w:tc>
        <w:tc>
          <w:tcPr>
            <w:tcW w:type="dxa" w:w="1872"/>
            <w:tcMar>
              <w:top w:w="90" w:type="dxa"/>
              <w:start w:w="100" w:type="dxa"/>
              <w:bottom w:w="90" w:type="dxa"/>
              <w:end w:w="100" w:type="dxa"/>
            </w:tcMar>
            <w:vAlign w:val="center"/>
          </w:tcPr>
          <w:p>
            <w:pPr>
              <w:spacing w:after="80" w:before="0" w:line="276" w:lineRule="auto"/>
            </w:pPr>
            <w:r>
              <w:rPr>
                <w:rFonts w:ascii="Aptos" w:hAnsi="Aptos"/>
                <w:b w:val="0"/>
                <w:i w:val="0"/>
                <w:color w:val="1C2737"/>
                <w:sz w:val="18"/>
              </w:rPr>
              <w:t>sustained structure resistance</w:t>
            </w:r>
          </w:p>
        </w:tc>
        <w:tc>
          <w:tcPr>
            <w:tcW w:type="dxa" w:w="3744"/>
            <w:tcMar>
              <w:top w:w="90" w:type="dxa"/>
              <w:start w:w="100" w:type="dxa"/>
              <w:bottom w:w="90" w:type="dxa"/>
              <w:end w:w="100" w:type="dxa"/>
            </w:tcMar>
            <w:vAlign w:val="center"/>
          </w:tcPr>
          <w:p>
            <w:pPr>
              <w:spacing w:after="80" w:before="0" w:line="276" w:lineRule="auto"/>
            </w:pPr>
            <w:r>
              <w:rPr>
                <w:rFonts w:ascii="Aptos" w:hAnsi="Aptos"/>
                <w:b w:val="0"/>
                <w:i w:val="0"/>
                <w:color w:val="1C2737"/>
                <w:sz w:val="18"/>
              </w:rPr>
              <w:t>persistent user + pair guarded trace</w:t>
            </w:r>
          </w:p>
        </w:tc>
        <w:tc>
          <w:tcPr>
            <w:tcW w:type="dxa" w:w="3168"/>
            <w:tcMar>
              <w:top w:w="90" w:type="dxa"/>
              <w:start w:w="100" w:type="dxa"/>
              <w:bottom w:w="90" w:type="dxa"/>
              <w:end w:w="100" w:type="dxa"/>
            </w:tcMar>
            <w:vAlign w:val="center"/>
          </w:tcPr>
          <w:p>
            <w:pPr>
              <w:spacing w:after="80" w:before="0" w:line="276" w:lineRule="auto"/>
            </w:pPr>
            <w:r>
              <w:rPr>
                <w:rFonts w:ascii="Aptos" w:hAnsi="Aptos"/>
                <w:b w:val="0"/>
                <w:i w:val="0"/>
                <w:color w:val="1C2737"/>
                <w:sz w:val="18"/>
              </w:rPr>
              <w:t>strong forecast drag; gated product prompts</w:t>
            </w:r>
          </w:p>
        </w:tc>
      </w:tr>
      <w:tr>
        <w:tc>
          <w:tcPr>
            <w:tcW w:type="dxa" w:w="1296"/>
            <w:tcMar>
              <w:top w:w="90" w:type="dxa"/>
              <w:start w:w="100" w:type="dxa"/>
              <w:bottom w:w="90" w:type="dxa"/>
              <w:end w:w="100" w:type="dxa"/>
            </w:tcMar>
            <w:vAlign w:val="center"/>
          </w:tcPr>
          <w:p>
            <w:pPr>
              <w:spacing w:after="80" w:before="0" w:line="276" w:lineRule="auto"/>
              <w:jc w:val="center"/>
            </w:pPr>
            <w:r>
              <w:rPr>
                <w:rFonts w:ascii="Aptos" w:hAnsi="Aptos"/>
                <w:b/>
                <w:i w:val="0"/>
                <w:color w:val="1C2737"/>
                <w:sz w:val="19"/>
              </w:rPr>
              <w:t>S5</w:t>
            </w:r>
          </w:p>
        </w:tc>
        <w:tc>
          <w:tcPr>
            <w:tcW w:type="dxa" w:w="1872"/>
            <w:tcMar>
              <w:top w:w="90" w:type="dxa"/>
              <w:start w:w="100" w:type="dxa"/>
              <w:bottom w:w="90" w:type="dxa"/>
              <w:end w:w="100" w:type="dxa"/>
            </w:tcMar>
            <w:vAlign w:val="center"/>
          </w:tcPr>
          <w:p>
            <w:pPr>
              <w:spacing w:after="80" w:before="0" w:line="276" w:lineRule="auto"/>
            </w:pPr>
            <w:r>
              <w:rPr>
                <w:rFonts w:ascii="Aptos" w:hAnsi="Aptos"/>
                <w:b w:val="0"/>
                <w:i w:val="0"/>
                <w:color w:val="1C2737"/>
                <w:sz w:val="18"/>
              </w:rPr>
              <w:t>chronic destabilizer</w:t>
            </w:r>
          </w:p>
        </w:tc>
        <w:tc>
          <w:tcPr>
            <w:tcW w:type="dxa" w:w="3744"/>
            <w:tcMar>
              <w:top w:w="90" w:type="dxa"/>
              <w:start w:w="100" w:type="dxa"/>
              <w:bottom w:w="90" w:type="dxa"/>
              <w:end w:w="100" w:type="dxa"/>
            </w:tcMar>
            <w:vAlign w:val="center"/>
          </w:tcPr>
          <w:p>
            <w:pPr>
              <w:spacing w:after="80" w:before="0" w:line="276" w:lineRule="auto"/>
            </w:pPr>
            <w:r>
              <w:rPr>
                <w:rFonts w:ascii="Aptos" w:hAnsi="Aptos"/>
                <w:b w:val="0"/>
                <w:i w:val="0"/>
                <w:color w:val="1C2737"/>
                <w:sz w:val="18"/>
              </w:rPr>
              <w:t>persistent protection state</w:t>
            </w:r>
          </w:p>
        </w:tc>
        <w:tc>
          <w:tcPr>
            <w:tcW w:type="dxa" w:w="3168"/>
            <w:tcMar>
              <w:top w:w="90" w:type="dxa"/>
              <w:start w:w="100" w:type="dxa"/>
              <w:bottom w:w="90" w:type="dxa"/>
              <w:end w:w="100" w:type="dxa"/>
            </w:tcMar>
            <w:vAlign w:val="center"/>
          </w:tcPr>
          <w:p>
            <w:pPr>
              <w:spacing w:after="80" w:before="0" w:line="276" w:lineRule="auto"/>
            </w:pPr>
            <w:r>
              <w:rPr>
                <w:rFonts w:ascii="Aptos" w:hAnsi="Aptos"/>
                <w:b w:val="0"/>
                <w:i w:val="0"/>
                <w:color w:val="1C2737"/>
                <w:sz w:val="18"/>
              </w:rPr>
              <w:t>suppress overconfident readiness claims</w:t>
            </w:r>
          </w:p>
        </w:tc>
      </w:tr>
    </w:tbl>
    <w:p/>
    <w:tbl>
      <w:tblPr>
        <w:tblW w:type="auto" w:w="0"/>
        <w:jc w:val="center"/>
        <w:tblLayout w:type="fixed"/>
        <w:tblLook w:firstColumn="1" w:firstRow="1" w:lastColumn="0" w:lastRow="0" w:noHBand="0" w:noVBand="1" w:val="04A0"/>
        <w:tblBorders>
          <w:top w:val="single" w:sz="8" w:space="0" w:color="C7D0DA"/>
          <w:left w:val="single" w:sz="8" w:space="0" w:color="C7D0DA"/>
          <w:bottom w:val="single" w:sz="8" w:space="0" w:color="C7D0DA"/>
          <w:right w:val="single" w:sz="8" w:space="0" w:color="C7D0DA"/>
          <w:insideH w:val="single" w:sz="8" w:space="0" w:color="C7D0DA"/>
          <w:insideV w:val="single" w:sz="8" w:space="0" w:color="C7D0DA"/>
        </w:tblBorders>
      </w:tblPr>
      <w:tblGrid>
        <w:gridCol w:w="4968"/>
        <w:gridCol w:w="4968"/>
      </w:tblGrid>
      <w:tr>
        <w:tc>
          <w:tcPr>
            <w:tcW w:type="dxa" w:w="2592"/>
            <w:tcMar>
              <w:top w:w="80" w:type="dxa"/>
              <w:start w:w="90" w:type="dxa"/>
              <w:bottom w:w="80" w:type="dxa"/>
              <w:end w:w="90" w:type="dxa"/>
            </w:tcMar>
            <w:shd w:fill="DDEAF7"/>
          </w:tcPr>
          <w:p>
            <w:pPr>
              <w:spacing w:after="80" w:before="0" w:line="276" w:lineRule="auto"/>
              <w:jc w:val="center"/>
            </w:pPr>
            <w:r>
              <w:rPr>
                <w:rFonts w:ascii="Aptos" w:hAnsi="Aptos"/>
                <w:b/>
                <w:i w:val="0"/>
                <w:color w:val="1C2737"/>
                <w:sz w:val="18"/>
              </w:rPr>
              <w:t>Area</w:t>
            </w:r>
          </w:p>
        </w:tc>
        <w:tc>
          <w:tcPr>
            <w:tcW w:type="dxa" w:w="7776"/>
            <w:tcMar>
              <w:top w:w="80" w:type="dxa"/>
              <w:start w:w="90" w:type="dxa"/>
              <w:bottom w:w="80" w:type="dxa"/>
              <w:end w:w="90" w:type="dxa"/>
            </w:tcMar>
            <w:shd w:fill="DDEAF7"/>
          </w:tcPr>
          <w:p>
            <w:pPr>
              <w:spacing w:after="80" w:before="0" w:line="276" w:lineRule="auto"/>
              <w:jc w:val="center"/>
            </w:pPr>
            <w:r>
              <w:rPr>
                <w:rFonts w:ascii="Aptos" w:hAnsi="Aptos"/>
                <w:b/>
                <w:i w:val="0"/>
                <w:color w:val="1C2737"/>
                <w:sz w:val="18"/>
              </w:rPr>
              <w:t>Rule</w:t>
            </w:r>
          </w:p>
        </w:tc>
      </w:tr>
      <w:tr>
        <w:tc>
          <w:tcPr>
            <w:tcW w:type="dxa" w:w="2592"/>
            <w:tcMar>
              <w:top w:w="80" w:type="dxa"/>
              <w:start w:w="90" w:type="dxa"/>
              <w:bottom w:w="80" w:type="dxa"/>
              <w:end w:w="90" w:type="dxa"/>
            </w:tcMar>
            <w:vAlign w:val="center"/>
          </w:tcPr>
          <w:p>
            <w:pPr>
              <w:spacing w:after="80" w:before="0" w:line="276" w:lineRule="auto"/>
              <w:jc w:val="center"/>
            </w:pPr>
            <w:r>
              <w:rPr>
                <w:rFonts w:ascii="Aptos" w:hAnsi="Aptos"/>
                <w:b/>
                <w:i w:val="0"/>
                <w:color w:val="1C2737"/>
                <w:sz w:val="18"/>
              </w:rPr>
              <w:t>Write-back</w:t>
            </w:r>
          </w:p>
        </w:tc>
        <w:tc>
          <w:tcPr>
            <w:tcW w:type="dxa" w:w="7776"/>
            <w:tcMar>
              <w:top w:w="80" w:type="dxa"/>
              <w:start w:w="90" w:type="dxa"/>
              <w:bottom w:w="80" w:type="dxa"/>
              <w:end w:w="90" w:type="dxa"/>
            </w:tcMar>
            <w:vAlign w:val="center"/>
          </w:tcPr>
          <w:p>
            <w:pPr>
              <w:spacing w:after="80" w:before="0" w:line="276" w:lineRule="auto"/>
            </w:pPr>
            <w:r>
              <w:rPr>
                <w:rFonts w:ascii="Aptos" w:hAnsi="Aptos"/>
                <w:b w:val="0"/>
                <w:i w:val="0"/>
                <w:color w:val="1C2737"/>
                <w:sz w:val="18"/>
              </w:rPr>
              <w:t>Persist planning/clarity avoidance metrics, recent qualifying event IDs, stated goal mismatch markers, and the trigger version. Pair write-back is allowed from S3 upward when the pattern directly harms pacing or reciprocity.</w:t>
            </w:r>
          </w:p>
        </w:tc>
      </w:tr>
      <w:tr>
        <w:tc>
          <w:tcPr>
            <w:tcW w:type="dxa" w:w="2592"/>
            <w:tcMar>
              <w:top w:w="80" w:type="dxa"/>
              <w:start w:w="90" w:type="dxa"/>
              <w:bottom w:w="80" w:type="dxa"/>
              <w:end w:w="90" w:type="dxa"/>
            </w:tcMar>
            <w:vAlign w:val="center"/>
          </w:tcPr>
          <w:p>
            <w:pPr>
              <w:spacing w:after="80" w:before="0" w:line="276" w:lineRule="auto"/>
              <w:jc w:val="center"/>
            </w:pPr>
            <w:r>
              <w:rPr>
                <w:rFonts w:ascii="Aptos" w:hAnsi="Aptos"/>
                <w:b/>
                <w:i w:val="0"/>
                <w:color w:val="1C2737"/>
                <w:sz w:val="18"/>
              </w:rPr>
              <w:t>Decay / clear</w:t>
            </w:r>
          </w:p>
        </w:tc>
        <w:tc>
          <w:tcPr>
            <w:tcW w:type="dxa" w:w="7776"/>
            <w:tcMar>
              <w:top w:w="80" w:type="dxa"/>
              <w:start w:w="90" w:type="dxa"/>
              <w:bottom w:w="80" w:type="dxa"/>
              <w:end w:w="90" w:type="dxa"/>
            </w:tcMar>
            <w:vAlign w:val="center"/>
          </w:tcPr>
          <w:p>
            <w:pPr>
              <w:spacing w:after="80" w:before="0" w:line="276" w:lineRule="auto"/>
            </w:pPr>
            <w:r>
              <w:rPr>
                <w:rFonts w:ascii="Aptos" w:hAnsi="Aptos"/>
                <w:b w:val="0"/>
                <w:i w:val="0"/>
                <w:color w:val="1C2737"/>
                <w:sz w:val="18"/>
              </w:rPr>
              <w:t>Downgrade after 28 quiet days plus at least one completed plan, one direct clarification, or one successful repair conversation. Clear after 75 quiet days with no renewed resistance. Keep active longer when slow drift is also active.</w:t>
            </w:r>
          </w:p>
        </w:tc>
      </w:tr>
      <w:tr>
        <w:tc>
          <w:tcPr>
            <w:tcW w:type="dxa" w:w="2592"/>
            <w:tcMar>
              <w:top w:w="80" w:type="dxa"/>
              <w:start w:w="90" w:type="dxa"/>
              <w:bottom w:w="80" w:type="dxa"/>
              <w:end w:w="90" w:type="dxa"/>
            </w:tcMar>
            <w:vAlign w:val="center"/>
          </w:tcPr>
          <w:p>
            <w:pPr>
              <w:spacing w:after="80" w:before="0" w:line="276" w:lineRule="auto"/>
              <w:jc w:val="center"/>
            </w:pPr>
            <w:r>
              <w:rPr>
                <w:rFonts w:ascii="Aptos" w:hAnsi="Aptos"/>
                <w:b/>
                <w:i w:val="0"/>
                <w:color w:val="1C2737"/>
                <w:sz w:val="18"/>
              </w:rPr>
              <w:t>Readiness effect</w:t>
            </w:r>
          </w:p>
        </w:tc>
        <w:tc>
          <w:tcPr>
            <w:tcW w:type="dxa" w:w="7776"/>
            <w:tcMar>
              <w:top w:w="80" w:type="dxa"/>
              <w:start w:w="90" w:type="dxa"/>
              <w:bottom w:w="80" w:type="dxa"/>
              <w:end w:w="90" w:type="dxa"/>
            </w:tcMar>
            <w:vAlign w:val="center"/>
          </w:tcPr>
          <w:p>
            <w:pPr>
              <w:spacing w:after="80" w:before="0" w:line="276" w:lineRule="auto"/>
            </w:pPr>
            <w:r>
              <w:rPr>
                <w:rFonts w:ascii="Aptos" w:hAnsi="Aptos"/>
                <w:b w:val="0"/>
                <w:i w:val="0"/>
                <w:color w:val="1C2737"/>
                <w:sz w:val="18"/>
              </w:rPr>
              <w:t>Control Avoidance mostly affects readiness through behavior-responsibility and readiness overstatement interaction. S3-S5 can limit numeric readiness display if the user claims serious intent while repeatedly avoiding the structure required for it.</w:t>
            </w:r>
          </w:p>
        </w:tc>
      </w:tr>
      <w:tr>
        <w:tc>
          <w:tcPr>
            <w:tcW w:type="dxa" w:w="2592"/>
            <w:tcMar>
              <w:top w:w="80" w:type="dxa"/>
              <w:start w:w="90" w:type="dxa"/>
              <w:bottom w:w="80" w:type="dxa"/>
              <w:end w:w="90" w:type="dxa"/>
            </w:tcMar>
            <w:vAlign w:val="center"/>
          </w:tcPr>
          <w:p>
            <w:pPr>
              <w:spacing w:after="80" w:before="0" w:line="276" w:lineRule="auto"/>
              <w:jc w:val="center"/>
            </w:pPr>
            <w:r>
              <w:rPr>
                <w:rFonts w:ascii="Aptos" w:hAnsi="Aptos"/>
                <w:b/>
                <w:i w:val="0"/>
                <w:color w:val="1C2737"/>
                <w:sz w:val="18"/>
              </w:rPr>
              <w:t>Forecast effect</w:t>
            </w:r>
          </w:p>
        </w:tc>
        <w:tc>
          <w:tcPr>
            <w:tcW w:type="dxa" w:w="7776"/>
            <w:tcMar>
              <w:top w:w="80" w:type="dxa"/>
              <w:start w:w="90" w:type="dxa"/>
              <w:bottom w:w="80" w:type="dxa"/>
              <w:end w:w="90" w:type="dxa"/>
            </w:tcMar>
            <w:vAlign w:val="center"/>
          </w:tcPr>
          <w:p>
            <w:pPr>
              <w:spacing w:after="80" w:before="0" w:line="276" w:lineRule="auto"/>
            </w:pPr>
            <w:r>
              <w:rPr>
                <w:rFonts w:ascii="Aptos" w:hAnsi="Aptos"/>
                <w:b w:val="0"/>
                <w:i w:val="0"/>
                <w:color w:val="1C2737"/>
                <w:sz w:val="18"/>
              </w:rPr>
              <w:t>Adds pressure mismatch and pacing drag. At S4-S5 it can materially lower pacing alignment and pair stability even if attraction and compatibility remain high.</w:t>
            </w:r>
          </w:p>
        </w:tc>
      </w:tr>
      <w:tr>
        <w:tc>
          <w:tcPr>
            <w:tcW w:type="dxa" w:w="2592"/>
            <w:tcMar>
              <w:top w:w="80" w:type="dxa"/>
              <w:start w:w="90" w:type="dxa"/>
              <w:bottom w:w="80" w:type="dxa"/>
              <w:end w:w="90" w:type="dxa"/>
            </w:tcMar>
            <w:vAlign w:val="center"/>
          </w:tcPr>
          <w:p>
            <w:pPr>
              <w:spacing w:after="80" w:before="0" w:line="276" w:lineRule="auto"/>
              <w:jc w:val="center"/>
            </w:pPr>
            <w:r>
              <w:rPr>
                <w:rFonts w:ascii="Aptos" w:hAnsi="Aptos"/>
                <w:b/>
                <w:i w:val="0"/>
                <w:color w:val="1C2737"/>
                <w:sz w:val="18"/>
              </w:rPr>
              <w:t>Drift interlock</w:t>
            </w:r>
          </w:p>
        </w:tc>
        <w:tc>
          <w:tcPr>
            <w:tcW w:type="dxa" w:w="7776"/>
            <w:tcMar>
              <w:top w:w="80" w:type="dxa"/>
              <w:start w:w="90" w:type="dxa"/>
              <w:bottom w:w="80" w:type="dxa"/>
              <w:end w:w="90" w:type="dxa"/>
            </w:tcMar>
            <w:vAlign w:val="center"/>
          </w:tcPr>
          <w:p>
            <w:pPr>
              <w:spacing w:after="80" w:before="0" w:line="276" w:lineRule="auto"/>
            </w:pPr>
            <w:r>
              <w:rPr>
                <w:rFonts w:ascii="Aptos" w:hAnsi="Aptos"/>
                <w:b w:val="0"/>
                <w:i w:val="0"/>
                <w:color w:val="1C2737"/>
                <w:sz w:val="18"/>
              </w:rPr>
              <w:t>Can feed slow drift when repeated resistance gradually erodes continuity. It should not be recast as drift if the issue is a single planning dispute inside an otherwise stable connection.</w:t>
            </w:r>
          </w:p>
        </w:tc>
      </w:tr>
      <w:tr>
        <w:tc>
          <w:tcPr>
            <w:tcW w:type="dxa" w:w="2592"/>
            <w:tcMar>
              <w:top w:w="80" w:type="dxa"/>
              <w:start w:w="90" w:type="dxa"/>
              <w:bottom w:w="80" w:type="dxa"/>
              <w:end w:w="90" w:type="dxa"/>
            </w:tcMar>
            <w:vAlign w:val="center"/>
          </w:tcPr>
          <w:p>
            <w:pPr>
              <w:spacing w:after="80" w:before="0" w:line="276" w:lineRule="auto"/>
              <w:jc w:val="center"/>
            </w:pPr>
            <w:r>
              <w:rPr>
                <w:rFonts w:ascii="Aptos" w:hAnsi="Aptos"/>
                <w:b/>
                <w:i w:val="0"/>
                <w:color w:val="1C2737"/>
                <w:sz w:val="18"/>
              </w:rPr>
              <w:t>AI / Sanctuary use</w:t>
            </w:r>
          </w:p>
        </w:tc>
        <w:tc>
          <w:tcPr>
            <w:tcW w:type="dxa" w:w="7776"/>
            <w:tcMar>
              <w:top w:w="80" w:type="dxa"/>
              <w:start w:w="90" w:type="dxa"/>
              <w:bottom w:w="80" w:type="dxa"/>
              <w:end w:w="90" w:type="dxa"/>
            </w:tcMar>
            <w:vAlign w:val="center"/>
          </w:tcPr>
          <w:p>
            <w:pPr>
              <w:spacing w:after="80" w:before="0" w:line="276" w:lineRule="auto"/>
            </w:pPr>
            <w:r>
              <w:rPr>
                <w:rFonts w:ascii="Aptos" w:hAnsi="Aptos"/>
                <w:b w:val="0"/>
                <w:i w:val="0"/>
                <w:color w:val="1C2737"/>
                <w:sz w:val="18"/>
              </w:rPr>
              <w:t>AI can ask whether structure feels like pressure, whether the user is preserving optionality, and whether the other person is carrying definition work alone. Sanctuary prompts should target directness, clean pacing, and non-defensive language.</w:t>
            </w:r>
          </w:p>
        </w:tc>
      </w:tr>
    </w:tbl>
    <w:p/>
    <w:tbl>
      <w:tblPr>
        <w:tblW w:type="auto" w:w="0"/>
        <w:jc w:val="center"/>
        <w:tblLayout w:type="fixed"/>
        <w:tblLook w:firstColumn="1" w:firstRow="1" w:lastColumn="0" w:lastRow="0" w:noHBand="0" w:noVBand="1" w:val="04A0"/>
        <w:tblBorders>
          <w:top w:val="single" w:sz="10" w:space="0" w:color="AFC2D5"/>
          <w:left w:val="single" w:sz="10" w:space="0" w:color="AFC2D5"/>
          <w:bottom w:val="single" w:sz="10" w:space="0" w:color="AFC2D5"/>
          <w:right w:val="single" w:sz="10" w:space="0" w:color="AFC2D5"/>
          <w:insideH w:val="single" w:sz="10" w:space="0" w:color="AFC2D5"/>
          <w:insideV w:val="single" w:sz="10" w:space="0" w:color="AFC2D5"/>
        </w:tblBorders>
      </w:tblPr>
      <w:tblGrid>
        <w:gridCol w:w="9936"/>
      </w:tblGrid>
      <w:tr>
        <w:tc>
          <w:tcPr>
            <w:tcW w:type="dxa" w:w="9936"/>
            <w:shd w:fill="F4F8FB"/>
            <w:tcMar>
              <w:top w:w="120" w:type="dxa"/>
              <w:start w:w="140" w:type="dxa"/>
              <w:bottom w:w="120" w:type="dxa"/>
              <w:end w:w="140" w:type="dxa"/>
            </w:tcMar>
          </w:tcPr>
          <w:p>
            <w:pPr>
              <w:spacing w:after="40" w:before="0" w:line="276" w:lineRule="auto"/>
            </w:pPr>
            <w:r>
              <w:rPr>
                <w:rFonts w:ascii="Aptos" w:hAnsi="Aptos"/>
                <w:b/>
                <w:i w:val="0"/>
                <w:color w:val="24528C"/>
                <w:sz w:val="21"/>
              </w:rPr>
              <w:t>QA examples to lock before production</w:t>
            </w:r>
          </w:p>
          <w:p>
            <w:pPr>
              <w:spacing w:after="0" w:before="0" w:line="276" w:lineRule="auto"/>
            </w:pPr>
            <w:r>
              <w:rPr>
                <w:rFonts w:ascii="Aptos" w:hAnsi="Aptos"/>
                <w:b w:val="0"/>
                <w:i w:val="0"/>
                <w:color w:val="1C2737"/>
                <w:sz w:val="20"/>
              </w:rPr>
              <w:t>Lock examples for healthy slow pacing versus avoidant anti-structure behavior. A cautious user who communicates clearly should not rise above S1-S2. A user who asks for closeness yet repeatedly evades clarity should reach S3 or higher.</w:t>
            </w:r>
          </w:p>
        </w:tc>
      </w:tr>
    </w:tbl>
    <w:p/>
    <w:p>
      <w:r>
        <w:br w:type="page"/>
      </w:r>
    </w:p>
    <w:p>
      <w:pPr>
        <w:spacing w:before="200" w:after="40"/>
      </w:pPr>
      <w:r>
        <w:rPr>
          <w:b/>
          <w:color w:val="24528C"/>
          <w:sz w:val="28"/>
        </w:rPr>
        <w:t>CL-103 - Slow Drift</w:t>
      </w:r>
    </w:p>
    <w:tbl>
      <w:tblPr>
        <w:tblW w:type="auto" w:w="0"/>
        <w:jc w:val="center"/>
        <w:tblLayout w:type="fixed"/>
        <w:tblLook w:firstColumn="1" w:firstRow="1" w:lastColumn="0" w:lastRow="0" w:noHBand="0" w:noVBand="1" w:val="04A0"/>
        <w:tblBorders>
          <w:top w:val="single" w:sz="8" w:space="0" w:color="C7D0DA"/>
          <w:left w:val="single" w:sz="8" w:space="0" w:color="C7D0DA"/>
          <w:bottom w:val="single" w:sz="8" w:space="0" w:color="C7D0DA"/>
          <w:right w:val="single" w:sz="8" w:space="0" w:color="C7D0DA"/>
          <w:insideH w:val="single" w:sz="8" w:space="0" w:color="C7D0DA"/>
          <w:insideV w:val="single" w:sz="8" w:space="0" w:color="C7D0DA"/>
        </w:tblBorders>
      </w:tblPr>
      <w:tblGrid>
        <w:gridCol w:w="4968"/>
        <w:gridCol w:w="4968"/>
      </w:tblGrid>
      <w:tr>
        <w:tc>
          <w:tcPr>
            <w:tcW w:type="dxa" w:w="2592"/>
            <w:tcMar>
              <w:top w:w="80" w:type="dxa"/>
              <w:start w:w="90" w:type="dxa"/>
              <w:bottom w:w="80" w:type="dxa"/>
              <w:end w:w="90" w:type="dxa"/>
            </w:tcMar>
            <w:vAlign w:val="center"/>
            <w:shd w:fill="EAF1F8"/>
          </w:tcPr>
          <w:p>
            <w:pPr>
              <w:spacing w:after="80" w:before="0" w:line="276" w:lineRule="auto"/>
            </w:pPr>
            <w:r>
              <w:rPr>
                <w:rFonts w:ascii="Aptos" w:hAnsi="Aptos"/>
                <w:b/>
                <w:i w:val="0"/>
                <w:color w:val="1C2737"/>
                <w:sz w:val="20"/>
              </w:rPr>
              <w:t>Family</w:t>
            </w:r>
          </w:p>
        </w:tc>
        <w:tc>
          <w:tcPr>
            <w:tcW w:type="dxa" w:w="7056"/>
            <w:tcMar>
              <w:top w:w="80" w:type="dxa"/>
              <w:start w:w="90" w:type="dxa"/>
              <w:bottom w:w="80" w:type="dxa"/>
              <w:end w:w="90" w:type="dxa"/>
            </w:tcMar>
            <w:vAlign w:val="center"/>
          </w:tcPr>
          <w:p>
            <w:pPr>
              <w:spacing w:after="80" w:before="0" w:line="276" w:lineRule="auto"/>
            </w:pPr>
            <w:r>
              <w:rPr>
                <w:rFonts w:ascii="Aptos" w:hAnsi="Aptos"/>
                <w:b w:val="0"/>
                <w:i w:val="0"/>
                <w:color w:val="1C2737"/>
                <w:sz w:val="20"/>
              </w:rPr>
              <w:t>Longitudinal drift cluster</w:t>
            </w:r>
          </w:p>
        </w:tc>
      </w:tr>
      <w:tr>
        <w:tc>
          <w:tcPr>
            <w:tcW w:type="dxa" w:w="2592"/>
            <w:tcMar>
              <w:top w:w="80" w:type="dxa"/>
              <w:start w:w="90" w:type="dxa"/>
              <w:bottom w:w="80" w:type="dxa"/>
              <w:end w:w="90" w:type="dxa"/>
            </w:tcMar>
            <w:vAlign w:val="center"/>
            <w:shd w:fill="EAF1F8"/>
          </w:tcPr>
          <w:p>
            <w:pPr>
              <w:spacing w:after="80" w:before="0" w:line="276" w:lineRule="auto"/>
            </w:pPr>
            <w:r>
              <w:rPr>
                <w:rFonts w:ascii="Aptos" w:hAnsi="Aptos"/>
                <w:b/>
                <w:i w:val="0"/>
                <w:color w:val="1C2737"/>
                <w:sz w:val="20"/>
              </w:rPr>
              <w:t>Scope</w:t>
            </w:r>
          </w:p>
        </w:tc>
        <w:tc>
          <w:tcPr>
            <w:tcW w:type="dxa" w:w="7056"/>
            <w:tcMar>
              <w:top w:w="80" w:type="dxa"/>
              <w:start w:w="90" w:type="dxa"/>
              <w:bottom w:w="80" w:type="dxa"/>
              <w:end w:w="90" w:type="dxa"/>
            </w:tcMar>
            <w:vAlign w:val="center"/>
          </w:tcPr>
          <w:p>
            <w:pPr>
              <w:spacing w:after="80" w:before="0" w:line="276" w:lineRule="auto"/>
            </w:pPr>
            <w:r>
              <w:rPr>
                <w:rFonts w:ascii="Aptos" w:hAnsi="Aptos"/>
                <w:b w:val="0"/>
                <w:i w:val="0"/>
                <w:color w:val="1C2737"/>
                <w:sz w:val="20"/>
              </w:rPr>
              <w:t>Pair-state first, with mirrored user traces for downstream coaching and guarded display rules</w:t>
            </w:r>
          </w:p>
        </w:tc>
      </w:tr>
      <w:tr>
        <w:tc>
          <w:tcPr>
            <w:tcW w:type="dxa" w:w="2592"/>
            <w:tcMar>
              <w:top w:w="80" w:type="dxa"/>
              <w:start w:w="90" w:type="dxa"/>
              <w:bottom w:w="80" w:type="dxa"/>
              <w:end w:w="90" w:type="dxa"/>
            </w:tcMar>
            <w:vAlign w:val="center"/>
            <w:shd w:fill="EAF1F8"/>
          </w:tcPr>
          <w:p>
            <w:pPr>
              <w:spacing w:after="80" w:before="0" w:line="276" w:lineRule="auto"/>
            </w:pPr>
            <w:r>
              <w:rPr>
                <w:rFonts w:ascii="Aptos" w:hAnsi="Aptos"/>
                <w:b/>
                <w:i w:val="0"/>
                <w:color w:val="1C2737"/>
                <w:sz w:val="20"/>
              </w:rPr>
              <w:t>Purpose</w:t>
            </w:r>
          </w:p>
        </w:tc>
        <w:tc>
          <w:tcPr>
            <w:tcW w:type="dxa" w:w="7056"/>
            <w:tcMar>
              <w:top w:w="80" w:type="dxa"/>
              <w:start w:w="90" w:type="dxa"/>
              <w:bottom w:w="80" w:type="dxa"/>
              <w:end w:w="90" w:type="dxa"/>
            </w:tcMar>
            <w:vAlign w:val="center"/>
          </w:tcPr>
          <w:p>
            <w:pPr>
              <w:spacing w:after="80" w:before="0" w:line="276" w:lineRule="auto"/>
            </w:pPr>
            <w:r>
              <w:rPr>
                <w:rFonts w:ascii="Aptos" w:hAnsi="Aptos"/>
                <w:b w:val="0"/>
                <w:i w:val="0"/>
                <w:color w:val="1C2737"/>
                <w:sz w:val="20"/>
              </w:rPr>
              <w:t>Detect sustained deterioration in connection quality across a governed rollup window without overreacting to one conflict, one pause, or one acute life event.</w:t>
            </w:r>
          </w:p>
        </w:tc>
      </w:tr>
      <w:tr>
        <w:tc>
          <w:tcPr>
            <w:tcW w:type="dxa" w:w="2592"/>
            <w:tcMar>
              <w:top w:w="80" w:type="dxa"/>
              <w:start w:w="90" w:type="dxa"/>
              <w:bottom w:w="80" w:type="dxa"/>
              <w:end w:w="90" w:type="dxa"/>
            </w:tcMar>
            <w:vAlign w:val="center"/>
            <w:shd w:fill="EAF1F8"/>
          </w:tcPr>
          <w:p>
            <w:pPr>
              <w:spacing w:after="80" w:before="0" w:line="276" w:lineRule="auto"/>
            </w:pPr>
            <w:r>
              <w:rPr>
                <w:rFonts w:ascii="Aptos" w:hAnsi="Aptos"/>
                <w:b/>
                <w:i w:val="0"/>
                <w:color w:val="1C2737"/>
                <w:sz w:val="20"/>
              </w:rPr>
              <w:t>Primary sources</w:t>
            </w:r>
          </w:p>
        </w:tc>
        <w:tc>
          <w:tcPr>
            <w:tcW w:type="dxa" w:w="7056"/>
            <w:tcMar>
              <w:top w:w="80" w:type="dxa"/>
              <w:start w:w="90" w:type="dxa"/>
              <w:bottom w:w="80" w:type="dxa"/>
              <w:end w:w="90" w:type="dxa"/>
            </w:tcMar>
            <w:vAlign w:val="center"/>
          </w:tcPr>
          <w:p>
            <w:pPr>
              <w:spacing w:after="80" w:before="0" w:line="276" w:lineRule="auto"/>
            </w:pPr>
            <w:r>
              <w:rPr>
                <w:rFonts w:ascii="Aptos" w:hAnsi="Aptos"/>
                <w:b w:val="0"/>
                <w:i w:val="0"/>
                <w:color w:val="1C2737"/>
                <w:sz w:val="20"/>
              </w:rPr>
              <w:t>DriftEligibility rollups, response latency shift, unanswered bid density, ritual drop-off, reciprocity decay, repair failure trend, messaging continuity, shared routine loss, acute-state overlays.</w:t>
            </w:r>
          </w:p>
        </w:tc>
      </w:tr>
      <w:tr>
        <w:tc>
          <w:tcPr>
            <w:tcW w:type="dxa" w:w="2592"/>
            <w:tcMar>
              <w:top w:w="80" w:type="dxa"/>
              <w:start w:w="90" w:type="dxa"/>
              <w:bottom w:w="80" w:type="dxa"/>
              <w:end w:w="90" w:type="dxa"/>
            </w:tcMar>
            <w:vAlign w:val="center"/>
            <w:shd w:fill="EAF1F8"/>
          </w:tcPr>
          <w:p>
            <w:pPr>
              <w:spacing w:after="80" w:before="0" w:line="276" w:lineRule="auto"/>
            </w:pPr>
            <w:r>
              <w:rPr>
                <w:rFonts w:ascii="Aptos" w:hAnsi="Aptos"/>
                <w:b/>
                <w:i w:val="0"/>
                <w:color w:val="1C2737"/>
                <w:sz w:val="20"/>
              </w:rPr>
              <w:t>Default posture</w:t>
            </w:r>
          </w:p>
        </w:tc>
        <w:tc>
          <w:tcPr>
            <w:tcW w:type="dxa" w:w="7056"/>
            <w:tcMar>
              <w:top w:w="80" w:type="dxa"/>
              <w:start w:w="90" w:type="dxa"/>
              <w:bottom w:w="80" w:type="dxa"/>
              <w:end w:w="90" w:type="dxa"/>
            </w:tcMar>
            <w:vAlign w:val="center"/>
          </w:tcPr>
          <w:p>
            <w:pPr>
              <w:spacing w:after="80" w:before="0" w:line="276" w:lineRule="auto"/>
            </w:pPr>
            <w:r>
              <w:rPr>
                <w:rFonts w:ascii="Aptos" w:hAnsi="Aptos"/>
                <w:b w:val="0"/>
                <w:i w:val="0"/>
                <w:color w:val="1C2737"/>
                <w:sz w:val="20"/>
              </w:rPr>
              <w:t>Governed by DriftEligibility. Slow Drift is a medium-lane operational state and should never behave like an instant mood spike or an identity rewrite.</w:t>
            </w:r>
          </w:p>
        </w:tc>
      </w:tr>
      <w:tr>
        <w:tc>
          <w:tcPr>
            <w:tcW w:type="dxa" w:w="2592"/>
            <w:tcMar>
              <w:top w:w="80" w:type="dxa"/>
              <w:start w:w="90" w:type="dxa"/>
              <w:bottom w:w="80" w:type="dxa"/>
              <w:end w:w="90" w:type="dxa"/>
            </w:tcMar>
            <w:vAlign w:val="center"/>
            <w:shd w:fill="EAF1F8"/>
          </w:tcPr>
          <w:p>
            <w:pPr>
              <w:spacing w:after="80" w:before="0" w:line="276" w:lineRule="auto"/>
            </w:pPr>
            <w:r>
              <w:rPr>
                <w:rFonts w:ascii="Aptos" w:hAnsi="Aptos"/>
                <w:b/>
                <w:i w:val="0"/>
                <w:color w:val="1C2737"/>
                <w:sz w:val="20"/>
              </w:rPr>
              <w:t>User exposure</w:t>
            </w:r>
          </w:p>
        </w:tc>
        <w:tc>
          <w:tcPr>
            <w:tcW w:type="dxa" w:w="7056"/>
            <w:tcMar>
              <w:top w:w="80" w:type="dxa"/>
              <w:start w:w="90" w:type="dxa"/>
              <w:bottom w:w="80" w:type="dxa"/>
              <w:end w:w="90" w:type="dxa"/>
            </w:tcMar>
            <w:vAlign w:val="center"/>
          </w:tcPr>
          <w:p>
            <w:pPr>
              <w:spacing w:after="80" w:before="0" w:line="276" w:lineRule="auto"/>
            </w:pPr>
            <w:r>
              <w:rPr>
                <w:rFonts w:ascii="Aptos" w:hAnsi="Aptos"/>
                <w:b w:val="0"/>
                <w:i w:val="0"/>
                <w:color w:val="1C2737"/>
                <w:sz w:val="20"/>
              </w:rPr>
              <w:t>Internal first. User-facing surfaces should use guarded language such as “recent connection slippage” or “stability softening”.</w:t>
            </w:r>
          </w:p>
        </w:tc>
      </w:tr>
    </w:tbl>
    <w:p/>
    <w:p>
      <w:pPr>
        <w:spacing w:after="60" w:before="0" w:line="276" w:lineRule="auto"/>
      </w:pPr>
      <w:r>
        <w:rPr>
          <w:rFonts w:ascii="Aptos" w:hAnsi="Aptos"/>
          <w:b/>
          <w:i w:val="0"/>
          <w:color w:val="1C2737"/>
          <w:sz w:val="23"/>
        </w:rPr>
        <w:t>Canonical detection logic</w:t>
      </w:r>
    </w:p>
    <w:p>
      <w:pPr>
        <w:pStyle w:val="ListBullet"/>
        <w:spacing w:after="60" w:before="0" w:line="276" w:lineRule="auto"/>
        <w:ind w:left="259"/>
      </w:pPr>
      <w:r>
        <w:rPr>
          <w:rFonts w:ascii="Aptos" w:hAnsi="Aptos"/>
          <w:b w:val="0"/>
          <w:i w:val="0"/>
          <w:color w:val="1C2737"/>
          <w:sz w:val="21"/>
        </w:rPr>
        <w:t>Do not open above S1 unless DriftEligibility deems the pair eligible for slow-state evaluation using the approved rollup windows and minimum evidence count.</w:t>
      </w:r>
    </w:p>
    <w:p>
      <w:pPr>
        <w:pStyle w:val="ListBullet"/>
        <w:spacing w:after="60" w:before="0" w:line="276" w:lineRule="auto"/>
        <w:ind w:left="259"/>
      </w:pPr>
      <w:r>
        <w:rPr>
          <w:rFonts w:ascii="Aptos" w:hAnsi="Aptos"/>
          <w:b w:val="0"/>
          <w:i w:val="0"/>
          <w:color w:val="1C2737"/>
          <w:sz w:val="21"/>
        </w:rPr>
        <w:t>S1 may open when rollup metrics soften but remain inside watch range; no public number should change yet.</w:t>
      </w:r>
    </w:p>
    <w:p>
      <w:pPr>
        <w:pStyle w:val="ListBullet"/>
        <w:spacing w:after="60" w:before="0" w:line="276" w:lineRule="auto"/>
        <w:ind w:left="259"/>
      </w:pPr>
      <w:r>
        <w:rPr>
          <w:rFonts w:ascii="Aptos" w:hAnsi="Aptos"/>
          <w:b w:val="0"/>
          <w:i w:val="0"/>
          <w:color w:val="1C2737"/>
          <w:sz w:val="21"/>
        </w:rPr>
        <w:t>S2 requires a confirmed shift in at least two governed drift metrics, such as unanswered bid density plus ritual drop-off, across the active rollup window.</w:t>
      </w:r>
    </w:p>
    <w:p>
      <w:pPr>
        <w:pStyle w:val="ListBullet"/>
        <w:spacing w:after="60" w:before="0" w:line="276" w:lineRule="auto"/>
        <w:ind w:left="259"/>
      </w:pPr>
      <w:r>
        <w:rPr>
          <w:rFonts w:ascii="Aptos" w:hAnsi="Aptos"/>
          <w:b w:val="0"/>
          <w:i w:val="0"/>
          <w:color w:val="1C2737"/>
          <w:sz w:val="21"/>
        </w:rPr>
        <w:t>S3 requires qualified deterioration that persists across the current window and remains directionally weaker than the previous window after acute-state adjustments.</w:t>
      </w:r>
    </w:p>
    <w:p>
      <w:pPr>
        <w:pStyle w:val="ListBullet"/>
        <w:spacing w:after="60" w:before="0" w:line="276" w:lineRule="auto"/>
        <w:ind w:left="259"/>
      </w:pPr>
      <w:r>
        <w:rPr>
          <w:rFonts w:ascii="Aptos" w:hAnsi="Aptos"/>
          <w:b w:val="0"/>
          <w:i w:val="0"/>
          <w:color w:val="1C2737"/>
          <w:sz w:val="21"/>
        </w:rPr>
        <w:t>S4 requires persistent connection erosion with weak repair recovery or continued reciprocity loss despite opportunity to stabilize.</w:t>
      </w:r>
    </w:p>
    <w:p>
      <w:pPr>
        <w:pStyle w:val="ListBullet"/>
        <w:spacing w:after="60" w:before="0" w:line="276" w:lineRule="auto"/>
        <w:ind w:left="259"/>
      </w:pPr>
      <w:r>
        <w:rPr>
          <w:rFonts w:ascii="Aptos" w:hAnsi="Aptos"/>
          <w:b w:val="0"/>
          <w:i w:val="0"/>
          <w:color w:val="1C2737"/>
          <w:sz w:val="21"/>
        </w:rPr>
        <w:t>S5 is reserved for prolonged and reinforced instability that materially threatens pair continuity and keeps forecast in guarded or high-risk posture.</w:t>
      </w:r>
    </w:p>
    <w:p>
      <w:pPr>
        <w:spacing w:after="60" w:before="0" w:line="276" w:lineRule="auto"/>
      </w:pPr>
      <w:r>
        <w:rPr>
          <w:rFonts w:ascii="Aptos" w:hAnsi="Aptos"/>
          <w:b/>
          <w:i w:val="0"/>
          <w:color w:val="1C2737"/>
          <w:sz w:val="23"/>
        </w:rPr>
        <w:t>Severity ladder for this cluster</w:t>
      </w:r>
    </w:p>
    <w:tbl>
      <w:tblPr>
        <w:tblW w:type="auto" w:w="0"/>
        <w:jc w:val="center"/>
        <w:tblLayout w:type="fixed"/>
        <w:tblLook w:firstColumn="1" w:firstRow="1" w:lastColumn="0" w:lastRow="0" w:noHBand="0" w:noVBand="1" w:val="04A0"/>
        <w:tblBorders>
          <w:top w:val="single" w:sz="8" w:space="0" w:color="C7D0DA"/>
          <w:left w:val="single" w:sz="8" w:space="0" w:color="C7D0DA"/>
          <w:bottom w:val="single" w:sz="8" w:space="0" w:color="C7D0DA"/>
          <w:right w:val="single" w:sz="8" w:space="0" w:color="C7D0DA"/>
          <w:insideH w:val="single" w:sz="8" w:space="0" w:color="C7D0DA"/>
          <w:insideV w:val="single" w:sz="8" w:space="0" w:color="C7D0DA"/>
        </w:tblBorders>
      </w:tblPr>
      <w:tblGrid>
        <w:gridCol w:w="2484"/>
        <w:gridCol w:w="2484"/>
        <w:gridCol w:w="2484"/>
        <w:gridCol w:w="2484"/>
      </w:tblGrid>
      <w:tr>
        <w:tc>
          <w:tcPr>
            <w:tcW w:type="dxa" w:w="1296"/>
            <w:tcMar>
              <w:top w:w="90" w:type="dxa"/>
              <w:start w:w="100" w:type="dxa"/>
              <w:bottom w:w="90" w:type="dxa"/>
              <w:end w:w="100" w:type="dxa"/>
            </w:tcMar>
            <w:shd w:fill="DDEAF7"/>
          </w:tcPr>
          <w:p>
            <w:pPr>
              <w:spacing w:after="80" w:before="0" w:line="276" w:lineRule="auto"/>
              <w:jc w:val="center"/>
            </w:pPr>
            <w:r>
              <w:rPr>
                <w:rFonts w:ascii="Aptos" w:hAnsi="Aptos"/>
                <w:b/>
                <w:i w:val="0"/>
                <w:color w:val="1C2737"/>
                <w:sz w:val="19"/>
              </w:rPr>
              <w:t>Lvl</w:t>
            </w:r>
          </w:p>
        </w:tc>
        <w:tc>
          <w:tcPr>
            <w:tcW w:type="dxa" w:w="1872"/>
            <w:tcMar>
              <w:top w:w="90" w:type="dxa"/>
              <w:start w:w="100" w:type="dxa"/>
              <w:bottom w:w="90" w:type="dxa"/>
              <w:end w:w="100" w:type="dxa"/>
            </w:tcMar>
            <w:shd w:fill="DDEAF7"/>
          </w:tcPr>
          <w:p>
            <w:pPr>
              <w:spacing w:after="80" w:before="0" w:line="276" w:lineRule="auto"/>
              <w:jc w:val="center"/>
            </w:pPr>
            <w:r>
              <w:rPr>
                <w:rFonts w:ascii="Aptos" w:hAnsi="Aptos"/>
                <w:b/>
                <w:i w:val="0"/>
                <w:color w:val="1C2737"/>
                <w:sz w:val="19"/>
              </w:rPr>
              <w:t>Trigger Posture</w:t>
            </w:r>
          </w:p>
        </w:tc>
        <w:tc>
          <w:tcPr>
            <w:tcW w:type="dxa" w:w="3744"/>
            <w:tcMar>
              <w:top w:w="90" w:type="dxa"/>
              <w:start w:w="100" w:type="dxa"/>
              <w:bottom w:w="90" w:type="dxa"/>
              <w:end w:w="100" w:type="dxa"/>
            </w:tcMar>
            <w:shd w:fill="DDEAF7"/>
          </w:tcPr>
          <w:p>
            <w:pPr>
              <w:spacing w:after="80" w:before="0" w:line="276" w:lineRule="auto"/>
              <w:jc w:val="center"/>
            </w:pPr>
            <w:r>
              <w:rPr>
                <w:rFonts w:ascii="Aptos" w:hAnsi="Aptos"/>
                <w:b/>
                <w:i w:val="0"/>
                <w:color w:val="1C2737"/>
                <w:sz w:val="19"/>
              </w:rPr>
              <w:t>Default Write-Back</w:t>
            </w:r>
          </w:p>
        </w:tc>
        <w:tc>
          <w:tcPr>
            <w:tcW w:type="dxa" w:w="3168"/>
            <w:tcMar>
              <w:top w:w="90" w:type="dxa"/>
              <w:start w:w="100" w:type="dxa"/>
              <w:bottom w:w="90" w:type="dxa"/>
              <w:end w:w="100" w:type="dxa"/>
            </w:tcMar>
            <w:shd w:fill="DDEAF7"/>
          </w:tcPr>
          <w:p>
            <w:pPr>
              <w:spacing w:after="80" w:before="0" w:line="276" w:lineRule="auto"/>
              <w:jc w:val="center"/>
            </w:pPr>
            <w:r>
              <w:rPr>
                <w:rFonts w:ascii="Aptos" w:hAnsi="Aptos"/>
                <w:b/>
                <w:i w:val="0"/>
                <w:color w:val="1C2737"/>
                <w:sz w:val="19"/>
              </w:rPr>
              <w:t>Primary Effect</w:t>
            </w:r>
          </w:p>
        </w:tc>
      </w:tr>
      <w:tr>
        <w:tc>
          <w:tcPr>
            <w:tcW w:type="dxa" w:w="1296"/>
            <w:tcMar>
              <w:top w:w="90" w:type="dxa"/>
              <w:start w:w="100" w:type="dxa"/>
              <w:bottom w:w="90" w:type="dxa"/>
              <w:end w:w="100" w:type="dxa"/>
            </w:tcMar>
            <w:vAlign w:val="center"/>
          </w:tcPr>
          <w:p>
            <w:pPr>
              <w:spacing w:after="80" w:before="0" w:line="276" w:lineRule="auto"/>
              <w:jc w:val="center"/>
            </w:pPr>
            <w:r>
              <w:rPr>
                <w:rFonts w:ascii="Aptos" w:hAnsi="Aptos"/>
                <w:b/>
                <w:i w:val="0"/>
                <w:color w:val="1C2737"/>
                <w:sz w:val="19"/>
              </w:rPr>
              <w:t>S1</w:t>
            </w:r>
          </w:p>
        </w:tc>
        <w:tc>
          <w:tcPr>
            <w:tcW w:type="dxa" w:w="1872"/>
            <w:tcMar>
              <w:top w:w="90" w:type="dxa"/>
              <w:start w:w="100" w:type="dxa"/>
              <w:bottom w:w="90" w:type="dxa"/>
              <w:end w:w="100" w:type="dxa"/>
            </w:tcMar>
            <w:vAlign w:val="center"/>
          </w:tcPr>
          <w:p>
            <w:pPr>
              <w:spacing w:after="80" w:before="0" w:line="276" w:lineRule="auto"/>
            </w:pPr>
            <w:r>
              <w:rPr>
                <w:rFonts w:ascii="Aptos" w:hAnsi="Aptos"/>
                <w:b w:val="0"/>
                <w:i w:val="0"/>
                <w:color w:val="1C2737"/>
                <w:sz w:val="18"/>
              </w:rPr>
              <w:t>watch range only</w:t>
            </w:r>
          </w:p>
        </w:tc>
        <w:tc>
          <w:tcPr>
            <w:tcW w:type="dxa" w:w="3744"/>
            <w:tcMar>
              <w:top w:w="90" w:type="dxa"/>
              <w:start w:w="100" w:type="dxa"/>
              <w:bottom w:w="90" w:type="dxa"/>
              <w:end w:w="100" w:type="dxa"/>
            </w:tcMar>
            <w:vAlign w:val="center"/>
          </w:tcPr>
          <w:p>
            <w:pPr>
              <w:spacing w:after="80" w:before="0" w:line="276" w:lineRule="auto"/>
            </w:pPr>
            <w:r>
              <w:rPr>
                <w:rFonts w:ascii="Aptos" w:hAnsi="Aptos"/>
                <w:b w:val="0"/>
                <w:i w:val="0"/>
                <w:color w:val="1C2737"/>
                <w:sz w:val="18"/>
              </w:rPr>
              <w:t>pair watch state; no public alert</w:t>
            </w:r>
          </w:p>
        </w:tc>
        <w:tc>
          <w:tcPr>
            <w:tcW w:type="dxa" w:w="3168"/>
            <w:tcMar>
              <w:top w:w="90" w:type="dxa"/>
              <w:start w:w="100" w:type="dxa"/>
              <w:bottom w:w="90" w:type="dxa"/>
              <w:end w:w="100" w:type="dxa"/>
            </w:tcMar>
            <w:vAlign w:val="center"/>
          </w:tcPr>
          <w:p>
            <w:pPr>
              <w:spacing w:after="80" w:before="0" w:line="276" w:lineRule="auto"/>
            </w:pPr>
            <w:r>
              <w:rPr>
                <w:rFonts w:ascii="Aptos" w:hAnsi="Aptos"/>
                <w:b w:val="0"/>
                <w:i w:val="0"/>
                <w:color w:val="1C2737"/>
                <w:sz w:val="18"/>
              </w:rPr>
              <w:t>confidence watch, no penalty</w:t>
            </w:r>
          </w:p>
        </w:tc>
      </w:tr>
      <w:tr>
        <w:tc>
          <w:tcPr>
            <w:tcW w:type="dxa" w:w="1296"/>
            <w:tcMar>
              <w:top w:w="90" w:type="dxa"/>
              <w:start w:w="100" w:type="dxa"/>
              <w:bottom w:w="90" w:type="dxa"/>
              <w:end w:w="100" w:type="dxa"/>
            </w:tcMar>
            <w:vAlign w:val="center"/>
          </w:tcPr>
          <w:p>
            <w:pPr>
              <w:spacing w:after="80" w:before="0" w:line="276" w:lineRule="auto"/>
              <w:jc w:val="center"/>
            </w:pPr>
            <w:r>
              <w:rPr>
                <w:rFonts w:ascii="Aptos" w:hAnsi="Aptos"/>
                <w:b/>
                <w:i w:val="0"/>
                <w:color w:val="1C2737"/>
                <w:sz w:val="19"/>
              </w:rPr>
              <w:t>S2</w:t>
            </w:r>
          </w:p>
        </w:tc>
        <w:tc>
          <w:tcPr>
            <w:tcW w:type="dxa" w:w="1872"/>
            <w:tcMar>
              <w:top w:w="90" w:type="dxa"/>
              <w:start w:w="100" w:type="dxa"/>
              <w:bottom w:w="90" w:type="dxa"/>
              <w:end w:w="100" w:type="dxa"/>
            </w:tcMar>
            <w:vAlign w:val="center"/>
          </w:tcPr>
          <w:p>
            <w:pPr>
              <w:spacing w:after="80" w:before="0" w:line="276" w:lineRule="auto"/>
            </w:pPr>
            <w:r>
              <w:rPr>
                <w:rFonts w:ascii="Aptos" w:hAnsi="Aptos"/>
                <w:b w:val="0"/>
                <w:i w:val="0"/>
                <w:color w:val="1C2737"/>
                <w:sz w:val="18"/>
              </w:rPr>
              <w:t>eligible softening confirmed</w:t>
            </w:r>
          </w:p>
        </w:tc>
        <w:tc>
          <w:tcPr>
            <w:tcW w:type="dxa" w:w="3744"/>
            <w:tcMar>
              <w:top w:w="90" w:type="dxa"/>
              <w:start w:w="100" w:type="dxa"/>
              <w:bottom w:w="90" w:type="dxa"/>
              <w:end w:w="100" w:type="dxa"/>
            </w:tcMar>
            <w:vAlign w:val="center"/>
          </w:tcPr>
          <w:p>
            <w:pPr>
              <w:spacing w:after="80" w:before="0" w:line="276" w:lineRule="auto"/>
            </w:pPr>
            <w:r>
              <w:rPr>
                <w:rFonts w:ascii="Aptos" w:hAnsi="Aptos"/>
                <w:b w:val="0"/>
                <w:i w:val="0"/>
                <w:color w:val="1C2737"/>
                <w:sz w:val="18"/>
              </w:rPr>
              <w:t>pair drift write-back opens</w:t>
            </w:r>
          </w:p>
        </w:tc>
        <w:tc>
          <w:tcPr>
            <w:tcW w:type="dxa" w:w="3168"/>
            <w:tcMar>
              <w:top w:w="90" w:type="dxa"/>
              <w:start w:w="100" w:type="dxa"/>
              <w:bottom w:w="90" w:type="dxa"/>
              <w:end w:w="100" w:type="dxa"/>
            </w:tcMar>
            <w:vAlign w:val="center"/>
          </w:tcPr>
          <w:p>
            <w:pPr>
              <w:spacing w:after="80" w:before="0" w:line="276" w:lineRule="auto"/>
            </w:pPr>
            <w:r>
              <w:rPr>
                <w:rFonts w:ascii="Aptos" w:hAnsi="Aptos"/>
                <w:b w:val="0"/>
                <w:i w:val="0"/>
                <w:color w:val="1C2737"/>
                <w:sz w:val="18"/>
              </w:rPr>
              <w:t>small forecast drag; guarded copy only</w:t>
            </w:r>
          </w:p>
        </w:tc>
      </w:tr>
      <w:tr>
        <w:tc>
          <w:tcPr>
            <w:tcW w:type="dxa" w:w="1296"/>
            <w:tcMar>
              <w:top w:w="90" w:type="dxa"/>
              <w:start w:w="100" w:type="dxa"/>
              <w:bottom w:w="90" w:type="dxa"/>
              <w:end w:w="100" w:type="dxa"/>
            </w:tcMar>
            <w:vAlign w:val="center"/>
          </w:tcPr>
          <w:p>
            <w:pPr>
              <w:spacing w:after="80" w:before="0" w:line="276" w:lineRule="auto"/>
              <w:jc w:val="center"/>
            </w:pPr>
            <w:r>
              <w:rPr>
                <w:rFonts w:ascii="Aptos" w:hAnsi="Aptos"/>
                <w:b/>
                <w:i w:val="0"/>
                <w:color w:val="1C2737"/>
                <w:sz w:val="19"/>
              </w:rPr>
              <w:t>S3</w:t>
            </w:r>
          </w:p>
        </w:tc>
        <w:tc>
          <w:tcPr>
            <w:tcW w:type="dxa" w:w="1872"/>
            <w:tcMar>
              <w:top w:w="90" w:type="dxa"/>
              <w:start w:w="100" w:type="dxa"/>
              <w:bottom w:w="90" w:type="dxa"/>
              <w:end w:w="100" w:type="dxa"/>
            </w:tcMar>
            <w:vAlign w:val="center"/>
          </w:tcPr>
          <w:p>
            <w:pPr>
              <w:spacing w:after="80" w:before="0" w:line="276" w:lineRule="auto"/>
            </w:pPr>
            <w:r>
              <w:rPr>
                <w:rFonts w:ascii="Aptos" w:hAnsi="Aptos"/>
                <w:b w:val="0"/>
                <w:i w:val="0"/>
                <w:color w:val="1C2737"/>
                <w:sz w:val="18"/>
              </w:rPr>
              <w:t>active slow drift</w:t>
            </w:r>
          </w:p>
        </w:tc>
        <w:tc>
          <w:tcPr>
            <w:tcW w:type="dxa" w:w="3744"/>
            <w:tcMar>
              <w:top w:w="90" w:type="dxa"/>
              <w:start w:w="100" w:type="dxa"/>
              <w:bottom w:w="90" w:type="dxa"/>
              <w:end w:w="100" w:type="dxa"/>
            </w:tcMar>
            <w:vAlign w:val="center"/>
          </w:tcPr>
          <w:p>
            <w:pPr>
              <w:spacing w:after="80" w:before="0" w:line="276" w:lineRule="auto"/>
            </w:pPr>
            <w:r>
              <w:rPr>
                <w:rFonts w:ascii="Aptos" w:hAnsi="Aptos"/>
                <w:b w:val="0"/>
                <w:i w:val="0"/>
                <w:color w:val="1C2737"/>
                <w:sz w:val="18"/>
              </w:rPr>
              <w:t>persistent pair + mirrored user traces</w:t>
            </w:r>
          </w:p>
        </w:tc>
        <w:tc>
          <w:tcPr>
            <w:tcW w:type="dxa" w:w="3168"/>
            <w:tcMar>
              <w:top w:w="90" w:type="dxa"/>
              <w:start w:w="100" w:type="dxa"/>
              <w:bottom w:w="90" w:type="dxa"/>
              <w:end w:w="100" w:type="dxa"/>
            </w:tcMar>
            <w:vAlign w:val="center"/>
          </w:tcPr>
          <w:p>
            <w:pPr>
              <w:spacing w:after="80" w:before="0" w:line="276" w:lineRule="auto"/>
            </w:pPr>
            <w:r>
              <w:rPr>
                <w:rFonts w:ascii="Aptos" w:hAnsi="Aptos"/>
                <w:b w:val="0"/>
                <w:i w:val="0"/>
                <w:color w:val="1C2737"/>
                <w:sz w:val="18"/>
              </w:rPr>
              <w:t>moderate forecast penalty</w:t>
            </w:r>
          </w:p>
        </w:tc>
      </w:tr>
      <w:tr>
        <w:tc>
          <w:tcPr>
            <w:tcW w:type="dxa" w:w="1296"/>
            <w:tcMar>
              <w:top w:w="90" w:type="dxa"/>
              <w:start w:w="100" w:type="dxa"/>
              <w:bottom w:w="90" w:type="dxa"/>
              <w:end w:w="100" w:type="dxa"/>
            </w:tcMar>
            <w:vAlign w:val="center"/>
          </w:tcPr>
          <w:p>
            <w:pPr>
              <w:spacing w:after="80" w:before="0" w:line="276" w:lineRule="auto"/>
              <w:jc w:val="center"/>
            </w:pPr>
            <w:r>
              <w:rPr>
                <w:rFonts w:ascii="Aptos" w:hAnsi="Aptos"/>
                <w:b/>
                <w:i w:val="0"/>
                <w:color w:val="1C2737"/>
                <w:sz w:val="19"/>
              </w:rPr>
              <w:t>S4</w:t>
            </w:r>
          </w:p>
        </w:tc>
        <w:tc>
          <w:tcPr>
            <w:tcW w:type="dxa" w:w="1872"/>
            <w:tcMar>
              <w:top w:w="90" w:type="dxa"/>
              <w:start w:w="100" w:type="dxa"/>
              <w:bottom w:w="90" w:type="dxa"/>
              <w:end w:w="100" w:type="dxa"/>
            </w:tcMar>
            <w:vAlign w:val="center"/>
          </w:tcPr>
          <w:p>
            <w:pPr>
              <w:spacing w:after="80" w:before="0" w:line="276" w:lineRule="auto"/>
            </w:pPr>
            <w:r>
              <w:rPr>
                <w:rFonts w:ascii="Aptos" w:hAnsi="Aptos"/>
                <w:b w:val="0"/>
                <w:i w:val="0"/>
                <w:color w:val="1C2737"/>
                <w:sz w:val="18"/>
              </w:rPr>
              <w:t>sustained erosion</w:t>
            </w:r>
          </w:p>
        </w:tc>
        <w:tc>
          <w:tcPr>
            <w:tcW w:type="dxa" w:w="3744"/>
            <w:tcMar>
              <w:top w:w="90" w:type="dxa"/>
              <w:start w:w="100" w:type="dxa"/>
              <w:bottom w:w="90" w:type="dxa"/>
              <w:end w:w="100" w:type="dxa"/>
            </w:tcMar>
            <w:vAlign w:val="center"/>
          </w:tcPr>
          <w:p>
            <w:pPr>
              <w:spacing w:after="80" w:before="0" w:line="276" w:lineRule="auto"/>
            </w:pPr>
            <w:r>
              <w:rPr>
                <w:rFonts w:ascii="Aptos" w:hAnsi="Aptos"/>
                <w:b w:val="0"/>
                <w:i w:val="0"/>
                <w:color w:val="1C2737"/>
                <w:sz w:val="18"/>
              </w:rPr>
              <w:t>persistent guarded state</w:t>
            </w:r>
          </w:p>
        </w:tc>
        <w:tc>
          <w:tcPr>
            <w:tcW w:type="dxa" w:w="3168"/>
            <w:tcMar>
              <w:top w:w="90" w:type="dxa"/>
              <w:start w:w="100" w:type="dxa"/>
              <w:bottom w:w="90" w:type="dxa"/>
              <w:end w:w="100" w:type="dxa"/>
            </w:tcMar>
            <w:vAlign w:val="center"/>
          </w:tcPr>
          <w:p>
            <w:pPr>
              <w:spacing w:after="80" w:before="0" w:line="276" w:lineRule="auto"/>
            </w:pPr>
            <w:r>
              <w:rPr>
                <w:rFonts w:ascii="Aptos" w:hAnsi="Aptos"/>
                <w:b w:val="0"/>
                <w:i w:val="0"/>
                <w:color w:val="1C2737"/>
                <w:sz w:val="18"/>
              </w:rPr>
              <w:t>strong forecast penalty; pair interventions</w:t>
            </w:r>
          </w:p>
        </w:tc>
      </w:tr>
      <w:tr>
        <w:tc>
          <w:tcPr>
            <w:tcW w:type="dxa" w:w="1296"/>
            <w:tcMar>
              <w:top w:w="90" w:type="dxa"/>
              <w:start w:w="100" w:type="dxa"/>
              <w:bottom w:w="90" w:type="dxa"/>
              <w:end w:w="100" w:type="dxa"/>
            </w:tcMar>
            <w:vAlign w:val="center"/>
          </w:tcPr>
          <w:p>
            <w:pPr>
              <w:spacing w:after="80" w:before="0" w:line="276" w:lineRule="auto"/>
              <w:jc w:val="center"/>
            </w:pPr>
            <w:r>
              <w:rPr>
                <w:rFonts w:ascii="Aptos" w:hAnsi="Aptos"/>
                <w:b/>
                <w:i w:val="0"/>
                <w:color w:val="1C2737"/>
                <w:sz w:val="19"/>
              </w:rPr>
              <w:t>S5</w:t>
            </w:r>
          </w:p>
        </w:tc>
        <w:tc>
          <w:tcPr>
            <w:tcW w:type="dxa" w:w="1872"/>
            <w:tcMar>
              <w:top w:w="90" w:type="dxa"/>
              <w:start w:w="100" w:type="dxa"/>
              <w:bottom w:w="90" w:type="dxa"/>
              <w:end w:w="100" w:type="dxa"/>
            </w:tcMar>
            <w:vAlign w:val="center"/>
          </w:tcPr>
          <w:p>
            <w:pPr>
              <w:spacing w:after="80" w:before="0" w:line="276" w:lineRule="auto"/>
            </w:pPr>
            <w:r>
              <w:rPr>
                <w:rFonts w:ascii="Aptos" w:hAnsi="Aptos"/>
                <w:b w:val="0"/>
                <w:i w:val="0"/>
                <w:color w:val="1C2737"/>
                <w:sz w:val="18"/>
              </w:rPr>
              <w:t>terminal instability pressure</w:t>
            </w:r>
          </w:p>
        </w:tc>
        <w:tc>
          <w:tcPr>
            <w:tcW w:type="dxa" w:w="3744"/>
            <w:tcMar>
              <w:top w:w="90" w:type="dxa"/>
              <w:start w:w="100" w:type="dxa"/>
              <w:bottom w:w="90" w:type="dxa"/>
              <w:end w:w="100" w:type="dxa"/>
            </w:tcMar>
            <w:vAlign w:val="center"/>
          </w:tcPr>
          <w:p>
            <w:pPr>
              <w:spacing w:after="80" w:before="0" w:line="276" w:lineRule="auto"/>
            </w:pPr>
            <w:r>
              <w:rPr>
                <w:rFonts w:ascii="Aptos" w:hAnsi="Aptos"/>
                <w:b w:val="0"/>
                <w:i w:val="0"/>
                <w:color w:val="1C2737"/>
                <w:sz w:val="18"/>
              </w:rPr>
              <w:t>persistent high-risk state</w:t>
            </w:r>
          </w:p>
        </w:tc>
        <w:tc>
          <w:tcPr>
            <w:tcW w:type="dxa" w:w="3168"/>
            <w:tcMar>
              <w:top w:w="90" w:type="dxa"/>
              <w:start w:w="100" w:type="dxa"/>
              <w:bottom w:w="90" w:type="dxa"/>
              <w:end w:w="100" w:type="dxa"/>
            </w:tcMar>
            <w:vAlign w:val="center"/>
          </w:tcPr>
          <w:p>
            <w:pPr>
              <w:spacing w:after="80" w:before="0" w:line="276" w:lineRule="auto"/>
            </w:pPr>
            <w:r>
              <w:rPr>
                <w:rFonts w:ascii="Aptos" w:hAnsi="Aptos"/>
                <w:b w:val="0"/>
                <w:i w:val="0"/>
                <w:color w:val="1C2737"/>
                <w:sz w:val="18"/>
              </w:rPr>
              <w:t>suppression and escalation actions</w:t>
            </w:r>
          </w:p>
        </w:tc>
      </w:tr>
    </w:tbl>
    <w:p/>
    <w:tbl>
      <w:tblPr>
        <w:tblW w:type="auto" w:w="0"/>
        <w:jc w:val="center"/>
        <w:tblLayout w:type="fixed"/>
        <w:tblLook w:firstColumn="1" w:firstRow="1" w:lastColumn="0" w:lastRow="0" w:noHBand="0" w:noVBand="1" w:val="04A0"/>
        <w:tblBorders>
          <w:top w:val="single" w:sz="8" w:space="0" w:color="C7D0DA"/>
          <w:left w:val="single" w:sz="8" w:space="0" w:color="C7D0DA"/>
          <w:bottom w:val="single" w:sz="8" w:space="0" w:color="C7D0DA"/>
          <w:right w:val="single" w:sz="8" w:space="0" w:color="C7D0DA"/>
          <w:insideH w:val="single" w:sz="8" w:space="0" w:color="C7D0DA"/>
          <w:insideV w:val="single" w:sz="8" w:space="0" w:color="C7D0DA"/>
        </w:tblBorders>
      </w:tblPr>
      <w:tblGrid>
        <w:gridCol w:w="4968"/>
        <w:gridCol w:w="4968"/>
      </w:tblGrid>
      <w:tr>
        <w:tc>
          <w:tcPr>
            <w:tcW w:type="dxa" w:w="2592"/>
            <w:tcMar>
              <w:top w:w="80" w:type="dxa"/>
              <w:start w:w="90" w:type="dxa"/>
              <w:bottom w:w="80" w:type="dxa"/>
              <w:end w:w="90" w:type="dxa"/>
            </w:tcMar>
            <w:shd w:fill="DDEAF7"/>
          </w:tcPr>
          <w:p>
            <w:pPr>
              <w:spacing w:after="80" w:before="0" w:line="276" w:lineRule="auto"/>
              <w:jc w:val="center"/>
            </w:pPr>
            <w:r>
              <w:rPr>
                <w:rFonts w:ascii="Aptos" w:hAnsi="Aptos"/>
                <w:b/>
                <w:i w:val="0"/>
                <w:color w:val="1C2737"/>
                <w:sz w:val="18"/>
              </w:rPr>
              <w:t>Area</w:t>
            </w:r>
          </w:p>
        </w:tc>
        <w:tc>
          <w:tcPr>
            <w:tcW w:type="dxa" w:w="7776"/>
            <w:tcMar>
              <w:top w:w="80" w:type="dxa"/>
              <w:start w:w="90" w:type="dxa"/>
              <w:bottom w:w="80" w:type="dxa"/>
              <w:end w:w="90" w:type="dxa"/>
            </w:tcMar>
            <w:shd w:fill="DDEAF7"/>
          </w:tcPr>
          <w:p>
            <w:pPr>
              <w:spacing w:after="80" w:before="0" w:line="276" w:lineRule="auto"/>
              <w:jc w:val="center"/>
            </w:pPr>
            <w:r>
              <w:rPr>
                <w:rFonts w:ascii="Aptos" w:hAnsi="Aptos"/>
                <w:b/>
                <w:i w:val="0"/>
                <w:color w:val="1C2737"/>
                <w:sz w:val="18"/>
              </w:rPr>
              <w:t>Rule</w:t>
            </w:r>
          </w:p>
        </w:tc>
      </w:tr>
      <w:tr>
        <w:tc>
          <w:tcPr>
            <w:tcW w:type="dxa" w:w="2592"/>
            <w:tcMar>
              <w:top w:w="80" w:type="dxa"/>
              <w:start w:w="90" w:type="dxa"/>
              <w:bottom w:w="80" w:type="dxa"/>
              <w:end w:w="90" w:type="dxa"/>
            </w:tcMar>
            <w:vAlign w:val="center"/>
          </w:tcPr>
          <w:p>
            <w:pPr>
              <w:spacing w:after="80" w:before="0" w:line="276" w:lineRule="auto"/>
              <w:jc w:val="center"/>
            </w:pPr>
            <w:r>
              <w:rPr>
                <w:rFonts w:ascii="Aptos" w:hAnsi="Aptos"/>
                <w:b/>
                <w:i w:val="0"/>
                <w:color w:val="1C2737"/>
                <w:sz w:val="18"/>
              </w:rPr>
              <w:t>Write-back</w:t>
            </w:r>
          </w:p>
        </w:tc>
        <w:tc>
          <w:tcPr>
            <w:tcW w:type="dxa" w:w="7776"/>
            <w:tcMar>
              <w:top w:w="80" w:type="dxa"/>
              <w:start w:w="90" w:type="dxa"/>
              <w:bottom w:w="80" w:type="dxa"/>
              <w:end w:w="90" w:type="dxa"/>
            </w:tcMar>
            <w:vAlign w:val="center"/>
          </w:tcPr>
          <w:p>
            <w:pPr>
              <w:spacing w:after="80" w:before="0" w:line="276" w:lineRule="auto"/>
            </w:pPr>
            <w:r>
              <w:rPr>
                <w:rFonts w:ascii="Aptos" w:hAnsi="Aptos"/>
                <w:b w:val="0"/>
                <w:i w:val="0"/>
                <w:color w:val="1C2737"/>
                <w:sz w:val="18"/>
              </w:rPr>
              <w:t>Persist rollup window IDs, metric deltas, eligibility posture, acute-state adjustment markers, confidence band, and decay checkpoints. Mirrored user traces may store only the soft downstream meaning, not raw pair-sensitive details.</w:t>
            </w:r>
          </w:p>
        </w:tc>
      </w:tr>
      <w:tr>
        <w:tc>
          <w:tcPr>
            <w:tcW w:type="dxa" w:w="2592"/>
            <w:tcMar>
              <w:top w:w="80" w:type="dxa"/>
              <w:start w:w="90" w:type="dxa"/>
              <w:bottom w:w="80" w:type="dxa"/>
              <w:end w:w="90" w:type="dxa"/>
            </w:tcMar>
            <w:vAlign w:val="center"/>
          </w:tcPr>
          <w:p>
            <w:pPr>
              <w:spacing w:after="80" w:before="0" w:line="276" w:lineRule="auto"/>
              <w:jc w:val="center"/>
            </w:pPr>
            <w:r>
              <w:rPr>
                <w:rFonts w:ascii="Aptos" w:hAnsi="Aptos"/>
                <w:b/>
                <w:i w:val="0"/>
                <w:color w:val="1C2737"/>
                <w:sz w:val="18"/>
              </w:rPr>
              <w:t>Decay / clear</w:t>
            </w:r>
          </w:p>
        </w:tc>
        <w:tc>
          <w:tcPr>
            <w:tcW w:type="dxa" w:w="7776"/>
            <w:tcMar>
              <w:top w:w="80" w:type="dxa"/>
              <w:start w:w="90" w:type="dxa"/>
              <w:bottom w:w="80" w:type="dxa"/>
              <w:end w:w="90" w:type="dxa"/>
            </w:tcMar>
            <w:vAlign w:val="center"/>
          </w:tcPr>
          <w:p>
            <w:pPr>
              <w:spacing w:after="80" w:before="0" w:line="276" w:lineRule="auto"/>
            </w:pPr>
            <w:r>
              <w:rPr>
                <w:rFonts w:ascii="Aptos" w:hAnsi="Aptos"/>
                <w:b w:val="0"/>
                <w:i w:val="0"/>
                <w:color w:val="1C2737"/>
                <w:sz w:val="18"/>
              </w:rPr>
              <w:t>Requires governed improvement across the next qualified rollup window. Downgrade one level only after metric recovery plus repair stabilization. Hard clear needs two stable windows. Acute grief or anger overlays may pause escalation rather than force immediate decay.</w:t>
            </w:r>
          </w:p>
        </w:tc>
      </w:tr>
      <w:tr>
        <w:tc>
          <w:tcPr>
            <w:tcW w:type="dxa" w:w="2592"/>
            <w:tcMar>
              <w:top w:w="80" w:type="dxa"/>
              <w:start w:w="90" w:type="dxa"/>
              <w:bottom w:w="80" w:type="dxa"/>
              <w:end w:w="90" w:type="dxa"/>
            </w:tcMar>
            <w:vAlign w:val="center"/>
          </w:tcPr>
          <w:p>
            <w:pPr>
              <w:spacing w:after="80" w:before="0" w:line="276" w:lineRule="auto"/>
              <w:jc w:val="center"/>
            </w:pPr>
            <w:r>
              <w:rPr>
                <w:rFonts w:ascii="Aptos" w:hAnsi="Aptos"/>
                <w:b/>
                <w:i w:val="0"/>
                <w:color w:val="1C2737"/>
                <w:sz w:val="18"/>
              </w:rPr>
              <w:t>Readiness effect</w:t>
            </w:r>
          </w:p>
        </w:tc>
        <w:tc>
          <w:tcPr>
            <w:tcW w:type="dxa" w:w="7776"/>
            <w:tcMar>
              <w:top w:w="80" w:type="dxa"/>
              <w:start w:w="90" w:type="dxa"/>
              <w:bottom w:w="80" w:type="dxa"/>
              <w:end w:w="90" w:type="dxa"/>
            </w:tcMar>
            <w:vAlign w:val="center"/>
          </w:tcPr>
          <w:p>
            <w:pPr>
              <w:spacing w:after="80" w:before="0" w:line="276" w:lineRule="auto"/>
            </w:pPr>
            <w:r>
              <w:rPr>
                <w:rFonts w:ascii="Aptos" w:hAnsi="Aptos"/>
                <w:b w:val="0"/>
                <w:i w:val="0"/>
                <w:color w:val="1C2737"/>
                <w:sz w:val="18"/>
              </w:rPr>
              <w:t>Slow Drift affects readiness modestly and mainly through confidence and pair-state caution. It should not heavily re-score an individual unless paired with user-specific clusters like Repair Gap or Vulnerability Loop.</w:t>
            </w:r>
          </w:p>
        </w:tc>
      </w:tr>
      <w:tr>
        <w:tc>
          <w:tcPr>
            <w:tcW w:type="dxa" w:w="2592"/>
            <w:tcMar>
              <w:top w:w="80" w:type="dxa"/>
              <w:start w:w="90" w:type="dxa"/>
              <w:bottom w:w="80" w:type="dxa"/>
              <w:end w:w="90" w:type="dxa"/>
            </w:tcMar>
            <w:vAlign w:val="center"/>
          </w:tcPr>
          <w:p>
            <w:pPr>
              <w:spacing w:after="80" w:before="0" w:line="276" w:lineRule="auto"/>
              <w:jc w:val="center"/>
            </w:pPr>
            <w:r>
              <w:rPr>
                <w:rFonts w:ascii="Aptos" w:hAnsi="Aptos"/>
                <w:b/>
                <w:i w:val="0"/>
                <w:color w:val="1C2737"/>
                <w:sz w:val="18"/>
              </w:rPr>
              <w:t>Forecast effect</w:t>
            </w:r>
          </w:p>
        </w:tc>
        <w:tc>
          <w:tcPr>
            <w:tcW w:type="dxa" w:w="7776"/>
            <w:tcMar>
              <w:top w:w="80" w:type="dxa"/>
              <w:start w:w="90" w:type="dxa"/>
              <w:bottom w:w="80" w:type="dxa"/>
              <w:end w:w="90" w:type="dxa"/>
            </w:tcMar>
            <w:vAlign w:val="center"/>
          </w:tcPr>
          <w:p>
            <w:pPr>
              <w:spacing w:after="80" w:before="0" w:line="276" w:lineRule="auto"/>
            </w:pPr>
            <w:r>
              <w:rPr>
                <w:rFonts w:ascii="Aptos" w:hAnsi="Aptos"/>
                <w:b w:val="0"/>
                <w:i w:val="0"/>
                <w:color w:val="1C2737"/>
                <w:sz w:val="18"/>
              </w:rPr>
              <w:t>This is one of the strongest forecast inputs in batch 1. S3-S5 directly increase drift load, lower pair stability, and can force guarded or suppressed forecast surfaces.</w:t>
            </w:r>
          </w:p>
        </w:tc>
      </w:tr>
      <w:tr>
        <w:tc>
          <w:tcPr>
            <w:tcW w:type="dxa" w:w="2592"/>
            <w:tcMar>
              <w:top w:w="80" w:type="dxa"/>
              <w:start w:w="90" w:type="dxa"/>
              <w:bottom w:w="80" w:type="dxa"/>
              <w:end w:w="90" w:type="dxa"/>
            </w:tcMar>
            <w:vAlign w:val="center"/>
          </w:tcPr>
          <w:p>
            <w:pPr>
              <w:spacing w:after="80" w:before="0" w:line="276" w:lineRule="auto"/>
              <w:jc w:val="center"/>
            </w:pPr>
            <w:r>
              <w:rPr>
                <w:rFonts w:ascii="Aptos" w:hAnsi="Aptos"/>
                <w:b/>
                <w:i w:val="0"/>
                <w:color w:val="1C2737"/>
                <w:sz w:val="18"/>
              </w:rPr>
              <w:t>Drift interlock</w:t>
            </w:r>
          </w:p>
        </w:tc>
        <w:tc>
          <w:tcPr>
            <w:tcW w:type="dxa" w:w="7776"/>
            <w:tcMar>
              <w:top w:w="80" w:type="dxa"/>
              <w:start w:w="90" w:type="dxa"/>
              <w:bottom w:w="80" w:type="dxa"/>
              <w:end w:w="90" w:type="dxa"/>
            </w:tcMar>
            <w:vAlign w:val="center"/>
          </w:tcPr>
          <w:p>
            <w:pPr>
              <w:spacing w:after="80" w:before="0" w:line="276" w:lineRule="auto"/>
            </w:pPr>
            <w:r>
              <w:rPr>
                <w:rFonts w:ascii="Aptos" w:hAnsi="Aptos"/>
                <w:b w:val="0"/>
                <w:i w:val="0"/>
                <w:color w:val="1C2737"/>
                <w:sz w:val="18"/>
              </w:rPr>
              <w:t>This cluster is the drift family anchor. It must carry the exact rollup metrics, eligibility state, move entropy support, and state transitions defined by the DriftEligibility appendix.</w:t>
            </w:r>
          </w:p>
        </w:tc>
      </w:tr>
      <w:tr>
        <w:tc>
          <w:tcPr>
            <w:tcW w:type="dxa" w:w="2592"/>
            <w:tcMar>
              <w:top w:w="80" w:type="dxa"/>
              <w:start w:w="90" w:type="dxa"/>
              <w:bottom w:w="80" w:type="dxa"/>
              <w:end w:w="90" w:type="dxa"/>
            </w:tcMar>
            <w:vAlign w:val="center"/>
          </w:tcPr>
          <w:p>
            <w:pPr>
              <w:spacing w:after="80" w:before="0" w:line="276" w:lineRule="auto"/>
              <w:jc w:val="center"/>
            </w:pPr>
            <w:r>
              <w:rPr>
                <w:rFonts w:ascii="Aptos" w:hAnsi="Aptos"/>
                <w:b/>
                <w:i w:val="0"/>
                <w:color w:val="1C2737"/>
                <w:sz w:val="18"/>
              </w:rPr>
              <w:t>AI / Sanctuary use</w:t>
            </w:r>
          </w:p>
        </w:tc>
        <w:tc>
          <w:tcPr>
            <w:tcW w:type="dxa" w:w="7776"/>
            <w:tcMar>
              <w:top w:w="80" w:type="dxa"/>
              <w:start w:w="90" w:type="dxa"/>
              <w:bottom w:w="80" w:type="dxa"/>
              <w:end w:w="90" w:type="dxa"/>
            </w:tcMar>
            <w:vAlign w:val="center"/>
          </w:tcPr>
          <w:p>
            <w:pPr>
              <w:spacing w:after="80" w:before="0" w:line="276" w:lineRule="auto"/>
            </w:pPr>
            <w:r>
              <w:rPr>
                <w:rFonts w:ascii="Aptos" w:hAnsi="Aptos"/>
                <w:b w:val="0"/>
                <w:i w:val="0"/>
                <w:color w:val="1C2737"/>
                <w:sz w:val="18"/>
              </w:rPr>
              <w:t>AI may use Slow Drift to time check-ins, suggest repair rituals, or explain that the issue looks gradual rather than explosive. AI may not describe it as fate or final outcome.</w:t>
            </w:r>
          </w:p>
        </w:tc>
      </w:tr>
    </w:tbl>
    <w:p/>
    <w:tbl>
      <w:tblPr>
        <w:tblW w:type="auto" w:w="0"/>
        <w:jc w:val="center"/>
        <w:tblLayout w:type="fixed"/>
        <w:tblLook w:firstColumn="1" w:firstRow="1" w:lastColumn="0" w:lastRow="0" w:noHBand="0" w:noVBand="1" w:val="04A0"/>
        <w:tblBorders>
          <w:top w:val="single" w:sz="10" w:space="0" w:color="AFC2D5"/>
          <w:left w:val="single" w:sz="10" w:space="0" w:color="AFC2D5"/>
          <w:bottom w:val="single" w:sz="10" w:space="0" w:color="AFC2D5"/>
          <w:right w:val="single" w:sz="10" w:space="0" w:color="AFC2D5"/>
          <w:insideH w:val="single" w:sz="10" w:space="0" w:color="AFC2D5"/>
          <w:insideV w:val="single" w:sz="10" w:space="0" w:color="AFC2D5"/>
        </w:tblBorders>
      </w:tblPr>
      <w:tblGrid>
        <w:gridCol w:w="9936"/>
      </w:tblGrid>
      <w:tr>
        <w:tc>
          <w:tcPr>
            <w:tcW w:type="dxa" w:w="9936"/>
            <w:shd w:fill="F4F8FB"/>
            <w:tcMar>
              <w:top w:w="120" w:type="dxa"/>
              <w:start w:w="140" w:type="dxa"/>
              <w:bottom w:w="120" w:type="dxa"/>
              <w:end w:w="140" w:type="dxa"/>
            </w:tcMar>
          </w:tcPr>
          <w:p>
            <w:pPr>
              <w:spacing w:after="40" w:before="0" w:line="276" w:lineRule="auto"/>
            </w:pPr>
            <w:r>
              <w:rPr>
                <w:rFonts w:ascii="Aptos" w:hAnsi="Aptos"/>
                <w:b/>
                <w:i w:val="0"/>
                <w:color w:val="24528C"/>
                <w:sz w:val="21"/>
              </w:rPr>
              <w:t>QA examples to lock before production</w:t>
            </w:r>
          </w:p>
          <w:p>
            <w:pPr>
              <w:spacing w:after="0" w:before="0" w:line="276" w:lineRule="auto"/>
            </w:pPr>
            <w:r>
              <w:rPr>
                <w:rFonts w:ascii="Aptos" w:hAnsi="Aptos"/>
                <w:b w:val="0"/>
                <w:i w:val="0"/>
                <w:color w:val="1C2737"/>
                <w:sz w:val="20"/>
              </w:rPr>
              <w:t>Run simulations for: stable pair with one argument; should stay below S2. Pair with steadily rising response latency and ritual drop-off; should reach S3 after eligibility. Pair in acute grief; should use adjustment markers and avoid false S4 escalation.</w:t>
            </w:r>
          </w:p>
        </w:tc>
      </w:tr>
    </w:tbl>
    <w:p/>
    <w:p>
      <w:r>
        <w:br w:type="page"/>
      </w:r>
    </w:p>
    <w:p>
      <w:pPr>
        <w:spacing w:before="200" w:after="40"/>
      </w:pPr>
      <w:r>
        <w:rPr>
          <w:b/>
          <w:color w:val="24528C"/>
          <w:sz w:val="28"/>
        </w:rPr>
        <w:t>CL-104 - Push-Pull</w:t>
      </w:r>
    </w:p>
    <w:tbl>
      <w:tblPr>
        <w:tblW w:type="auto" w:w="0"/>
        <w:jc w:val="center"/>
        <w:tblLayout w:type="fixed"/>
        <w:tblLook w:firstColumn="1" w:firstRow="1" w:lastColumn="0" w:lastRow="0" w:noHBand="0" w:noVBand="1" w:val="04A0"/>
        <w:tblBorders>
          <w:top w:val="single" w:sz="8" w:space="0" w:color="C7D0DA"/>
          <w:left w:val="single" w:sz="8" w:space="0" w:color="C7D0DA"/>
          <w:bottom w:val="single" w:sz="8" w:space="0" w:color="C7D0DA"/>
          <w:right w:val="single" w:sz="8" w:space="0" w:color="C7D0DA"/>
          <w:insideH w:val="single" w:sz="8" w:space="0" w:color="C7D0DA"/>
          <w:insideV w:val="single" w:sz="8" w:space="0" w:color="C7D0DA"/>
        </w:tblBorders>
      </w:tblPr>
      <w:tblGrid>
        <w:gridCol w:w="4968"/>
        <w:gridCol w:w="4968"/>
      </w:tblGrid>
      <w:tr>
        <w:tc>
          <w:tcPr>
            <w:tcW w:type="dxa" w:w="2592"/>
            <w:tcMar>
              <w:top w:w="80" w:type="dxa"/>
              <w:start w:w="90" w:type="dxa"/>
              <w:bottom w:w="80" w:type="dxa"/>
              <w:end w:w="90" w:type="dxa"/>
            </w:tcMar>
            <w:vAlign w:val="center"/>
            <w:shd w:fill="EAF1F8"/>
          </w:tcPr>
          <w:p>
            <w:pPr>
              <w:spacing w:after="80" w:before="0" w:line="276" w:lineRule="auto"/>
            </w:pPr>
            <w:r>
              <w:rPr>
                <w:rFonts w:ascii="Aptos" w:hAnsi="Aptos"/>
                <w:b/>
                <w:i w:val="0"/>
                <w:color w:val="1C2737"/>
                <w:sz w:val="20"/>
              </w:rPr>
              <w:t>Family</w:t>
            </w:r>
          </w:p>
        </w:tc>
        <w:tc>
          <w:tcPr>
            <w:tcW w:type="dxa" w:w="7056"/>
            <w:tcMar>
              <w:top w:w="80" w:type="dxa"/>
              <w:start w:w="90" w:type="dxa"/>
              <w:bottom w:w="80" w:type="dxa"/>
              <w:end w:w="90" w:type="dxa"/>
            </w:tcMar>
            <w:vAlign w:val="center"/>
          </w:tcPr>
          <w:p>
            <w:pPr>
              <w:spacing w:after="80" w:before="0" w:line="276" w:lineRule="auto"/>
            </w:pPr>
            <w:r>
              <w:rPr>
                <w:rFonts w:ascii="Aptos" w:hAnsi="Aptos"/>
                <w:b w:val="0"/>
                <w:i w:val="0"/>
                <w:color w:val="1C2737"/>
                <w:sz w:val="20"/>
              </w:rPr>
              <w:t>Pair reciprocity destabilization cluster</w:t>
            </w:r>
          </w:p>
        </w:tc>
      </w:tr>
      <w:tr>
        <w:tc>
          <w:tcPr>
            <w:tcW w:type="dxa" w:w="2592"/>
            <w:tcMar>
              <w:top w:w="80" w:type="dxa"/>
              <w:start w:w="90" w:type="dxa"/>
              <w:bottom w:w="80" w:type="dxa"/>
              <w:end w:w="90" w:type="dxa"/>
            </w:tcMar>
            <w:vAlign w:val="center"/>
            <w:shd w:fill="EAF1F8"/>
          </w:tcPr>
          <w:p>
            <w:pPr>
              <w:spacing w:after="80" w:before="0" w:line="276" w:lineRule="auto"/>
            </w:pPr>
            <w:r>
              <w:rPr>
                <w:rFonts w:ascii="Aptos" w:hAnsi="Aptos"/>
                <w:b/>
                <w:i w:val="0"/>
                <w:color w:val="1C2737"/>
                <w:sz w:val="20"/>
              </w:rPr>
              <w:t>Scope</w:t>
            </w:r>
          </w:p>
        </w:tc>
        <w:tc>
          <w:tcPr>
            <w:tcW w:type="dxa" w:w="7056"/>
            <w:tcMar>
              <w:top w:w="80" w:type="dxa"/>
              <w:start w:w="90" w:type="dxa"/>
              <w:bottom w:w="80" w:type="dxa"/>
              <w:end w:w="90" w:type="dxa"/>
            </w:tcMar>
            <w:vAlign w:val="center"/>
          </w:tcPr>
          <w:p>
            <w:pPr>
              <w:spacing w:after="80" w:before="0" w:line="276" w:lineRule="auto"/>
            </w:pPr>
            <w:r>
              <w:rPr>
                <w:rFonts w:ascii="Aptos" w:hAnsi="Aptos"/>
                <w:b w:val="0"/>
                <w:i w:val="0"/>
                <w:color w:val="1C2737"/>
                <w:sz w:val="20"/>
              </w:rPr>
              <w:t>Pair-state with mirrored user pattern traces where permitted</w:t>
            </w:r>
          </w:p>
        </w:tc>
      </w:tr>
      <w:tr>
        <w:tc>
          <w:tcPr>
            <w:tcW w:type="dxa" w:w="2592"/>
            <w:tcMar>
              <w:top w:w="80" w:type="dxa"/>
              <w:start w:w="90" w:type="dxa"/>
              <w:bottom w:w="80" w:type="dxa"/>
              <w:end w:w="90" w:type="dxa"/>
            </w:tcMar>
            <w:vAlign w:val="center"/>
            <w:shd w:fill="EAF1F8"/>
          </w:tcPr>
          <w:p>
            <w:pPr>
              <w:spacing w:after="80" w:before="0" w:line="276" w:lineRule="auto"/>
            </w:pPr>
            <w:r>
              <w:rPr>
                <w:rFonts w:ascii="Aptos" w:hAnsi="Aptos"/>
                <w:b/>
                <w:i w:val="0"/>
                <w:color w:val="1C2737"/>
                <w:sz w:val="20"/>
              </w:rPr>
              <w:t>Purpose</w:t>
            </w:r>
          </w:p>
        </w:tc>
        <w:tc>
          <w:tcPr>
            <w:tcW w:type="dxa" w:w="7056"/>
            <w:tcMar>
              <w:top w:w="80" w:type="dxa"/>
              <w:start w:w="90" w:type="dxa"/>
              <w:bottom w:w="80" w:type="dxa"/>
              <w:end w:w="90" w:type="dxa"/>
            </w:tcMar>
            <w:vAlign w:val="center"/>
          </w:tcPr>
          <w:p>
            <w:pPr>
              <w:spacing w:after="80" w:before="0" w:line="276" w:lineRule="auto"/>
            </w:pPr>
            <w:r>
              <w:rPr>
                <w:rFonts w:ascii="Aptos" w:hAnsi="Aptos"/>
                <w:b w:val="0"/>
                <w:i w:val="0"/>
                <w:color w:val="1C2737"/>
                <w:sz w:val="20"/>
              </w:rPr>
              <w:t>Detect cyclical alternation where one or both users pursue, intensify, then withdraw, causing unstable reciprocity, mixed signals, and emotionally expensive continuity.</w:t>
            </w:r>
          </w:p>
        </w:tc>
      </w:tr>
      <w:tr>
        <w:tc>
          <w:tcPr>
            <w:tcW w:type="dxa" w:w="2592"/>
            <w:tcMar>
              <w:top w:w="80" w:type="dxa"/>
              <w:start w:w="90" w:type="dxa"/>
              <w:bottom w:w="80" w:type="dxa"/>
              <w:end w:w="90" w:type="dxa"/>
            </w:tcMar>
            <w:vAlign w:val="center"/>
            <w:shd w:fill="EAF1F8"/>
          </w:tcPr>
          <w:p>
            <w:pPr>
              <w:spacing w:after="80" w:before="0" w:line="276" w:lineRule="auto"/>
            </w:pPr>
            <w:r>
              <w:rPr>
                <w:rFonts w:ascii="Aptos" w:hAnsi="Aptos"/>
                <w:b/>
                <w:i w:val="0"/>
                <w:color w:val="1C2737"/>
                <w:sz w:val="20"/>
              </w:rPr>
              <w:t>Primary sources</w:t>
            </w:r>
          </w:p>
        </w:tc>
        <w:tc>
          <w:tcPr>
            <w:tcW w:type="dxa" w:w="7056"/>
            <w:tcMar>
              <w:top w:w="80" w:type="dxa"/>
              <w:start w:w="90" w:type="dxa"/>
              <w:bottom w:w="80" w:type="dxa"/>
              <w:end w:w="90" w:type="dxa"/>
            </w:tcMar>
            <w:vAlign w:val="center"/>
          </w:tcPr>
          <w:p>
            <w:pPr>
              <w:spacing w:after="80" w:before="0" w:line="276" w:lineRule="auto"/>
            </w:pPr>
            <w:r>
              <w:rPr>
                <w:rFonts w:ascii="Aptos" w:hAnsi="Aptos"/>
                <w:b w:val="0"/>
                <w:i w:val="0"/>
                <w:color w:val="1C2737"/>
                <w:sz w:val="20"/>
              </w:rPr>
              <w:t>Mutual initiation imbalance, pursuit spikes followed by retreat, conversation bursts followed by silence, repeated ambiguity after intensity, bid-response rhythm swings, pair-level cluster overlaps.</w:t>
            </w:r>
          </w:p>
        </w:tc>
      </w:tr>
      <w:tr>
        <w:tc>
          <w:tcPr>
            <w:tcW w:type="dxa" w:w="2592"/>
            <w:tcMar>
              <w:top w:w="80" w:type="dxa"/>
              <w:start w:w="90" w:type="dxa"/>
              <w:bottom w:w="80" w:type="dxa"/>
              <w:end w:w="90" w:type="dxa"/>
            </w:tcMar>
            <w:vAlign w:val="center"/>
            <w:shd w:fill="EAF1F8"/>
          </w:tcPr>
          <w:p>
            <w:pPr>
              <w:spacing w:after="80" w:before="0" w:line="276" w:lineRule="auto"/>
            </w:pPr>
            <w:r>
              <w:rPr>
                <w:rFonts w:ascii="Aptos" w:hAnsi="Aptos"/>
                <w:b/>
                <w:i w:val="0"/>
                <w:color w:val="1C2737"/>
                <w:sz w:val="20"/>
              </w:rPr>
              <w:t>Default posture</w:t>
            </w:r>
          </w:p>
        </w:tc>
        <w:tc>
          <w:tcPr>
            <w:tcW w:type="dxa" w:w="7056"/>
            <w:tcMar>
              <w:top w:w="80" w:type="dxa"/>
              <w:start w:w="90" w:type="dxa"/>
              <w:bottom w:w="80" w:type="dxa"/>
              <w:end w:w="90" w:type="dxa"/>
            </w:tcMar>
            <w:vAlign w:val="center"/>
          </w:tcPr>
          <w:p>
            <w:pPr>
              <w:spacing w:after="80" w:before="0" w:line="276" w:lineRule="auto"/>
            </w:pPr>
            <w:r>
              <w:rPr>
                <w:rFonts w:ascii="Aptos" w:hAnsi="Aptos"/>
                <w:b w:val="0"/>
                <w:i w:val="0"/>
                <w:color w:val="1C2737"/>
                <w:sz w:val="20"/>
              </w:rPr>
              <w:t>More pair-centric than Vulnerability Loop. It focuses on the destabilizing cycle rather than the private reason underneath it.</w:t>
            </w:r>
          </w:p>
        </w:tc>
      </w:tr>
      <w:tr>
        <w:tc>
          <w:tcPr>
            <w:tcW w:type="dxa" w:w="2592"/>
            <w:tcMar>
              <w:top w:w="80" w:type="dxa"/>
              <w:start w:w="90" w:type="dxa"/>
              <w:bottom w:w="80" w:type="dxa"/>
              <w:end w:w="90" w:type="dxa"/>
            </w:tcMar>
            <w:vAlign w:val="center"/>
            <w:shd w:fill="EAF1F8"/>
          </w:tcPr>
          <w:p>
            <w:pPr>
              <w:spacing w:after="80" w:before="0" w:line="276" w:lineRule="auto"/>
            </w:pPr>
            <w:r>
              <w:rPr>
                <w:rFonts w:ascii="Aptos" w:hAnsi="Aptos"/>
                <w:b/>
                <w:i w:val="0"/>
                <w:color w:val="1C2737"/>
                <w:sz w:val="20"/>
              </w:rPr>
              <w:t>User exposure</w:t>
            </w:r>
          </w:p>
        </w:tc>
        <w:tc>
          <w:tcPr>
            <w:tcW w:type="dxa" w:w="7056"/>
            <w:tcMar>
              <w:top w:w="80" w:type="dxa"/>
              <w:start w:w="90" w:type="dxa"/>
              <w:bottom w:w="80" w:type="dxa"/>
              <w:end w:w="90" w:type="dxa"/>
            </w:tcMar>
            <w:vAlign w:val="center"/>
          </w:tcPr>
          <w:p>
            <w:pPr>
              <w:spacing w:after="80" w:before="0" w:line="276" w:lineRule="auto"/>
            </w:pPr>
            <w:r>
              <w:rPr>
                <w:rFonts w:ascii="Aptos" w:hAnsi="Aptos"/>
                <w:b w:val="0"/>
                <w:i w:val="0"/>
                <w:color w:val="1C2737"/>
                <w:sz w:val="20"/>
              </w:rPr>
              <w:t>User-facing exposure should stay softened, for example “hot-cold rhythm” or “unstable reciprocity pattern”.</w:t>
            </w:r>
          </w:p>
        </w:tc>
      </w:tr>
    </w:tbl>
    <w:p/>
    <w:p>
      <w:pPr>
        <w:spacing w:after="60" w:before="0" w:line="276" w:lineRule="auto"/>
      </w:pPr>
      <w:r>
        <w:rPr>
          <w:rFonts w:ascii="Aptos" w:hAnsi="Aptos"/>
          <w:b/>
          <w:i w:val="0"/>
          <w:color w:val="1C2737"/>
          <w:sz w:val="23"/>
        </w:rPr>
        <w:t>Canonical detection logic</w:t>
      </w:r>
    </w:p>
    <w:p>
      <w:pPr>
        <w:pStyle w:val="ListBullet"/>
        <w:spacing w:after="60" w:before="0" w:line="276" w:lineRule="auto"/>
        <w:ind w:left="259"/>
      </w:pPr>
      <w:r>
        <w:rPr>
          <w:rFonts w:ascii="Aptos" w:hAnsi="Aptos"/>
          <w:b w:val="0"/>
          <w:i w:val="0"/>
          <w:color w:val="1C2737"/>
          <w:sz w:val="21"/>
        </w:rPr>
        <w:t>S1 opens when the system sees one early pursue-retreat swing or one reciprocity pattern that hints at cyclic instability.</w:t>
      </w:r>
    </w:p>
    <w:p>
      <w:pPr>
        <w:pStyle w:val="ListBullet"/>
        <w:spacing w:after="60" w:before="0" w:line="276" w:lineRule="auto"/>
        <w:ind w:left="259"/>
      </w:pPr>
      <w:r>
        <w:rPr>
          <w:rFonts w:ascii="Aptos" w:hAnsi="Aptos"/>
          <w:b w:val="0"/>
          <w:i w:val="0"/>
          <w:color w:val="1C2737"/>
          <w:sz w:val="21"/>
        </w:rPr>
        <w:t>S2 requires two swings inside the configured window or one strong swing plus a supporting contradiction cluster such as Vulnerability Loop or Control Avoidance.</w:t>
      </w:r>
    </w:p>
    <w:p>
      <w:pPr>
        <w:pStyle w:val="ListBullet"/>
        <w:spacing w:after="60" w:before="0" w:line="276" w:lineRule="auto"/>
        <w:ind w:left="259"/>
      </w:pPr>
      <w:r>
        <w:rPr>
          <w:rFonts w:ascii="Aptos" w:hAnsi="Aptos"/>
          <w:b w:val="0"/>
          <w:i w:val="0"/>
          <w:color w:val="1C2737"/>
          <w:sz w:val="21"/>
        </w:rPr>
        <w:t>S3 requires a repeatable hot-cold rhythm that visibly lowers conversation continuity or pacing alignment.</w:t>
      </w:r>
    </w:p>
    <w:p>
      <w:pPr>
        <w:pStyle w:val="ListBullet"/>
        <w:spacing w:after="60" w:before="0" w:line="276" w:lineRule="auto"/>
        <w:ind w:left="259"/>
      </w:pPr>
      <w:r>
        <w:rPr>
          <w:rFonts w:ascii="Aptos" w:hAnsi="Aptos"/>
          <w:b w:val="0"/>
          <w:i w:val="0"/>
          <w:color w:val="1C2737"/>
          <w:sz w:val="21"/>
        </w:rPr>
        <w:t>S4 requires chronic cycling that repeatedly destabilizes the pair and prevents stable repair or stable progression.</w:t>
      </w:r>
    </w:p>
    <w:p>
      <w:pPr>
        <w:pStyle w:val="ListBullet"/>
        <w:spacing w:after="60" w:before="0" w:line="276" w:lineRule="auto"/>
        <w:ind w:left="259"/>
      </w:pPr>
      <w:r>
        <w:rPr>
          <w:rFonts w:ascii="Aptos" w:hAnsi="Aptos"/>
          <w:b w:val="0"/>
          <w:i w:val="0"/>
          <w:color w:val="1C2737"/>
          <w:sz w:val="21"/>
        </w:rPr>
        <w:t>S5 is reserved for entrenched cycling that keeps producing rupture risk and forecast suppression despite interventions.</w:t>
      </w:r>
    </w:p>
    <w:p>
      <w:pPr>
        <w:spacing w:after="60" w:before="0" w:line="276" w:lineRule="auto"/>
      </w:pPr>
      <w:r>
        <w:rPr>
          <w:rFonts w:ascii="Aptos" w:hAnsi="Aptos"/>
          <w:b/>
          <w:i w:val="0"/>
          <w:color w:val="1C2737"/>
          <w:sz w:val="23"/>
        </w:rPr>
        <w:t>Severity ladder for this cluster</w:t>
      </w:r>
    </w:p>
    <w:tbl>
      <w:tblPr>
        <w:tblW w:type="auto" w:w="0"/>
        <w:jc w:val="center"/>
        <w:tblLayout w:type="fixed"/>
        <w:tblLook w:firstColumn="1" w:firstRow="1" w:lastColumn="0" w:lastRow="0" w:noHBand="0" w:noVBand="1" w:val="04A0"/>
        <w:tblBorders>
          <w:top w:val="single" w:sz="8" w:space="0" w:color="C7D0DA"/>
          <w:left w:val="single" w:sz="8" w:space="0" w:color="C7D0DA"/>
          <w:bottom w:val="single" w:sz="8" w:space="0" w:color="C7D0DA"/>
          <w:right w:val="single" w:sz="8" w:space="0" w:color="C7D0DA"/>
          <w:insideH w:val="single" w:sz="8" w:space="0" w:color="C7D0DA"/>
          <w:insideV w:val="single" w:sz="8" w:space="0" w:color="C7D0DA"/>
        </w:tblBorders>
      </w:tblPr>
      <w:tblGrid>
        <w:gridCol w:w="2484"/>
        <w:gridCol w:w="2484"/>
        <w:gridCol w:w="2484"/>
        <w:gridCol w:w="2484"/>
      </w:tblGrid>
      <w:tr>
        <w:tc>
          <w:tcPr>
            <w:tcW w:type="dxa" w:w="1296"/>
            <w:tcMar>
              <w:top w:w="90" w:type="dxa"/>
              <w:start w:w="100" w:type="dxa"/>
              <w:bottom w:w="90" w:type="dxa"/>
              <w:end w:w="100" w:type="dxa"/>
            </w:tcMar>
            <w:shd w:fill="DDEAF7"/>
          </w:tcPr>
          <w:p>
            <w:pPr>
              <w:spacing w:after="80" w:before="0" w:line="276" w:lineRule="auto"/>
              <w:jc w:val="center"/>
            </w:pPr>
            <w:r>
              <w:rPr>
                <w:rFonts w:ascii="Aptos" w:hAnsi="Aptos"/>
                <w:b/>
                <w:i w:val="0"/>
                <w:color w:val="1C2737"/>
                <w:sz w:val="19"/>
              </w:rPr>
              <w:t>Lvl</w:t>
            </w:r>
          </w:p>
        </w:tc>
        <w:tc>
          <w:tcPr>
            <w:tcW w:type="dxa" w:w="1872"/>
            <w:tcMar>
              <w:top w:w="90" w:type="dxa"/>
              <w:start w:w="100" w:type="dxa"/>
              <w:bottom w:w="90" w:type="dxa"/>
              <w:end w:w="100" w:type="dxa"/>
            </w:tcMar>
            <w:shd w:fill="DDEAF7"/>
          </w:tcPr>
          <w:p>
            <w:pPr>
              <w:spacing w:after="80" w:before="0" w:line="276" w:lineRule="auto"/>
              <w:jc w:val="center"/>
            </w:pPr>
            <w:r>
              <w:rPr>
                <w:rFonts w:ascii="Aptos" w:hAnsi="Aptos"/>
                <w:b/>
                <w:i w:val="0"/>
                <w:color w:val="1C2737"/>
                <w:sz w:val="19"/>
              </w:rPr>
              <w:t>Trigger Posture</w:t>
            </w:r>
          </w:p>
        </w:tc>
        <w:tc>
          <w:tcPr>
            <w:tcW w:type="dxa" w:w="3744"/>
            <w:tcMar>
              <w:top w:w="90" w:type="dxa"/>
              <w:start w:w="100" w:type="dxa"/>
              <w:bottom w:w="90" w:type="dxa"/>
              <w:end w:w="100" w:type="dxa"/>
            </w:tcMar>
            <w:shd w:fill="DDEAF7"/>
          </w:tcPr>
          <w:p>
            <w:pPr>
              <w:spacing w:after="80" w:before="0" w:line="276" w:lineRule="auto"/>
              <w:jc w:val="center"/>
            </w:pPr>
            <w:r>
              <w:rPr>
                <w:rFonts w:ascii="Aptos" w:hAnsi="Aptos"/>
                <w:b/>
                <w:i w:val="0"/>
                <w:color w:val="1C2737"/>
                <w:sz w:val="19"/>
              </w:rPr>
              <w:t>Default Write-Back</w:t>
            </w:r>
          </w:p>
        </w:tc>
        <w:tc>
          <w:tcPr>
            <w:tcW w:type="dxa" w:w="3168"/>
            <w:tcMar>
              <w:top w:w="90" w:type="dxa"/>
              <w:start w:w="100" w:type="dxa"/>
              <w:bottom w:w="90" w:type="dxa"/>
              <w:end w:w="100" w:type="dxa"/>
            </w:tcMar>
            <w:shd w:fill="DDEAF7"/>
          </w:tcPr>
          <w:p>
            <w:pPr>
              <w:spacing w:after="80" w:before="0" w:line="276" w:lineRule="auto"/>
              <w:jc w:val="center"/>
            </w:pPr>
            <w:r>
              <w:rPr>
                <w:rFonts w:ascii="Aptos" w:hAnsi="Aptos"/>
                <w:b/>
                <w:i w:val="0"/>
                <w:color w:val="1C2737"/>
                <w:sz w:val="19"/>
              </w:rPr>
              <w:t>Primary Effect</w:t>
            </w:r>
          </w:p>
        </w:tc>
      </w:tr>
      <w:tr>
        <w:tc>
          <w:tcPr>
            <w:tcW w:type="dxa" w:w="1296"/>
            <w:tcMar>
              <w:top w:w="90" w:type="dxa"/>
              <w:start w:w="100" w:type="dxa"/>
              <w:bottom w:w="90" w:type="dxa"/>
              <w:end w:w="100" w:type="dxa"/>
            </w:tcMar>
            <w:vAlign w:val="center"/>
          </w:tcPr>
          <w:p>
            <w:pPr>
              <w:spacing w:after="80" w:before="0" w:line="276" w:lineRule="auto"/>
              <w:jc w:val="center"/>
            </w:pPr>
            <w:r>
              <w:rPr>
                <w:rFonts w:ascii="Aptos" w:hAnsi="Aptos"/>
                <w:b/>
                <w:i w:val="0"/>
                <w:color w:val="1C2737"/>
                <w:sz w:val="19"/>
              </w:rPr>
              <w:t>S1</w:t>
            </w:r>
          </w:p>
        </w:tc>
        <w:tc>
          <w:tcPr>
            <w:tcW w:type="dxa" w:w="1872"/>
            <w:tcMar>
              <w:top w:w="90" w:type="dxa"/>
              <w:start w:w="100" w:type="dxa"/>
              <w:bottom w:w="90" w:type="dxa"/>
              <w:end w:w="100" w:type="dxa"/>
            </w:tcMar>
            <w:vAlign w:val="center"/>
          </w:tcPr>
          <w:p>
            <w:pPr>
              <w:spacing w:after="80" w:before="0" w:line="276" w:lineRule="auto"/>
            </w:pPr>
            <w:r>
              <w:rPr>
                <w:rFonts w:ascii="Aptos" w:hAnsi="Aptos"/>
                <w:b w:val="0"/>
                <w:i w:val="0"/>
                <w:color w:val="1C2737"/>
                <w:sz w:val="18"/>
              </w:rPr>
              <w:t>pattern hint</w:t>
            </w:r>
          </w:p>
        </w:tc>
        <w:tc>
          <w:tcPr>
            <w:tcW w:type="dxa" w:w="3744"/>
            <w:tcMar>
              <w:top w:w="90" w:type="dxa"/>
              <w:start w:w="100" w:type="dxa"/>
              <w:bottom w:w="90" w:type="dxa"/>
              <w:end w:w="100" w:type="dxa"/>
            </w:tcMar>
            <w:vAlign w:val="center"/>
          </w:tcPr>
          <w:p>
            <w:pPr>
              <w:spacing w:after="80" w:before="0" w:line="276" w:lineRule="auto"/>
            </w:pPr>
            <w:r>
              <w:rPr>
                <w:rFonts w:ascii="Aptos" w:hAnsi="Aptos"/>
                <w:b w:val="0"/>
                <w:i w:val="0"/>
                <w:color w:val="1C2737"/>
                <w:sz w:val="18"/>
              </w:rPr>
              <w:t>pair watch only</w:t>
            </w:r>
          </w:p>
        </w:tc>
        <w:tc>
          <w:tcPr>
            <w:tcW w:type="dxa" w:w="3168"/>
            <w:tcMar>
              <w:top w:w="90" w:type="dxa"/>
              <w:start w:w="100" w:type="dxa"/>
              <w:bottom w:w="90" w:type="dxa"/>
              <w:end w:w="100" w:type="dxa"/>
            </w:tcMar>
            <w:vAlign w:val="center"/>
          </w:tcPr>
          <w:p>
            <w:pPr>
              <w:spacing w:after="80" w:before="0" w:line="276" w:lineRule="auto"/>
            </w:pPr>
            <w:r>
              <w:rPr>
                <w:rFonts w:ascii="Aptos" w:hAnsi="Aptos"/>
                <w:b w:val="0"/>
                <w:i w:val="0"/>
                <w:color w:val="1C2737"/>
                <w:sz w:val="18"/>
              </w:rPr>
              <w:t>no direct penalty</w:t>
            </w:r>
          </w:p>
        </w:tc>
      </w:tr>
      <w:tr>
        <w:tc>
          <w:tcPr>
            <w:tcW w:type="dxa" w:w="1296"/>
            <w:tcMar>
              <w:top w:w="90" w:type="dxa"/>
              <w:start w:w="100" w:type="dxa"/>
              <w:bottom w:w="90" w:type="dxa"/>
              <w:end w:w="100" w:type="dxa"/>
            </w:tcMar>
            <w:vAlign w:val="center"/>
          </w:tcPr>
          <w:p>
            <w:pPr>
              <w:spacing w:after="80" w:before="0" w:line="276" w:lineRule="auto"/>
              <w:jc w:val="center"/>
            </w:pPr>
            <w:r>
              <w:rPr>
                <w:rFonts w:ascii="Aptos" w:hAnsi="Aptos"/>
                <w:b/>
                <w:i w:val="0"/>
                <w:color w:val="1C2737"/>
                <w:sz w:val="19"/>
              </w:rPr>
              <w:t>S2</w:t>
            </w:r>
          </w:p>
        </w:tc>
        <w:tc>
          <w:tcPr>
            <w:tcW w:type="dxa" w:w="1872"/>
            <w:tcMar>
              <w:top w:w="90" w:type="dxa"/>
              <w:start w:w="100" w:type="dxa"/>
              <w:bottom w:w="90" w:type="dxa"/>
              <w:end w:w="100" w:type="dxa"/>
            </w:tcMar>
            <w:vAlign w:val="center"/>
          </w:tcPr>
          <w:p>
            <w:pPr>
              <w:spacing w:after="80" w:before="0" w:line="276" w:lineRule="auto"/>
            </w:pPr>
            <w:r>
              <w:rPr>
                <w:rFonts w:ascii="Aptos" w:hAnsi="Aptos"/>
                <w:b w:val="0"/>
                <w:i w:val="0"/>
                <w:color w:val="1C2737"/>
                <w:sz w:val="18"/>
              </w:rPr>
              <w:t>cycle confirmed</w:t>
            </w:r>
          </w:p>
        </w:tc>
        <w:tc>
          <w:tcPr>
            <w:tcW w:type="dxa" w:w="3744"/>
            <w:tcMar>
              <w:top w:w="90" w:type="dxa"/>
              <w:start w:w="100" w:type="dxa"/>
              <w:bottom w:w="90" w:type="dxa"/>
              <w:end w:w="100" w:type="dxa"/>
            </w:tcMar>
            <w:vAlign w:val="center"/>
          </w:tcPr>
          <w:p>
            <w:pPr>
              <w:spacing w:after="80" w:before="0" w:line="276" w:lineRule="auto"/>
            </w:pPr>
            <w:r>
              <w:rPr>
                <w:rFonts w:ascii="Aptos" w:hAnsi="Aptos"/>
                <w:b w:val="0"/>
                <w:i w:val="0"/>
                <w:color w:val="1C2737"/>
                <w:sz w:val="18"/>
              </w:rPr>
              <w:t>pair write-back opens</w:t>
            </w:r>
          </w:p>
        </w:tc>
        <w:tc>
          <w:tcPr>
            <w:tcW w:type="dxa" w:w="3168"/>
            <w:tcMar>
              <w:top w:w="90" w:type="dxa"/>
              <w:start w:w="100" w:type="dxa"/>
              <w:bottom w:w="90" w:type="dxa"/>
              <w:end w:w="100" w:type="dxa"/>
            </w:tcMar>
            <w:vAlign w:val="center"/>
          </w:tcPr>
          <w:p>
            <w:pPr>
              <w:spacing w:after="80" w:before="0" w:line="276" w:lineRule="auto"/>
            </w:pPr>
            <w:r>
              <w:rPr>
                <w:rFonts w:ascii="Aptos" w:hAnsi="Aptos"/>
                <w:b w:val="0"/>
                <w:i w:val="0"/>
                <w:color w:val="1C2737"/>
                <w:sz w:val="18"/>
              </w:rPr>
              <w:t>small reciprocity drag</w:t>
            </w:r>
          </w:p>
        </w:tc>
      </w:tr>
      <w:tr>
        <w:tc>
          <w:tcPr>
            <w:tcW w:type="dxa" w:w="1296"/>
            <w:tcMar>
              <w:top w:w="90" w:type="dxa"/>
              <w:start w:w="100" w:type="dxa"/>
              <w:bottom w:w="90" w:type="dxa"/>
              <w:end w:w="100" w:type="dxa"/>
            </w:tcMar>
            <w:vAlign w:val="center"/>
          </w:tcPr>
          <w:p>
            <w:pPr>
              <w:spacing w:after="80" w:before="0" w:line="276" w:lineRule="auto"/>
              <w:jc w:val="center"/>
            </w:pPr>
            <w:r>
              <w:rPr>
                <w:rFonts w:ascii="Aptos" w:hAnsi="Aptos"/>
                <w:b/>
                <w:i w:val="0"/>
                <w:color w:val="1C2737"/>
                <w:sz w:val="19"/>
              </w:rPr>
              <w:t>S3</w:t>
            </w:r>
          </w:p>
        </w:tc>
        <w:tc>
          <w:tcPr>
            <w:tcW w:type="dxa" w:w="1872"/>
            <w:tcMar>
              <w:top w:w="90" w:type="dxa"/>
              <w:start w:w="100" w:type="dxa"/>
              <w:bottom w:w="90" w:type="dxa"/>
              <w:end w:w="100" w:type="dxa"/>
            </w:tcMar>
            <w:vAlign w:val="center"/>
          </w:tcPr>
          <w:p>
            <w:pPr>
              <w:spacing w:after="80" w:before="0" w:line="276" w:lineRule="auto"/>
            </w:pPr>
            <w:r>
              <w:rPr>
                <w:rFonts w:ascii="Aptos" w:hAnsi="Aptos"/>
                <w:b w:val="0"/>
                <w:i w:val="0"/>
                <w:color w:val="1C2737"/>
                <w:sz w:val="18"/>
              </w:rPr>
              <w:t>active cycle</w:t>
            </w:r>
          </w:p>
        </w:tc>
        <w:tc>
          <w:tcPr>
            <w:tcW w:type="dxa" w:w="3744"/>
            <w:tcMar>
              <w:top w:w="90" w:type="dxa"/>
              <w:start w:w="100" w:type="dxa"/>
              <w:bottom w:w="90" w:type="dxa"/>
              <w:end w:w="100" w:type="dxa"/>
            </w:tcMar>
            <w:vAlign w:val="center"/>
          </w:tcPr>
          <w:p>
            <w:pPr>
              <w:spacing w:after="80" w:before="0" w:line="276" w:lineRule="auto"/>
            </w:pPr>
            <w:r>
              <w:rPr>
                <w:rFonts w:ascii="Aptos" w:hAnsi="Aptos"/>
                <w:b w:val="0"/>
                <w:i w:val="0"/>
                <w:color w:val="1C2737"/>
                <w:sz w:val="18"/>
              </w:rPr>
              <w:t>persistent pair state; mirrored user traces</w:t>
            </w:r>
          </w:p>
        </w:tc>
        <w:tc>
          <w:tcPr>
            <w:tcW w:type="dxa" w:w="3168"/>
            <w:tcMar>
              <w:top w:w="90" w:type="dxa"/>
              <w:start w:w="100" w:type="dxa"/>
              <w:bottom w:w="90" w:type="dxa"/>
              <w:end w:w="100" w:type="dxa"/>
            </w:tcMar>
            <w:vAlign w:val="center"/>
          </w:tcPr>
          <w:p>
            <w:pPr>
              <w:spacing w:after="80" w:before="0" w:line="276" w:lineRule="auto"/>
            </w:pPr>
            <w:r>
              <w:rPr>
                <w:rFonts w:ascii="Aptos" w:hAnsi="Aptos"/>
                <w:b w:val="0"/>
                <w:i w:val="0"/>
                <w:color w:val="1C2737"/>
                <w:sz w:val="18"/>
              </w:rPr>
              <w:t>moderate pair stability penalty</w:t>
            </w:r>
          </w:p>
        </w:tc>
      </w:tr>
      <w:tr>
        <w:tc>
          <w:tcPr>
            <w:tcW w:type="dxa" w:w="1296"/>
            <w:tcMar>
              <w:top w:w="90" w:type="dxa"/>
              <w:start w:w="100" w:type="dxa"/>
              <w:bottom w:w="90" w:type="dxa"/>
              <w:end w:w="100" w:type="dxa"/>
            </w:tcMar>
            <w:vAlign w:val="center"/>
          </w:tcPr>
          <w:p>
            <w:pPr>
              <w:spacing w:after="80" w:before="0" w:line="276" w:lineRule="auto"/>
              <w:jc w:val="center"/>
            </w:pPr>
            <w:r>
              <w:rPr>
                <w:rFonts w:ascii="Aptos" w:hAnsi="Aptos"/>
                <w:b/>
                <w:i w:val="0"/>
                <w:color w:val="1C2737"/>
                <w:sz w:val="19"/>
              </w:rPr>
              <w:t>S4</w:t>
            </w:r>
          </w:p>
        </w:tc>
        <w:tc>
          <w:tcPr>
            <w:tcW w:type="dxa" w:w="1872"/>
            <w:tcMar>
              <w:top w:w="90" w:type="dxa"/>
              <w:start w:w="100" w:type="dxa"/>
              <w:bottom w:w="90" w:type="dxa"/>
              <w:end w:w="100" w:type="dxa"/>
            </w:tcMar>
            <w:vAlign w:val="center"/>
          </w:tcPr>
          <w:p>
            <w:pPr>
              <w:spacing w:after="80" w:before="0" w:line="276" w:lineRule="auto"/>
            </w:pPr>
            <w:r>
              <w:rPr>
                <w:rFonts w:ascii="Aptos" w:hAnsi="Aptos"/>
                <w:b w:val="0"/>
                <w:i w:val="0"/>
                <w:color w:val="1C2737"/>
                <w:sz w:val="18"/>
              </w:rPr>
              <w:t>chronic hot-cold instability</w:t>
            </w:r>
          </w:p>
        </w:tc>
        <w:tc>
          <w:tcPr>
            <w:tcW w:type="dxa" w:w="3744"/>
            <w:tcMar>
              <w:top w:w="90" w:type="dxa"/>
              <w:start w:w="100" w:type="dxa"/>
              <w:bottom w:w="90" w:type="dxa"/>
              <w:end w:w="100" w:type="dxa"/>
            </w:tcMar>
            <w:vAlign w:val="center"/>
          </w:tcPr>
          <w:p>
            <w:pPr>
              <w:spacing w:after="80" w:before="0" w:line="276" w:lineRule="auto"/>
            </w:pPr>
            <w:r>
              <w:rPr>
                <w:rFonts w:ascii="Aptos" w:hAnsi="Aptos"/>
                <w:b w:val="0"/>
                <w:i w:val="0"/>
                <w:color w:val="1C2737"/>
                <w:sz w:val="18"/>
              </w:rPr>
              <w:t>persistent guarded pair state</w:t>
            </w:r>
          </w:p>
        </w:tc>
        <w:tc>
          <w:tcPr>
            <w:tcW w:type="dxa" w:w="3168"/>
            <w:tcMar>
              <w:top w:w="90" w:type="dxa"/>
              <w:start w:w="100" w:type="dxa"/>
              <w:bottom w:w="90" w:type="dxa"/>
              <w:end w:w="100" w:type="dxa"/>
            </w:tcMar>
            <w:vAlign w:val="center"/>
          </w:tcPr>
          <w:p>
            <w:pPr>
              <w:spacing w:after="80" w:before="0" w:line="276" w:lineRule="auto"/>
            </w:pPr>
            <w:r>
              <w:rPr>
                <w:rFonts w:ascii="Aptos" w:hAnsi="Aptos"/>
                <w:b w:val="0"/>
                <w:i w:val="0"/>
                <w:color w:val="1C2737"/>
                <w:sz w:val="18"/>
              </w:rPr>
              <w:t>strong rupture-risk lift</w:t>
            </w:r>
          </w:p>
        </w:tc>
      </w:tr>
      <w:tr>
        <w:tc>
          <w:tcPr>
            <w:tcW w:type="dxa" w:w="1296"/>
            <w:tcMar>
              <w:top w:w="90" w:type="dxa"/>
              <w:start w:w="100" w:type="dxa"/>
              <w:bottom w:w="90" w:type="dxa"/>
              <w:end w:w="100" w:type="dxa"/>
            </w:tcMar>
            <w:vAlign w:val="center"/>
          </w:tcPr>
          <w:p>
            <w:pPr>
              <w:spacing w:after="80" w:before="0" w:line="276" w:lineRule="auto"/>
              <w:jc w:val="center"/>
            </w:pPr>
            <w:r>
              <w:rPr>
                <w:rFonts w:ascii="Aptos" w:hAnsi="Aptos"/>
                <w:b/>
                <w:i w:val="0"/>
                <w:color w:val="1C2737"/>
                <w:sz w:val="19"/>
              </w:rPr>
              <w:t>S5</w:t>
            </w:r>
          </w:p>
        </w:tc>
        <w:tc>
          <w:tcPr>
            <w:tcW w:type="dxa" w:w="1872"/>
            <w:tcMar>
              <w:top w:w="90" w:type="dxa"/>
              <w:start w:w="100" w:type="dxa"/>
              <w:bottom w:w="90" w:type="dxa"/>
              <w:end w:w="100" w:type="dxa"/>
            </w:tcMar>
            <w:vAlign w:val="center"/>
          </w:tcPr>
          <w:p>
            <w:pPr>
              <w:spacing w:after="80" w:before="0" w:line="276" w:lineRule="auto"/>
            </w:pPr>
            <w:r>
              <w:rPr>
                <w:rFonts w:ascii="Aptos" w:hAnsi="Aptos"/>
                <w:b w:val="0"/>
                <w:i w:val="0"/>
                <w:color w:val="1C2737"/>
                <w:sz w:val="18"/>
              </w:rPr>
              <w:t>entrenched destabilizer</w:t>
            </w:r>
          </w:p>
        </w:tc>
        <w:tc>
          <w:tcPr>
            <w:tcW w:type="dxa" w:w="3744"/>
            <w:tcMar>
              <w:top w:w="90" w:type="dxa"/>
              <w:start w:w="100" w:type="dxa"/>
              <w:bottom w:w="90" w:type="dxa"/>
              <w:end w:w="100" w:type="dxa"/>
            </w:tcMar>
            <w:vAlign w:val="center"/>
          </w:tcPr>
          <w:p>
            <w:pPr>
              <w:spacing w:after="80" w:before="0" w:line="276" w:lineRule="auto"/>
            </w:pPr>
            <w:r>
              <w:rPr>
                <w:rFonts w:ascii="Aptos" w:hAnsi="Aptos"/>
                <w:b w:val="0"/>
                <w:i w:val="0"/>
                <w:color w:val="1C2737"/>
                <w:sz w:val="18"/>
              </w:rPr>
              <w:t>persistent high-risk pair state</w:t>
            </w:r>
          </w:p>
        </w:tc>
        <w:tc>
          <w:tcPr>
            <w:tcW w:type="dxa" w:w="3168"/>
            <w:tcMar>
              <w:top w:w="90" w:type="dxa"/>
              <w:start w:w="100" w:type="dxa"/>
              <w:bottom w:w="90" w:type="dxa"/>
              <w:end w:w="100" w:type="dxa"/>
            </w:tcMar>
            <w:vAlign w:val="center"/>
          </w:tcPr>
          <w:p>
            <w:pPr>
              <w:spacing w:after="80" w:before="0" w:line="276" w:lineRule="auto"/>
            </w:pPr>
            <w:r>
              <w:rPr>
                <w:rFonts w:ascii="Aptos" w:hAnsi="Aptos"/>
                <w:b w:val="0"/>
                <w:i w:val="0"/>
                <w:color w:val="1C2737"/>
                <w:sz w:val="18"/>
              </w:rPr>
              <w:t>suppression / safety escalation</w:t>
            </w:r>
          </w:p>
        </w:tc>
      </w:tr>
    </w:tbl>
    <w:p/>
    <w:tbl>
      <w:tblPr>
        <w:tblW w:type="auto" w:w="0"/>
        <w:jc w:val="center"/>
        <w:tblLayout w:type="fixed"/>
        <w:tblLook w:firstColumn="1" w:firstRow="1" w:lastColumn="0" w:lastRow="0" w:noHBand="0" w:noVBand="1" w:val="04A0"/>
        <w:tblBorders>
          <w:top w:val="single" w:sz="8" w:space="0" w:color="C7D0DA"/>
          <w:left w:val="single" w:sz="8" w:space="0" w:color="C7D0DA"/>
          <w:bottom w:val="single" w:sz="8" w:space="0" w:color="C7D0DA"/>
          <w:right w:val="single" w:sz="8" w:space="0" w:color="C7D0DA"/>
          <w:insideH w:val="single" w:sz="8" w:space="0" w:color="C7D0DA"/>
          <w:insideV w:val="single" w:sz="8" w:space="0" w:color="C7D0DA"/>
        </w:tblBorders>
      </w:tblPr>
      <w:tblGrid>
        <w:gridCol w:w="4968"/>
        <w:gridCol w:w="4968"/>
      </w:tblGrid>
      <w:tr>
        <w:tc>
          <w:tcPr>
            <w:tcW w:type="dxa" w:w="2592"/>
            <w:tcMar>
              <w:top w:w="80" w:type="dxa"/>
              <w:start w:w="90" w:type="dxa"/>
              <w:bottom w:w="80" w:type="dxa"/>
              <w:end w:w="90" w:type="dxa"/>
            </w:tcMar>
            <w:shd w:fill="DDEAF7"/>
          </w:tcPr>
          <w:p>
            <w:pPr>
              <w:spacing w:after="80" w:before="0" w:line="276" w:lineRule="auto"/>
              <w:jc w:val="center"/>
            </w:pPr>
            <w:r>
              <w:rPr>
                <w:rFonts w:ascii="Aptos" w:hAnsi="Aptos"/>
                <w:b/>
                <w:i w:val="0"/>
                <w:color w:val="1C2737"/>
                <w:sz w:val="18"/>
              </w:rPr>
              <w:t>Area</w:t>
            </w:r>
          </w:p>
        </w:tc>
        <w:tc>
          <w:tcPr>
            <w:tcW w:type="dxa" w:w="7776"/>
            <w:tcMar>
              <w:top w:w="80" w:type="dxa"/>
              <w:start w:w="90" w:type="dxa"/>
              <w:bottom w:w="80" w:type="dxa"/>
              <w:end w:w="90" w:type="dxa"/>
            </w:tcMar>
            <w:shd w:fill="DDEAF7"/>
          </w:tcPr>
          <w:p>
            <w:pPr>
              <w:spacing w:after="80" w:before="0" w:line="276" w:lineRule="auto"/>
              <w:jc w:val="center"/>
            </w:pPr>
            <w:r>
              <w:rPr>
                <w:rFonts w:ascii="Aptos" w:hAnsi="Aptos"/>
                <w:b/>
                <w:i w:val="0"/>
                <w:color w:val="1C2737"/>
                <w:sz w:val="18"/>
              </w:rPr>
              <w:t>Rule</w:t>
            </w:r>
          </w:p>
        </w:tc>
      </w:tr>
      <w:tr>
        <w:tc>
          <w:tcPr>
            <w:tcW w:type="dxa" w:w="2592"/>
            <w:tcMar>
              <w:top w:w="80" w:type="dxa"/>
              <w:start w:w="90" w:type="dxa"/>
              <w:bottom w:w="80" w:type="dxa"/>
              <w:end w:w="90" w:type="dxa"/>
            </w:tcMar>
            <w:vAlign w:val="center"/>
          </w:tcPr>
          <w:p>
            <w:pPr>
              <w:spacing w:after="80" w:before="0" w:line="276" w:lineRule="auto"/>
              <w:jc w:val="center"/>
            </w:pPr>
            <w:r>
              <w:rPr>
                <w:rFonts w:ascii="Aptos" w:hAnsi="Aptos"/>
                <w:b/>
                <w:i w:val="0"/>
                <w:color w:val="1C2737"/>
                <w:sz w:val="18"/>
              </w:rPr>
              <w:t>Write-back</w:t>
            </w:r>
          </w:p>
        </w:tc>
        <w:tc>
          <w:tcPr>
            <w:tcW w:type="dxa" w:w="7776"/>
            <w:tcMar>
              <w:top w:w="80" w:type="dxa"/>
              <w:start w:w="90" w:type="dxa"/>
              <w:bottom w:w="80" w:type="dxa"/>
              <w:end w:w="90" w:type="dxa"/>
            </w:tcMar>
            <w:vAlign w:val="center"/>
          </w:tcPr>
          <w:p>
            <w:pPr>
              <w:spacing w:after="80" w:before="0" w:line="276" w:lineRule="auto"/>
            </w:pPr>
            <w:r>
              <w:rPr>
                <w:rFonts w:ascii="Aptos" w:hAnsi="Aptos"/>
                <w:b w:val="0"/>
                <w:i w:val="0"/>
                <w:color w:val="1C2737"/>
                <w:sz w:val="18"/>
              </w:rPr>
              <w:t>Store swing count, cadence variance, response asymmetry, overlapping user clusters, and the most recent reinforcing event block. Do not attribute blame in storage; use pattern-state language.</w:t>
            </w:r>
          </w:p>
        </w:tc>
      </w:tr>
      <w:tr>
        <w:tc>
          <w:tcPr>
            <w:tcW w:type="dxa" w:w="2592"/>
            <w:tcMar>
              <w:top w:w="80" w:type="dxa"/>
              <w:start w:w="90" w:type="dxa"/>
              <w:bottom w:w="80" w:type="dxa"/>
              <w:end w:w="90" w:type="dxa"/>
            </w:tcMar>
            <w:vAlign w:val="center"/>
          </w:tcPr>
          <w:p>
            <w:pPr>
              <w:spacing w:after="80" w:before="0" w:line="276" w:lineRule="auto"/>
              <w:jc w:val="center"/>
            </w:pPr>
            <w:r>
              <w:rPr>
                <w:rFonts w:ascii="Aptos" w:hAnsi="Aptos"/>
                <w:b/>
                <w:i w:val="0"/>
                <w:color w:val="1C2737"/>
                <w:sz w:val="18"/>
              </w:rPr>
              <w:t>Decay / clear</w:t>
            </w:r>
          </w:p>
        </w:tc>
        <w:tc>
          <w:tcPr>
            <w:tcW w:type="dxa" w:w="7776"/>
            <w:tcMar>
              <w:top w:w="80" w:type="dxa"/>
              <w:start w:w="90" w:type="dxa"/>
              <w:bottom w:w="80" w:type="dxa"/>
              <w:end w:w="90" w:type="dxa"/>
            </w:tcMar>
            <w:vAlign w:val="center"/>
          </w:tcPr>
          <w:p>
            <w:pPr>
              <w:spacing w:after="80" w:before="0" w:line="276" w:lineRule="auto"/>
            </w:pPr>
            <w:r>
              <w:rPr>
                <w:rFonts w:ascii="Aptos" w:hAnsi="Aptos"/>
                <w:b w:val="0"/>
                <w:i w:val="0"/>
                <w:color w:val="1C2737"/>
                <w:sz w:val="18"/>
              </w:rPr>
              <w:t>Requires at least 21 days of steadier reciprocity plus one successful repair or one stable progression marker. Clear after 60 stable days or two qualified stable windows, whichever is stricter.</w:t>
            </w:r>
          </w:p>
        </w:tc>
      </w:tr>
      <w:tr>
        <w:tc>
          <w:tcPr>
            <w:tcW w:type="dxa" w:w="2592"/>
            <w:tcMar>
              <w:top w:w="80" w:type="dxa"/>
              <w:start w:w="90" w:type="dxa"/>
              <w:bottom w:w="80" w:type="dxa"/>
              <w:end w:w="90" w:type="dxa"/>
            </w:tcMar>
            <w:vAlign w:val="center"/>
          </w:tcPr>
          <w:p>
            <w:pPr>
              <w:spacing w:after="80" w:before="0" w:line="276" w:lineRule="auto"/>
              <w:jc w:val="center"/>
            </w:pPr>
            <w:r>
              <w:rPr>
                <w:rFonts w:ascii="Aptos" w:hAnsi="Aptos"/>
                <w:b/>
                <w:i w:val="0"/>
                <w:color w:val="1C2737"/>
                <w:sz w:val="18"/>
              </w:rPr>
              <w:t>Readiness effect</w:t>
            </w:r>
          </w:p>
        </w:tc>
        <w:tc>
          <w:tcPr>
            <w:tcW w:type="dxa" w:w="7776"/>
            <w:tcMar>
              <w:top w:w="80" w:type="dxa"/>
              <w:start w:w="90" w:type="dxa"/>
              <w:bottom w:w="80" w:type="dxa"/>
              <w:end w:w="90" w:type="dxa"/>
            </w:tcMar>
            <w:vAlign w:val="center"/>
          </w:tcPr>
          <w:p>
            <w:pPr>
              <w:spacing w:after="80" w:before="0" w:line="276" w:lineRule="auto"/>
            </w:pPr>
            <w:r>
              <w:rPr>
                <w:rFonts w:ascii="Aptos" w:hAnsi="Aptos"/>
                <w:b w:val="0"/>
                <w:i w:val="0"/>
                <w:color w:val="1C2737"/>
                <w:sz w:val="18"/>
              </w:rPr>
              <w:t>Usually indirect. Push-Pull alone should not heavily lower an individual score unless mirrored user traces show that one user is repeatedly generating the cycle.</w:t>
            </w:r>
          </w:p>
        </w:tc>
      </w:tr>
      <w:tr>
        <w:tc>
          <w:tcPr>
            <w:tcW w:type="dxa" w:w="2592"/>
            <w:tcMar>
              <w:top w:w="80" w:type="dxa"/>
              <w:start w:w="90" w:type="dxa"/>
              <w:bottom w:w="80" w:type="dxa"/>
              <w:end w:w="90" w:type="dxa"/>
            </w:tcMar>
            <w:vAlign w:val="center"/>
          </w:tcPr>
          <w:p>
            <w:pPr>
              <w:spacing w:after="80" w:before="0" w:line="276" w:lineRule="auto"/>
              <w:jc w:val="center"/>
            </w:pPr>
            <w:r>
              <w:rPr>
                <w:rFonts w:ascii="Aptos" w:hAnsi="Aptos"/>
                <w:b/>
                <w:i w:val="0"/>
                <w:color w:val="1C2737"/>
                <w:sz w:val="18"/>
              </w:rPr>
              <w:t>Forecast effect</w:t>
            </w:r>
          </w:p>
        </w:tc>
        <w:tc>
          <w:tcPr>
            <w:tcW w:type="dxa" w:w="7776"/>
            <w:tcMar>
              <w:top w:w="80" w:type="dxa"/>
              <w:start w:w="90" w:type="dxa"/>
              <w:bottom w:w="80" w:type="dxa"/>
              <w:end w:w="90" w:type="dxa"/>
            </w:tcMar>
            <w:vAlign w:val="center"/>
          </w:tcPr>
          <w:p>
            <w:pPr>
              <w:spacing w:after="80" w:before="0" w:line="276" w:lineRule="auto"/>
            </w:pPr>
            <w:r>
              <w:rPr>
                <w:rFonts w:ascii="Aptos" w:hAnsi="Aptos"/>
                <w:b w:val="0"/>
                <w:i w:val="0"/>
                <w:color w:val="1C2737"/>
                <w:sz w:val="18"/>
              </w:rPr>
              <w:t>Strong forecast relevance. S3-S5 materially lower pair stability and can raise rupture risk. This cluster should often co-travel with Repair Gap when the cycle never stabilizes after conflict.</w:t>
            </w:r>
          </w:p>
        </w:tc>
      </w:tr>
      <w:tr>
        <w:tc>
          <w:tcPr>
            <w:tcW w:type="dxa" w:w="2592"/>
            <w:tcMar>
              <w:top w:w="80" w:type="dxa"/>
              <w:start w:w="90" w:type="dxa"/>
              <w:bottom w:w="80" w:type="dxa"/>
              <w:end w:w="90" w:type="dxa"/>
            </w:tcMar>
            <w:vAlign w:val="center"/>
          </w:tcPr>
          <w:p>
            <w:pPr>
              <w:spacing w:after="80" w:before="0" w:line="276" w:lineRule="auto"/>
              <w:jc w:val="center"/>
            </w:pPr>
            <w:r>
              <w:rPr>
                <w:rFonts w:ascii="Aptos" w:hAnsi="Aptos"/>
                <w:b/>
                <w:i w:val="0"/>
                <w:color w:val="1C2737"/>
                <w:sz w:val="18"/>
              </w:rPr>
              <w:t>Drift interlock</w:t>
            </w:r>
          </w:p>
        </w:tc>
        <w:tc>
          <w:tcPr>
            <w:tcW w:type="dxa" w:w="7776"/>
            <w:tcMar>
              <w:top w:w="80" w:type="dxa"/>
              <w:start w:w="90" w:type="dxa"/>
              <w:bottom w:w="80" w:type="dxa"/>
              <w:end w:w="90" w:type="dxa"/>
            </w:tcMar>
            <w:vAlign w:val="center"/>
          </w:tcPr>
          <w:p>
            <w:pPr>
              <w:spacing w:after="80" w:before="0" w:line="276" w:lineRule="auto"/>
            </w:pPr>
            <w:r>
              <w:rPr>
                <w:rFonts w:ascii="Aptos" w:hAnsi="Aptos"/>
                <w:b w:val="0"/>
                <w:i w:val="0"/>
                <w:color w:val="1C2737"/>
                <w:sz w:val="18"/>
              </w:rPr>
              <w:t>Repeated Push-Pull can mature into Slow Drift if the net direction is gradual deterioration rather than volatile repetition. Keep the two clusters distinct in storage even when they co-occur.</w:t>
            </w:r>
          </w:p>
        </w:tc>
      </w:tr>
      <w:tr>
        <w:tc>
          <w:tcPr>
            <w:tcW w:type="dxa" w:w="2592"/>
            <w:tcMar>
              <w:top w:w="80" w:type="dxa"/>
              <w:start w:w="90" w:type="dxa"/>
              <w:bottom w:w="80" w:type="dxa"/>
              <w:end w:w="90" w:type="dxa"/>
            </w:tcMar>
            <w:vAlign w:val="center"/>
          </w:tcPr>
          <w:p>
            <w:pPr>
              <w:spacing w:after="80" w:before="0" w:line="276" w:lineRule="auto"/>
              <w:jc w:val="center"/>
            </w:pPr>
            <w:r>
              <w:rPr>
                <w:rFonts w:ascii="Aptos" w:hAnsi="Aptos"/>
                <w:b/>
                <w:i w:val="0"/>
                <w:color w:val="1C2737"/>
                <w:sz w:val="18"/>
              </w:rPr>
              <w:t>AI / Sanctuary use</w:t>
            </w:r>
          </w:p>
        </w:tc>
        <w:tc>
          <w:tcPr>
            <w:tcW w:type="dxa" w:w="7776"/>
            <w:tcMar>
              <w:top w:w="80" w:type="dxa"/>
              <w:start w:w="90" w:type="dxa"/>
              <w:bottom w:w="80" w:type="dxa"/>
              <w:end w:w="90" w:type="dxa"/>
            </w:tcMar>
            <w:vAlign w:val="center"/>
          </w:tcPr>
          <w:p>
            <w:pPr>
              <w:spacing w:after="80" w:before="0" w:line="276" w:lineRule="auto"/>
            </w:pPr>
            <w:r>
              <w:rPr>
                <w:rFonts w:ascii="Aptos" w:hAnsi="Aptos"/>
                <w:b w:val="0"/>
                <w:i w:val="0"/>
                <w:color w:val="1C2737"/>
                <w:sz w:val="18"/>
              </w:rPr>
              <w:t>AI can translate the cycle into pacing and reciprocity coaching, suggest slowing intensity jumps, and prompt users to stop outsourcing clarity to chemistry spikes.</w:t>
            </w:r>
          </w:p>
        </w:tc>
      </w:tr>
    </w:tbl>
    <w:p/>
    <w:tbl>
      <w:tblPr>
        <w:tblW w:type="auto" w:w="0"/>
        <w:jc w:val="center"/>
        <w:tblLayout w:type="fixed"/>
        <w:tblLook w:firstColumn="1" w:firstRow="1" w:lastColumn="0" w:lastRow="0" w:noHBand="0" w:noVBand="1" w:val="04A0"/>
        <w:tblBorders>
          <w:top w:val="single" w:sz="10" w:space="0" w:color="AFC2D5"/>
          <w:left w:val="single" w:sz="10" w:space="0" w:color="AFC2D5"/>
          <w:bottom w:val="single" w:sz="10" w:space="0" w:color="AFC2D5"/>
          <w:right w:val="single" w:sz="10" w:space="0" w:color="AFC2D5"/>
          <w:insideH w:val="single" w:sz="10" w:space="0" w:color="AFC2D5"/>
          <w:insideV w:val="single" w:sz="10" w:space="0" w:color="AFC2D5"/>
        </w:tblBorders>
      </w:tblPr>
      <w:tblGrid>
        <w:gridCol w:w="9936"/>
      </w:tblGrid>
      <w:tr>
        <w:tc>
          <w:tcPr>
            <w:tcW w:type="dxa" w:w="9936"/>
            <w:shd w:fill="F4F8FB"/>
            <w:tcMar>
              <w:top w:w="120" w:type="dxa"/>
              <w:start w:w="140" w:type="dxa"/>
              <w:bottom w:w="120" w:type="dxa"/>
              <w:end w:w="140" w:type="dxa"/>
            </w:tcMar>
          </w:tcPr>
          <w:p>
            <w:pPr>
              <w:spacing w:after="40" w:before="0" w:line="276" w:lineRule="auto"/>
            </w:pPr>
            <w:r>
              <w:rPr>
                <w:rFonts w:ascii="Aptos" w:hAnsi="Aptos"/>
                <w:b/>
                <w:i w:val="0"/>
                <w:color w:val="24528C"/>
                <w:sz w:val="21"/>
              </w:rPr>
              <w:t>QA examples to lock before production</w:t>
            </w:r>
          </w:p>
          <w:p>
            <w:pPr>
              <w:spacing w:after="0" w:before="0" w:line="276" w:lineRule="auto"/>
            </w:pPr>
            <w:r>
              <w:rPr>
                <w:rFonts w:ascii="Aptos" w:hAnsi="Aptos"/>
                <w:b w:val="0"/>
                <w:i w:val="0"/>
                <w:color w:val="1C2737"/>
                <w:sz w:val="20"/>
              </w:rPr>
              <w:t>Two cases must stay separate: flirtation with normal pacing variance should stay low. Repeated intensity-then-silence cycles that harm continuity should reach S3+. Also test mirrored-user fairness so one-sided blame is not inferred from incomplete data.</w:t>
            </w:r>
          </w:p>
        </w:tc>
      </w:tr>
    </w:tbl>
    <w:p/>
    <w:p>
      <w:r>
        <w:br w:type="page"/>
      </w:r>
    </w:p>
    <w:p>
      <w:pPr>
        <w:spacing w:before="200" w:after="40"/>
      </w:pPr>
      <w:r>
        <w:rPr>
          <w:b/>
          <w:color w:val="24528C"/>
          <w:sz w:val="28"/>
        </w:rPr>
        <w:t>CL-105 - Repair Gap</w:t>
      </w:r>
    </w:p>
    <w:tbl>
      <w:tblPr>
        <w:tblW w:type="auto" w:w="0"/>
        <w:jc w:val="center"/>
        <w:tblLayout w:type="fixed"/>
        <w:tblLook w:firstColumn="1" w:firstRow="1" w:lastColumn="0" w:lastRow="0" w:noHBand="0" w:noVBand="1" w:val="04A0"/>
        <w:tblBorders>
          <w:top w:val="single" w:sz="8" w:space="0" w:color="C7D0DA"/>
          <w:left w:val="single" w:sz="8" w:space="0" w:color="C7D0DA"/>
          <w:bottom w:val="single" w:sz="8" w:space="0" w:color="C7D0DA"/>
          <w:right w:val="single" w:sz="8" w:space="0" w:color="C7D0DA"/>
          <w:insideH w:val="single" w:sz="8" w:space="0" w:color="C7D0DA"/>
          <w:insideV w:val="single" w:sz="8" w:space="0" w:color="C7D0DA"/>
        </w:tblBorders>
      </w:tblPr>
      <w:tblGrid>
        <w:gridCol w:w="4968"/>
        <w:gridCol w:w="4968"/>
      </w:tblGrid>
      <w:tr>
        <w:tc>
          <w:tcPr>
            <w:tcW w:type="dxa" w:w="2592"/>
            <w:tcMar>
              <w:top w:w="80" w:type="dxa"/>
              <w:start w:w="90" w:type="dxa"/>
              <w:bottom w:w="80" w:type="dxa"/>
              <w:end w:w="90" w:type="dxa"/>
            </w:tcMar>
            <w:vAlign w:val="center"/>
            <w:shd w:fill="EAF1F8"/>
          </w:tcPr>
          <w:p>
            <w:pPr>
              <w:spacing w:after="80" w:before="0" w:line="276" w:lineRule="auto"/>
            </w:pPr>
            <w:r>
              <w:rPr>
                <w:rFonts w:ascii="Aptos" w:hAnsi="Aptos"/>
                <w:b/>
                <w:i w:val="0"/>
                <w:color w:val="1C2737"/>
                <w:sz w:val="20"/>
              </w:rPr>
              <w:t>Family</w:t>
            </w:r>
          </w:p>
        </w:tc>
        <w:tc>
          <w:tcPr>
            <w:tcW w:type="dxa" w:w="7056"/>
            <w:tcMar>
              <w:top w:w="80" w:type="dxa"/>
              <w:start w:w="90" w:type="dxa"/>
              <w:bottom w:w="80" w:type="dxa"/>
              <w:end w:w="90" w:type="dxa"/>
            </w:tcMar>
            <w:vAlign w:val="center"/>
          </w:tcPr>
          <w:p>
            <w:pPr>
              <w:spacing w:after="80" w:before="0" w:line="276" w:lineRule="auto"/>
            </w:pPr>
            <w:r>
              <w:rPr>
                <w:rFonts w:ascii="Aptos" w:hAnsi="Aptos"/>
                <w:b w:val="0"/>
                <w:i w:val="0"/>
                <w:color w:val="1C2737"/>
                <w:sz w:val="20"/>
              </w:rPr>
              <w:t>Repair failure / conflict recovery cluster</w:t>
            </w:r>
          </w:p>
        </w:tc>
      </w:tr>
      <w:tr>
        <w:tc>
          <w:tcPr>
            <w:tcW w:type="dxa" w:w="2592"/>
            <w:tcMar>
              <w:top w:w="80" w:type="dxa"/>
              <w:start w:w="90" w:type="dxa"/>
              <w:bottom w:w="80" w:type="dxa"/>
              <w:end w:w="90" w:type="dxa"/>
            </w:tcMar>
            <w:vAlign w:val="center"/>
            <w:shd w:fill="EAF1F8"/>
          </w:tcPr>
          <w:p>
            <w:pPr>
              <w:spacing w:after="80" w:before="0" w:line="276" w:lineRule="auto"/>
            </w:pPr>
            <w:r>
              <w:rPr>
                <w:rFonts w:ascii="Aptos" w:hAnsi="Aptos"/>
                <w:b/>
                <w:i w:val="0"/>
                <w:color w:val="1C2737"/>
                <w:sz w:val="20"/>
              </w:rPr>
              <w:t>Scope</w:t>
            </w:r>
          </w:p>
        </w:tc>
        <w:tc>
          <w:tcPr>
            <w:tcW w:type="dxa" w:w="7056"/>
            <w:tcMar>
              <w:top w:w="80" w:type="dxa"/>
              <w:start w:w="90" w:type="dxa"/>
              <w:bottom w:w="80" w:type="dxa"/>
              <w:end w:w="90" w:type="dxa"/>
            </w:tcMar>
            <w:vAlign w:val="center"/>
          </w:tcPr>
          <w:p>
            <w:pPr>
              <w:spacing w:after="80" w:before="0" w:line="276" w:lineRule="auto"/>
            </w:pPr>
            <w:r>
              <w:rPr>
                <w:rFonts w:ascii="Aptos" w:hAnsi="Aptos"/>
                <w:b w:val="0"/>
                <w:i w:val="0"/>
                <w:color w:val="1C2737"/>
                <w:sz w:val="20"/>
              </w:rPr>
              <w:t>Pair-state first, with user accountability traces when one side repeatedly avoids or collapses repair</w:t>
            </w:r>
          </w:p>
        </w:tc>
      </w:tr>
      <w:tr>
        <w:tc>
          <w:tcPr>
            <w:tcW w:type="dxa" w:w="2592"/>
            <w:tcMar>
              <w:top w:w="80" w:type="dxa"/>
              <w:start w:w="90" w:type="dxa"/>
              <w:bottom w:w="80" w:type="dxa"/>
              <w:end w:w="90" w:type="dxa"/>
            </w:tcMar>
            <w:vAlign w:val="center"/>
            <w:shd w:fill="EAF1F8"/>
          </w:tcPr>
          <w:p>
            <w:pPr>
              <w:spacing w:after="80" w:before="0" w:line="276" w:lineRule="auto"/>
            </w:pPr>
            <w:r>
              <w:rPr>
                <w:rFonts w:ascii="Aptos" w:hAnsi="Aptos"/>
                <w:b/>
                <w:i w:val="0"/>
                <w:color w:val="1C2737"/>
                <w:sz w:val="20"/>
              </w:rPr>
              <w:t>Purpose</w:t>
            </w:r>
          </w:p>
        </w:tc>
        <w:tc>
          <w:tcPr>
            <w:tcW w:type="dxa" w:w="7056"/>
            <w:tcMar>
              <w:top w:w="80" w:type="dxa"/>
              <w:start w:w="90" w:type="dxa"/>
              <w:bottom w:w="80" w:type="dxa"/>
              <w:end w:w="90" w:type="dxa"/>
            </w:tcMar>
            <w:vAlign w:val="center"/>
          </w:tcPr>
          <w:p>
            <w:pPr>
              <w:spacing w:after="80" w:before="0" w:line="276" w:lineRule="auto"/>
            </w:pPr>
            <w:r>
              <w:rPr>
                <w:rFonts w:ascii="Aptos" w:hAnsi="Aptos"/>
                <w:b w:val="0"/>
                <w:i w:val="0"/>
                <w:color w:val="1C2737"/>
                <w:sz w:val="20"/>
              </w:rPr>
              <w:t>Detect the difference between conflict itself and the inability or unwillingness to recover from it. The cluster is about what happens after rupture, not about having disagreements.</w:t>
            </w:r>
          </w:p>
        </w:tc>
      </w:tr>
      <w:tr>
        <w:tc>
          <w:tcPr>
            <w:tcW w:type="dxa" w:w="2592"/>
            <w:tcMar>
              <w:top w:w="80" w:type="dxa"/>
              <w:start w:w="90" w:type="dxa"/>
              <w:bottom w:w="80" w:type="dxa"/>
              <w:end w:w="90" w:type="dxa"/>
            </w:tcMar>
            <w:vAlign w:val="center"/>
            <w:shd w:fill="EAF1F8"/>
          </w:tcPr>
          <w:p>
            <w:pPr>
              <w:spacing w:after="80" w:before="0" w:line="276" w:lineRule="auto"/>
            </w:pPr>
            <w:r>
              <w:rPr>
                <w:rFonts w:ascii="Aptos" w:hAnsi="Aptos"/>
                <w:b/>
                <w:i w:val="0"/>
                <w:color w:val="1C2737"/>
                <w:sz w:val="20"/>
              </w:rPr>
              <w:t>Primary sources</w:t>
            </w:r>
          </w:p>
        </w:tc>
        <w:tc>
          <w:tcPr>
            <w:tcW w:type="dxa" w:w="7056"/>
            <w:tcMar>
              <w:top w:w="80" w:type="dxa"/>
              <w:start w:w="90" w:type="dxa"/>
              <w:bottom w:w="80" w:type="dxa"/>
              <w:end w:w="90" w:type="dxa"/>
            </w:tcMar>
            <w:vAlign w:val="center"/>
          </w:tcPr>
          <w:p>
            <w:pPr>
              <w:spacing w:after="80" w:before="0" w:line="276" w:lineRule="auto"/>
            </w:pPr>
            <w:r>
              <w:rPr>
                <w:rFonts w:ascii="Aptos" w:hAnsi="Aptos"/>
                <w:b w:val="0"/>
                <w:i w:val="0"/>
                <w:color w:val="1C2737"/>
                <w:sz w:val="20"/>
              </w:rPr>
              <w:t>Conflict events, apology follow-through, post-conflict latency, reflection completion, plan-to-repair adherence, repeated unresolved issue reopening, message and ritual recovery metrics.</w:t>
            </w:r>
          </w:p>
        </w:tc>
      </w:tr>
      <w:tr>
        <w:tc>
          <w:tcPr>
            <w:tcW w:type="dxa" w:w="2592"/>
            <w:tcMar>
              <w:top w:w="80" w:type="dxa"/>
              <w:start w:w="90" w:type="dxa"/>
              <w:bottom w:w="80" w:type="dxa"/>
              <w:end w:w="90" w:type="dxa"/>
            </w:tcMar>
            <w:vAlign w:val="center"/>
            <w:shd w:fill="EAF1F8"/>
          </w:tcPr>
          <w:p>
            <w:pPr>
              <w:spacing w:after="80" w:before="0" w:line="276" w:lineRule="auto"/>
            </w:pPr>
            <w:r>
              <w:rPr>
                <w:rFonts w:ascii="Aptos" w:hAnsi="Aptos"/>
                <w:b/>
                <w:i w:val="0"/>
                <w:color w:val="1C2737"/>
                <w:sz w:val="20"/>
              </w:rPr>
              <w:t>Default posture</w:t>
            </w:r>
          </w:p>
        </w:tc>
        <w:tc>
          <w:tcPr>
            <w:tcW w:type="dxa" w:w="7056"/>
            <w:tcMar>
              <w:top w:w="80" w:type="dxa"/>
              <w:start w:w="90" w:type="dxa"/>
              <w:bottom w:w="80" w:type="dxa"/>
              <w:end w:w="90" w:type="dxa"/>
            </w:tcMar>
            <w:vAlign w:val="center"/>
          </w:tcPr>
          <w:p>
            <w:pPr>
              <w:spacing w:after="80" w:before="0" w:line="276" w:lineRule="auto"/>
            </w:pPr>
            <w:r>
              <w:rPr>
                <w:rFonts w:ascii="Aptos" w:hAnsi="Aptos"/>
                <w:b w:val="0"/>
                <w:i w:val="0"/>
                <w:color w:val="1C2737"/>
                <w:sz w:val="20"/>
              </w:rPr>
              <w:t>High-value operational cluster because it predicts whether tension is survivable. Conflict without repair is expensive; conflict with repair can still be healthy.</w:t>
            </w:r>
          </w:p>
        </w:tc>
      </w:tr>
      <w:tr>
        <w:tc>
          <w:tcPr>
            <w:tcW w:type="dxa" w:w="2592"/>
            <w:tcMar>
              <w:top w:w="80" w:type="dxa"/>
              <w:start w:w="90" w:type="dxa"/>
              <w:bottom w:w="80" w:type="dxa"/>
              <w:end w:w="90" w:type="dxa"/>
            </w:tcMar>
            <w:vAlign w:val="center"/>
            <w:shd w:fill="EAF1F8"/>
          </w:tcPr>
          <w:p>
            <w:pPr>
              <w:spacing w:after="80" w:before="0" w:line="276" w:lineRule="auto"/>
            </w:pPr>
            <w:r>
              <w:rPr>
                <w:rFonts w:ascii="Aptos" w:hAnsi="Aptos"/>
                <w:b/>
                <w:i w:val="0"/>
                <w:color w:val="1C2737"/>
                <w:sz w:val="20"/>
              </w:rPr>
              <w:t>User exposure</w:t>
            </w:r>
          </w:p>
        </w:tc>
        <w:tc>
          <w:tcPr>
            <w:tcW w:type="dxa" w:w="7056"/>
            <w:tcMar>
              <w:top w:w="80" w:type="dxa"/>
              <w:start w:w="90" w:type="dxa"/>
              <w:bottom w:w="80" w:type="dxa"/>
              <w:end w:w="90" w:type="dxa"/>
            </w:tcMar>
            <w:vAlign w:val="center"/>
          </w:tcPr>
          <w:p>
            <w:pPr>
              <w:spacing w:after="80" w:before="0" w:line="276" w:lineRule="auto"/>
            </w:pPr>
            <w:r>
              <w:rPr>
                <w:rFonts w:ascii="Aptos" w:hAnsi="Aptos"/>
                <w:b w:val="0"/>
                <w:i w:val="0"/>
                <w:color w:val="1C2737"/>
                <w:sz w:val="20"/>
              </w:rPr>
              <w:t>User-facing language may say “repair strain”, “slow recovery”, or “unfinished conflict pattern”.</w:t>
            </w:r>
          </w:p>
        </w:tc>
      </w:tr>
    </w:tbl>
    <w:p/>
    <w:p>
      <w:pPr>
        <w:spacing w:after="60" w:before="0" w:line="276" w:lineRule="auto"/>
      </w:pPr>
      <w:r>
        <w:rPr>
          <w:rFonts w:ascii="Aptos" w:hAnsi="Aptos"/>
          <w:b/>
          <w:i w:val="0"/>
          <w:color w:val="1C2737"/>
          <w:sz w:val="23"/>
        </w:rPr>
        <w:t>Canonical detection logic</w:t>
      </w:r>
    </w:p>
    <w:p>
      <w:pPr>
        <w:pStyle w:val="ListBullet"/>
        <w:spacing w:after="60" w:before="0" w:line="276" w:lineRule="auto"/>
        <w:ind w:left="259"/>
      </w:pPr>
      <w:r>
        <w:rPr>
          <w:rFonts w:ascii="Aptos" w:hAnsi="Aptos"/>
          <w:b w:val="0"/>
          <w:i w:val="0"/>
          <w:color w:val="1C2737"/>
          <w:sz w:val="21"/>
        </w:rPr>
        <w:t>S1 opens when one conflict or rupture event lacks timely repair but evidence is sparse.</w:t>
      </w:r>
    </w:p>
    <w:p>
      <w:pPr>
        <w:pStyle w:val="ListBullet"/>
        <w:spacing w:after="60" w:before="0" w:line="276" w:lineRule="auto"/>
        <w:ind w:left="259"/>
      </w:pPr>
      <w:r>
        <w:rPr>
          <w:rFonts w:ascii="Aptos" w:hAnsi="Aptos"/>
          <w:b w:val="0"/>
          <w:i w:val="0"/>
          <w:color w:val="1C2737"/>
          <w:sz w:val="21"/>
        </w:rPr>
        <w:t>S2 requires two unresolved or poorly repaired events in the active window, or one significant rupture followed by no qualifying repair attempt.</w:t>
      </w:r>
    </w:p>
    <w:p>
      <w:pPr>
        <w:pStyle w:val="ListBullet"/>
        <w:spacing w:after="60" w:before="0" w:line="276" w:lineRule="auto"/>
        <w:ind w:left="259"/>
      </w:pPr>
      <w:r>
        <w:rPr>
          <w:rFonts w:ascii="Aptos" w:hAnsi="Aptos"/>
          <w:b w:val="0"/>
          <w:i w:val="0"/>
          <w:color w:val="1C2737"/>
          <w:sz w:val="21"/>
        </w:rPr>
        <w:t>S3 requires repeated repair failure, apology without follow-through, or unresolved tension that drags continuity and forecast quality.</w:t>
      </w:r>
    </w:p>
    <w:p>
      <w:pPr>
        <w:pStyle w:val="ListBullet"/>
        <w:spacing w:after="60" w:before="0" w:line="276" w:lineRule="auto"/>
        <w:ind w:left="259"/>
      </w:pPr>
      <w:r>
        <w:rPr>
          <w:rFonts w:ascii="Aptos" w:hAnsi="Aptos"/>
          <w:b w:val="0"/>
          <w:i w:val="0"/>
          <w:color w:val="1C2737"/>
          <w:sz w:val="21"/>
        </w:rPr>
        <w:t>S4 requires chronic recovery collapse, issue looping, or repeated rupture without functional repair participation.</w:t>
      </w:r>
    </w:p>
    <w:p>
      <w:pPr>
        <w:pStyle w:val="ListBullet"/>
        <w:spacing w:after="60" w:before="0" w:line="276" w:lineRule="auto"/>
        <w:ind w:left="259"/>
      </w:pPr>
      <w:r>
        <w:rPr>
          <w:rFonts w:ascii="Aptos" w:hAnsi="Aptos"/>
          <w:b w:val="0"/>
          <w:i w:val="0"/>
          <w:color w:val="1C2737"/>
          <w:sz w:val="21"/>
        </w:rPr>
        <w:t>S5 is reserved for persistent inability to recover that materially threatens connection survival and keeps rupture risk elevated.</w:t>
      </w:r>
    </w:p>
    <w:p>
      <w:pPr>
        <w:spacing w:after="60" w:before="0" w:line="276" w:lineRule="auto"/>
      </w:pPr>
      <w:r>
        <w:rPr>
          <w:rFonts w:ascii="Aptos" w:hAnsi="Aptos"/>
          <w:b/>
          <w:i w:val="0"/>
          <w:color w:val="1C2737"/>
          <w:sz w:val="23"/>
        </w:rPr>
        <w:t>Severity ladder for this cluster</w:t>
      </w:r>
    </w:p>
    <w:tbl>
      <w:tblPr>
        <w:tblW w:type="auto" w:w="0"/>
        <w:jc w:val="center"/>
        <w:tblLayout w:type="fixed"/>
        <w:tblLook w:firstColumn="1" w:firstRow="1" w:lastColumn="0" w:lastRow="0" w:noHBand="0" w:noVBand="1" w:val="04A0"/>
        <w:tblBorders>
          <w:top w:val="single" w:sz="8" w:space="0" w:color="C7D0DA"/>
          <w:left w:val="single" w:sz="8" w:space="0" w:color="C7D0DA"/>
          <w:bottom w:val="single" w:sz="8" w:space="0" w:color="C7D0DA"/>
          <w:right w:val="single" w:sz="8" w:space="0" w:color="C7D0DA"/>
          <w:insideH w:val="single" w:sz="8" w:space="0" w:color="C7D0DA"/>
          <w:insideV w:val="single" w:sz="8" w:space="0" w:color="C7D0DA"/>
        </w:tblBorders>
      </w:tblPr>
      <w:tblGrid>
        <w:gridCol w:w="2484"/>
        <w:gridCol w:w="2484"/>
        <w:gridCol w:w="2484"/>
        <w:gridCol w:w="2484"/>
      </w:tblGrid>
      <w:tr>
        <w:tc>
          <w:tcPr>
            <w:tcW w:type="dxa" w:w="1296"/>
            <w:tcMar>
              <w:top w:w="90" w:type="dxa"/>
              <w:start w:w="100" w:type="dxa"/>
              <w:bottom w:w="90" w:type="dxa"/>
              <w:end w:w="100" w:type="dxa"/>
            </w:tcMar>
            <w:shd w:fill="DDEAF7"/>
          </w:tcPr>
          <w:p>
            <w:pPr>
              <w:spacing w:after="80" w:before="0" w:line="276" w:lineRule="auto"/>
              <w:jc w:val="center"/>
            </w:pPr>
            <w:r>
              <w:rPr>
                <w:rFonts w:ascii="Aptos" w:hAnsi="Aptos"/>
                <w:b/>
                <w:i w:val="0"/>
                <w:color w:val="1C2737"/>
                <w:sz w:val="19"/>
              </w:rPr>
              <w:t>Lvl</w:t>
            </w:r>
          </w:p>
        </w:tc>
        <w:tc>
          <w:tcPr>
            <w:tcW w:type="dxa" w:w="1872"/>
            <w:tcMar>
              <w:top w:w="90" w:type="dxa"/>
              <w:start w:w="100" w:type="dxa"/>
              <w:bottom w:w="90" w:type="dxa"/>
              <w:end w:w="100" w:type="dxa"/>
            </w:tcMar>
            <w:shd w:fill="DDEAF7"/>
          </w:tcPr>
          <w:p>
            <w:pPr>
              <w:spacing w:after="80" w:before="0" w:line="276" w:lineRule="auto"/>
              <w:jc w:val="center"/>
            </w:pPr>
            <w:r>
              <w:rPr>
                <w:rFonts w:ascii="Aptos" w:hAnsi="Aptos"/>
                <w:b/>
                <w:i w:val="0"/>
                <w:color w:val="1C2737"/>
                <w:sz w:val="19"/>
              </w:rPr>
              <w:t>Trigger Posture</w:t>
            </w:r>
          </w:p>
        </w:tc>
        <w:tc>
          <w:tcPr>
            <w:tcW w:type="dxa" w:w="3744"/>
            <w:tcMar>
              <w:top w:w="90" w:type="dxa"/>
              <w:start w:w="100" w:type="dxa"/>
              <w:bottom w:w="90" w:type="dxa"/>
              <w:end w:w="100" w:type="dxa"/>
            </w:tcMar>
            <w:shd w:fill="DDEAF7"/>
          </w:tcPr>
          <w:p>
            <w:pPr>
              <w:spacing w:after="80" w:before="0" w:line="276" w:lineRule="auto"/>
              <w:jc w:val="center"/>
            </w:pPr>
            <w:r>
              <w:rPr>
                <w:rFonts w:ascii="Aptos" w:hAnsi="Aptos"/>
                <w:b/>
                <w:i w:val="0"/>
                <w:color w:val="1C2737"/>
                <w:sz w:val="19"/>
              </w:rPr>
              <w:t>Default Write-Back</w:t>
            </w:r>
          </w:p>
        </w:tc>
        <w:tc>
          <w:tcPr>
            <w:tcW w:type="dxa" w:w="3168"/>
            <w:tcMar>
              <w:top w:w="90" w:type="dxa"/>
              <w:start w:w="100" w:type="dxa"/>
              <w:bottom w:w="90" w:type="dxa"/>
              <w:end w:w="100" w:type="dxa"/>
            </w:tcMar>
            <w:shd w:fill="DDEAF7"/>
          </w:tcPr>
          <w:p>
            <w:pPr>
              <w:spacing w:after="80" w:before="0" w:line="276" w:lineRule="auto"/>
              <w:jc w:val="center"/>
            </w:pPr>
            <w:r>
              <w:rPr>
                <w:rFonts w:ascii="Aptos" w:hAnsi="Aptos"/>
                <w:b/>
                <w:i w:val="0"/>
                <w:color w:val="1C2737"/>
                <w:sz w:val="19"/>
              </w:rPr>
              <w:t>Primary Effect</w:t>
            </w:r>
          </w:p>
        </w:tc>
      </w:tr>
      <w:tr>
        <w:tc>
          <w:tcPr>
            <w:tcW w:type="dxa" w:w="1296"/>
            <w:tcMar>
              <w:top w:w="90" w:type="dxa"/>
              <w:start w:w="100" w:type="dxa"/>
              <w:bottom w:w="90" w:type="dxa"/>
              <w:end w:w="100" w:type="dxa"/>
            </w:tcMar>
            <w:vAlign w:val="center"/>
          </w:tcPr>
          <w:p>
            <w:pPr>
              <w:spacing w:after="80" w:before="0" w:line="276" w:lineRule="auto"/>
              <w:jc w:val="center"/>
            </w:pPr>
            <w:r>
              <w:rPr>
                <w:rFonts w:ascii="Aptos" w:hAnsi="Aptos"/>
                <w:b/>
                <w:i w:val="0"/>
                <w:color w:val="1C2737"/>
                <w:sz w:val="19"/>
              </w:rPr>
              <w:t>S1</w:t>
            </w:r>
          </w:p>
        </w:tc>
        <w:tc>
          <w:tcPr>
            <w:tcW w:type="dxa" w:w="1872"/>
            <w:tcMar>
              <w:top w:w="90" w:type="dxa"/>
              <w:start w:w="100" w:type="dxa"/>
              <w:bottom w:w="90" w:type="dxa"/>
              <w:end w:w="100" w:type="dxa"/>
            </w:tcMar>
            <w:vAlign w:val="center"/>
          </w:tcPr>
          <w:p>
            <w:pPr>
              <w:spacing w:after="80" w:before="0" w:line="276" w:lineRule="auto"/>
            </w:pPr>
            <w:r>
              <w:rPr>
                <w:rFonts w:ascii="Aptos" w:hAnsi="Aptos"/>
                <w:b w:val="0"/>
                <w:i w:val="0"/>
                <w:color w:val="1C2737"/>
                <w:sz w:val="18"/>
              </w:rPr>
              <w:t>single repair miss</w:t>
            </w:r>
          </w:p>
        </w:tc>
        <w:tc>
          <w:tcPr>
            <w:tcW w:type="dxa" w:w="3744"/>
            <w:tcMar>
              <w:top w:w="90" w:type="dxa"/>
              <w:start w:w="100" w:type="dxa"/>
              <w:bottom w:w="90" w:type="dxa"/>
              <w:end w:w="100" w:type="dxa"/>
            </w:tcMar>
            <w:vAlign w:val="center"/>
          </w:tcPr>
          <w:p>
            <w:pPr>
              <w:spacing w:after="80" w:before="0" w:line="276" w:lineRule="auto"/>
            </w:pPr>
            <w:r>
              <w:rPr>
                <w:rFonts w:ascii="Aptos" w:hAnsi="Aptos"/>
                <w:b w:val="0"/>
                <w:i w:val="0"/>
                <w:color w:val="1C2737"/>
                <w:sz w:val="18"/>
              </w:rPr>
              <w:t>watch trace</w:t>
            </w:r>
          </w:p>
        </w:tc>
        <w:tc>
          <w:tcPr>
            <w:tcW w:type="dxa" w:w="3168"/>
            <w:tcMar>
              <w:top w:w="90" w:type="dxa"/>
              <w:start w:w="100" w:type="dxa"/>
              <w:bottom w:w="90" w:type="dxa"/>
              <w:end w:w="100" w:type="dxa"/>
            </w:tcMar>
            <w:vAlign w:val="center"/>
          </w:tcPr>
          <w:p>
            <w:pPr>
              <w:spacing w:after="80" w:before="0" w:line="276" w:lineRule="auto"/>
            </w:pPr>
            <w:r>
              <w:rPr>
                <w:rFonts w:ascii="Aptos" w:hAnsi="Aptos"/>
                <w:b w:val="0"/>
                <w:i w:val="0"/>
                <w:color w:val="1C2737"/>
                <w:sz w:val="18"/>
              </w:rPr>
              <w:t>no major score move</w:t>
            </w:r>
          </w:p>
        </w:tc>
      </w:tr>
      <w:tr>
        <w:tc>
          <w:tcPr>
            <w:tcW w:type="dxa" w:w="1296"/>
            <w:tcMar>
              <w:top w:w="90" w:type="dxa"/>
              <w:start w:w="100" w:type="dxa"/>
              <w:bottom w:w="90" w:type="dxa"/>
              <w:end w:w="100" w:type="dxa"/>
            </w:tcMar>
            <w:vAlign w:val="center"/>
          </w:tcPr>
          <w:p>
            <w:pPr>
              <w:spacing w:after="80" w:before="0" w:line="276" w:lineRule="auto"/>
              <w:jc w:val="center"/>
            </w:pPr>
            <w:r>
              <w:rPr>
                <w:rFonts w:ascii="Aptos" w:hAnsi="Aptos"/>
                <w:b/>
                <w:i w:val="0"/>
                <w:color w:val="1C2737"/>
                <w:sz w:val="19"/>
              </w:rPr>
              <w:t>S2</w:t>
            </w:r>
          </w:p>
        </w:tc>
        <w:tc>
          <w:tcPr>
            <w:tcW w:type="dxa" w:w="1872"/>
            <w:tcMar>
              <w:top w:w="90" w:type="dxa"/>
              <w:start w:w="100" w:type="dxa"/>
              <w:bottom w:w="90" w:type="dxa"/>
              <w:end w:w="100" w:type="dxa"/>
            </w:tcMar>
            <w:vAlign w:val="center"/>
          </w:tcPr>
          <w:p>
            <w:pPr>
              <w:spacing w:after="80" w:before="0" w:line="276" w:lineRule="auto"/>
            </w:pPr>
            <w:r>
              <w:rPr>
                <w:rFonts w:ascii="Aptos" w:hAnsi="Aptos"/>
                <w:b w:val="0"/>
                <w:i w:val="0"/>
                <w:color w:val="1C2737"/>
                <w:sz w:val="18"/>
              </w:rPr>
              <w:t>repair pattern forming</w:t>
            </w:r>
          </w:p>
        </w:tc>
        <w:tc>
          <w:tcPr>
            <w:tcW w:type="dxa" w:w="3744"/>
            <w:tcMar>
              <w:top w:w="90" w:type="dxa"/>
              <w:start w:w="100" w:type="dxa"/>
              <w:bottom w:w="90" w:type="dxa"/>
              <w:end w:w="100" w:type="dxa"/>
            </w:tcMar>
            <w:vAlign w:val="center"/>
          </w:tcPr>
          <w:p>
            <w:pPr>
              <w:spacing w:after="80" w:before="0" w:line="276" w:lineRule="auto"/>
            </w:pPr>
            <w:r>
              <w:rPr>
                <w:rFonts w:ascii="Aptos" w:hAnsi="Aptos"/>
                <w:b w:val="0"/>
                <w:i w:val="0"/>
                <w:color w:val="1C2737"/>
                <w:sz w:val="18"/>
              </w:rPr>
              <w:t>pair write-back opens</w:t>
            </w:r>
          </w:p>
        </w:tc>
        <w:tc>
          <w:tcPr>
            <w:tcW w:type="dxa" w:w="3168"/>
            <w:tcMar>
              <w:top w:w="90" w:type="dxa"/>
              <w:start w:w="100" w:type="dxa"/>
              <w:bottom w:w="90" w:type="dxa"/>
              <w:end w:w="100" w:type="dxa"/>
            </w:tcMar>
            <w:vAlign w:val="center"/>
          </w:tcPr>
          <w:p>
            <w:pPr>
              <w:spacing w:after="80" w:before="0" w:line="276" w:lineRule="auto"/>
            </w:pPr>
            <w:r>
              <w:rPr>
                <w:rFonts w:ascii="Aptos" w:hAnsi="Aptos"/>
                <w:b w:val="0"/>
                <w:i w:val="0"/>
                <w:color w:val="1C2737"/>
                <w:sz w:val="18"/>
              </w:rPr>
              <w:t>small forecast and confidence drag</w:t>
            </w:r>
          </w:p>
        </w:tc>
      </w:tr>
      <w:tr>
        <w:tc>
          <w:tcPr>
            <w:tcW w:type="dxa" w:w="1296"/>
            <w:tcMar>
              <w:top w:w="90" w:type="dxa"/>
              <w:start w:w="100" w:type="dxa"/>
              <w:bottom w:w="90" w:type="dxa"/>
              <w:end w:w="100" w:type="dxa"/>
            </w:tcMar>
            <w:vAlign w:val="center"/>
          </w:tcPr>
          <w:p>
            <w:pPr>
              <w:spacing w:after="80" w:before="0" w:line="276" w:lineRule="auto"/>
              <w:jc w:val="center"/>
            </w:pPr>
            <w:r>
              <w:rPr>
                <w:rFonts w:ascii="Aptos" w:hAnsi="Aptos"/>
                <w:b/>
                <w:i w:val="0"/>
                <w:color w:val="1C2737"/>
                <w:sz w:val="19"/>
              </w:rPr>
              <w:t>S3</w:t>
            </w:r>
          </w:p>
        </w:tc>
        <w:tc>
          <w:tcPr>
            <w:tcW w:type="dxa" w:w="1872"/>
            <w:tcMar>
              <w:top w:w="90" w:type="dxa"/>
              <w:start w:w="100" w:type="dxa"/>
              <w:bottom w:w="90" w:type="dxa"/>
              <w:end w:w="100" w:type="dxa"/>
            </w:tcMar>
            <w:vAlign w:val="center"/>
          </w:tcPr>
          <w:p>
            <w:pPr>
              <w:spacing w:after="80" w:before="0" w:line="276" w:lineRule="auto"/>
            </w:pPr>
            <w:r>
              <w:rPr>
                <w:rFonts w:ascii="Aptos" w:hAnsi="Aptos"/>
                <w:b w:val="0"/>
                <w:i w:val="0"/>
                <w:color w:val="1C2737"/>
                <w:sz w:val="18"/>
              </w:rPr>
              <w:t>active repair deficit</w:t>
            </w:r>
          </w:p>
        </w:tc>
        <w:tc>
          <w:tcPr>
            <w:tcW w:type="dxa" w:w="3744"/>
            <w:tcMar>
              <w:top w:w="90" w:type="dxa"/>
              <w:start w:w="100" w:type="dxa"/>
              <w:bottom w:w="90" w:type="dxa"/>
              <w:end w:w="100" w:type="dxa"/>
            </w:tcMar>
            <w:vAlign w:val="center"/>
          </w:tcPr>
          <w:p>
            <w:pPr>
              <w:spacing w:after="80" w:before="0" w:line="276" w:lineRule="auto"/>
            </w:pPr>
            <w:r>
              <w:rPr>
                <w:rFonts w:ascii="Aptos" w:hAnsi="Aptos"/>
                <w:b w:val="0"/>
                <w:i w:val="0"/>
                <w:color w:val="1C2737"/>
                <w:sz w:val="18"/>
              </w:rPr>
              <w:t>persistent pair state</w:t>
            </w:r>
          </w:p>
        </w:tc>
        <w:tc>
          <w:tcPr>
            <w:tcW w:type="dxa" w:w="3168"/>
            <w:tcMar>
              <w:top w:w="90" w:type="dxa"/>
              <w:start w:w="100" w:type="dxa"/>
              <w:bottom w:w="90" w:type="dxa"/>
              <w:end w:w="100" w:type="dxa"/>
            </w:tcMar>
            <w:vAlign w:val="center"/>
          </w:tcPr>
          <w:p>
            <w:pPr>
              <w:spacing w:after="80" w:before="0" w:line="276" w:lineRule="auto"/>
            </w:pPr>
            <w:r>
              <w:rPr>
                <w:rFonts w:ascii="Aptos" w:hAnsi="Aptos"/>
                <w:b w:val="0"/>
                <w:i w:val="0"/>
                <w:color w:val="1C2737"/>
                <w:sz w:val="18"/>
              </w:rPr>
              <w:t>moderate forecast penalty</w:t>
            </w:r>
          </w:p>
        </w:tc>
      </w:tr>
      <w:tr>
        <w:tc>
          <w:tcPr>
            <w:tcW w:type="dxa" w:w="1296"/>
            <w:tcMar>
              <w:top w:w="90" w:type="dxa"/>
              <w:start w:w="100" w:type="dxa"/>
              <w:bottom w:w="90" w:type="dxa"/>
              <w:end w:w="100" w:type="dxa"/>
            </w:tcMar>
            <w:vAlign w:val="center"/>
          </w:tcPr>
          <w:p>
            <w:pPr>
              <w:spacing w:after="80" w:before="0" w:line="276" w:lineRule="auto"/>
              <w:jc w:val="center"/>
            </w:pPr>
            <w:r>
              <w:rPr>
                <w:rFonts w:ascii="Aptos" w:hAnsi="Aptos"/>
                <w:b/>
                <w:i w:val="0"/>
                <w:color w:val="1C2737"/>
                <w:sz w:val="19"/>
              </w:rPr>
              <w:t>S4</w:t>
            </w:r>
          </w:p>
        </w:tc>
        <w:tc>
          <w:tcPr>
            <w:tcW w:type="dxa" w:w="1872"/>
            <w:tcMar>
              <w:top w:w="90" w:type="dxa"/>
              <w:start w:w="100" w:type="dxa"/>
              <w:bottom w:w="90" w:type="dxa"/>
              <w:end w:w="100" w:type="dxa"/>
            </w:tcMar>
            <w:vAlign w:val="center"/>
          </w:tcPr>
          <w:p>
            <w:pPr>
              <w:spacing w:after="80" w:before="0" w:line="276" w:lineRule="auto"/>
            </w:pPr>
            <w:r>
              <w:rPr>
                <w:rFonts w:ascii="Aptos" w:hAnsi="Aptos"/>
                <w:b w:val="0"/>
                <w:i w:val="0"/>
                <w:color w:val="1C2737"/>
                <w:sz w:val="18"/>
              </w:rPr>
              <w:t>chronic recovery collapse</w:t>
            </w:r>
          </w:p>
        </w:tc>
        <w:tc>
          <w:tcPr>
            <w:tcW w:type="dxa" w:w="3744"/>
            <w:tcMar>
              <w:top w:w="90" w:type="dxa"/>
              <w:start w:w="100" w:type="dxa"/>
              <w:bottom w:w="90" w:type="dxa"/>
              <w:end w:w="100" w:type="dxa"/>
            </w:tcMar>
            <w:vAlign w:val="center"/>
          </w:tcPr>
          <w:p>
            <w:pPr>
              <w:spacing w:after="80" w:before="0" w:line="276" w:lineRule="auto"/>
            </w:pPr>
            <w:r>
              <w:rPr>
                <w:rFonts w:ascii="Aptos" w:hAnsi="Aptos"/>
                <w:b w:val="0"/>
                <w:i w:val="0"/>
                <w:color w:val="1C2737"/>
                <w:sz w:val="18"/>
              </w:rPr>
              <w:t>persistent guarded pair state</w:t>
            </w:r>
          </w:p>
        </w:tc>
        <w:tc>
          <w:tcPr>
            <w:tcW w:type="dxa" w:w="3168"/>
            <w:tcMar>
              <w:top w:w="90" w:type="dxa"/>
              <w:start w:w="100" w:type="dxa"/>
              <w:bottom w:w="90" w:type="dxa"/>
              <w:end w:w="100" w:type="dxa"/>
            </w:tcMar>
            <w:vAlign w:val="center"/>
          </w:tcPr>
          <w:p>
            <w:pPr>
              <w:spacing w:after="80" w:before="0" w:line="276" w:lineRule="auto"/>
            </w:pPr>
            <w:r>
              <w:rPr>
                <w:rFonts w:ascii="Aptos" w:hAnsi="Aptos"/>
                <w:b w:val="0"/>
                <w:i w:val="0"/>
                <w:color w:val="1C2737"/>
                <w:sz w:val="18"/>
              </w:rPr>
              <w:t>strong rupture-risk lift</w:t>
            </w:r>
          </w:p>
        </w:tc>
      </w:tr>
      <w:tr>
        <w:tc>
          <w:tcPr>
            <w:tcW w:type="dxa" w:w="1296"/>
            <w:tcMar>
              <w:top w:w="90" w:type="dxa"/>
              <w:start w:w="100" w:type="dxa"/>
              <w:bottom w:w="90" w:type="dxa"/>
              <w:end w:w="100" w:type="dxa"/>
            </w:tcMar>
            <w:vAlign w:val="center"/>
          </w:tcPr>
          <w:p>
            <w:pPr>
              <w:spacing w:after="80" w:before="0" w:line="276" w:lineRule="auto"/>
              <w:jc w:val="center"/>
            </w:pPr>
            <w:r>
              <w:rPr>
                <w:rFonts w:ascii="Aptos" w:hAnsi="Aptos"/>
                <w:b/>
                <w:i w:val="0"/>
                <w:color w:val="1C2737"/>
                <w:sz w:val="19"/>
              </w:rPr>
              <w:t>S5</w:t>
            </w:r>
          </w:p>
        </w:tc>
        <w:tc>
          <w:tcPr>
            <w:tcW w:type="dxa" w:w="1872"/>
            <w:tcMar>
              <w:top w:w="90" w:type="dxa"/>
              <w:start w:w="100" w:type="dxa"/>
              <w:bottom w:w="90" w:type="dxa"/>
              <w:end w:w="100" w:type="dxa"/>
            </w:tcMar>
            <w:vAlign w:val="center"/>
          </w:tcPr>
          <w:p>
            <w:pPr>
              <w:spacing w:after="80" w:before="0" w:line="276" w:lineRule="auto"/>
            </w:pPr>
            <w:r>
              <w:rPr>
                <w:rFonts w:ascii="Aptos" w:hAnsi="Aptos"/>
                <w:b w:val="0"/>
                <w:i w:val="0"/>
                <w:color w:val="1C2737"/>
                <w:sz w:val="18"/>
              </w:rPr>
              <w:t>critical unresolved state</w:t>
            </w:r>
          </w:p>
        </w:tc>
        <w:tc>
          <w:tcPr>
            <w:tcW w:type="dxa" w:w="3744"/>
            <w:tcMar>
              <w:top w:w="90" w:type="dxa"/>
              <w:start w:w="100" w:type="dxa"/>
              <w:bottom w:w="90" w:type="dxa"/>
              <w:end w:w="100" w:type="dxa"/>
            </w:tcMar>
            <w:vAlign w:val="center"/>
          </w:tcPr>
          <w:p>
            <w:pPr>
              <w:spacing w:after="80" w:before="0" w:line="276" w:lineRule="auto"/>
            </w:pPr>
            <w:r>
              <w:rPr>
                <w:rFonts w:ascii="Aptos" w:hAnsi="Aptos"/>
                <w:b w:val="0"/>
                <w:i w:val="0"/>
                <w:color w:val="1C2737"/>
                <w:sz w:val="18"/>
              </w:rPr>
              <w:t>persistent high-risk state</w:t>
            </w:r>
          </w:p>
        </w:tc>
        <w:tc>
          <w:tcPr>
            <w:tcW w:type="dxa" w:w="3168"/>
            <w:tcMar>
              <w:top w:w="90" w:type="dxa"/>
              <w:start w:w="100" w:type="dxa"/>
              <w:bottom w:w="90" w:type="dxa"/>
              <w:end w:w="100" w:type="dxa"/>
            </w:tcMar>
            <w:vAlign w:val="center"/>
          </w:tcPr>
          <w:p>
            <w:pPr>
              <w:spacing w:after="80" w:before="0" w:line="276" w:lineRule="auto"/>
            </w:pPr>
            <w:r>
              <w:rPr>
                <w:rFonts w:ascii="Aptos" w:hAnsi="Aptos"/>
                <w:b w:val="0"/>
                <w:i w:val="0"/>
                <w:color w:val="1C2737"/>
                <w:sz w:val="18"/>
              </w:rPr>
              <w:t>suppression / intervention escalation</w:t>
            </w:r>
          </w:p>
        </w:tc>
      </w:tr>
    </w:tbl>
    <w:p/>
    <w:tbl>
      <w:tblPr>
        <w:tblW w:type="auto" w:w="0"/>
        <w:jc w:val="center"/>
        <w:tblLayout w:type="fixed"/>
        <w:tblLook w:firstColumn="1" w:firstRow="1" w:lastColumn="0" w:lastRow="0" w:noHBand="0" w:noVBand="1" w:val="04A0"/>
        <w:tblBorders>
          <w:top w:val="single" w:sz="8" w:space="0" w:color="C7D0DA"/>
          <w:left w:val="single" w:sz="8" w:space="0" w:color="C7D0DA"/>
          <w:bottom w:val="single" w:sz="8" w:space="0" w:color="C7D0DA"/>
          <w:right w:val="single" w:sz="8" w:space="0" w:color="C7D0DA"/>
          <w:insideH w:val="single" w:sz="8" w:space="0" w:color="C7D0DA"/>
          <w:insideV w:val="single" w:sz="8" w:space="0" w:color="C7D0DA"/>
        </w:tblBorders>
      </w:tblPr>
      <w:tblGrid>
        <w:gridCol w:w="4968"/>
        <w:gridCol w:w="4968"/>
      </w:tblGrid>
      <w:tr>
        <w:tc>
          <w:tcPr>
            <w:tcW w:type="dxa" w:w="2592"/>
            <w:tcMar>
              <w:top w:w="80" w:type="dxa"/>
              <w:start w:w="90" w:type="dxa"/>
              <w:bottom w:w="80" w:type="dxa"/>
              <w:end w:w="90" w:type="dxa"/>
            </w:tcMar>
            <w:shd w:fill="DDEAF7"/>
          </w:tcPr>
          <w:p>
            <w:pPr>
              <w:spacing w:after="80" w:before="0" w:line="276" w:lineRule="auto"/>
              <w:jc w:val="center"/>
            </w:pPr>
            <w:r>
              <w:rPr>
                <w:rFonts w:ascii="Aptos" w:hAnsi="Aptos"/>
                <w:b/>
                <w:i w:val="0"/>
                <w:color w:val="1C2737"/>
                <w:sz w:val="18"/>
              </w:rPr>
              <w:t>Area</w:t>
            </w:r>
          </w:p>
        </w:tc>
        <w:tc>
          <w:tcPr>
            <w:tcW w:type="dxa" w:w="7776"/>
            <w:tcMar>
              <w:top w:w="80" w:type="dxa"/>
              <w:start w:w="90" w:type="dxa"/>
              <w:bottom w:w="80" w:type="dxa"/>
              <w:end w:w="90" w:type="dxa"/>
            </w:tcMar>
            <w:shd w:fill="DDEAF7"/>
          </w:tcPr>
          <w:p>
            <w:pPr>
              <w:spacing w:after="80" w:before="0" w:line="276" w:lineRule="auto"/>
              <w:jc w:val="center"/>
            </w:pPr>
            <w:r>
              <w:rPr>
                <w:rFonts w:ascii="Aptos" w:hAnsi="Aptos"/>
                <w:b/>
                <w:i w:val="0"/>
                <w:color w:val="1C2737"/>
                <w:sz w:val="18"/>
              </w:rPr>
              <w:t>Rule</w:t>
            </w:r>
          </w:p>
        </w:tc>
      </w:tr>
      <w:tr>
        <w:tc>
          <w:tcPr>
            <w:tcW w:type="dxa" w:w="2592"/>
            <w:tcMar>
              <w:top w:w="80" w:type="dxa"/>
              <w:start w:w="90" w:type="dxa"/>
              <w:bottom w:w="80" w:type="dxa"/>
              <w:end w:w="90" w:type="dxa"/>
            </w:tcMar>
            <w:vAlign w:val="center"/>
          </w:tcPr>
          <w:p>
            <w:pPr>
              <w:spacing w:after="80" w:before="0" w:line="276" w:lineRule="auto"/>
              <w:jc w:val="center"/>
            </w:pPr>
            <w:r>
              <w:rPr>
                <w:rFonts w:ascii="Aptos" w:hAnsi="Aptos"/>
                <w:b/>
                <w:i w:val="0"/>
                <w:color w:val="1C2737"/>
                <w:sz w:val="18"/>
              </w:rPr>
              <w:t>Write-back</w:t>
            </w:r>
          </w:p>
        </w:tc>
        <w:tc>
          <w:tcPr>
            <w:tcW w:type="dxa" w:w="7776"/>
            <w:tcMar>
              <w:top w:w="80" w:type="dxa"/>
              <w:start w:w="90" w:type="dxa"/>
              <w:bottom w:w="80" w:type="dxa"/>
              <w:end w:w="90" w:type="dxa"/>
            </w:tcMar>
            <w:vAlign w:val="center"/>
          </w:tcPr>
          <w:p>
            <w:pPr>
              <w:spacing w:after="80" w:before="0" w:line="276" w:lineRule="auto"/>
            </w:pPr>
            <w:r>
              <w:rPr>
                <w:rFonts w:ascii="Aptos" w:hAnsi="Aptos"/>
                <w:b w:val="0"/>
                <w:i w:val="0"/>
                <w:color w:val="1C2737"/>
                <w:sz w:val="18"/>
              </w:rPr>
              <w:t>Persist conflict-event references, repair latency, apology-follow-through signals, whether repair was attempted by one side or both, and resolution status. User accountability traces may note repeated repair avoidance without exposing pair-private detail in public surfaces.</w:t>
            </w:r>
          </w:p>
        </w:tc>
      </w:tr>
      <w:tr>
        <w:tc>
          <w:tcPr>
            <w:tcW w:type="dxa" w:w="2592"/>
            <w:tcMar>
              <w:top w:w="80" w:type="dxa"/>
              <w:start w:w="90" w:type="dxa"/>
              <w:bottom w:w="80" w:type="dxa"/>
              <w:end w:w="90" w:type="dxa"/>
            </w:tcMar>
            <w:vAlign w:val="center"/>
          </w:tcPr>
          <w:p>
            <w:pPr>
              <w:spacing w:after="80" w:before="0" w:line="276" w:lineRule="auto"/>
              <w:jc w:val="center"/>
            </w:pPr>
            <w:r>
              <w:rPr>
                <w:rFonts w:ascii="Aptos" w:hAnsi="Aptos"/>
                <w:b/>
                <w:i w:val="0"/>
                <w:color w:val="1C2737"/>
                <w:sz w:val="18"/>
              </w:rPr>
              <w:t>Decay / clear</w:t>
            </w:r>
          </w:p>
        </w:tc>
        <w:tc>
          <w:tcPr>
            <w:tcW w:type="dxa" w:w="7776"/>
            <w:tcMar>
              <w:top w:w="80" w:type="dxa"/>
              <w:start w:w="90" w:type="dxa"/>
              <w:bottom w:w="80" w:type="dxa"/>
              <w:end w:w="90" w:type="dxa"/>
            </w:tcMar>
            <w:vAlign w:val="center"/>
          </w:tcPr>
          <w:p>
            <w:pPr>
              <w:spacing w:after="80" w:before="0" w:line="276" w:lineRule="auto"/>
            </w:pPr>
            <w:r>
              <w:rPr>
                <w:rFonts w:ascii="Aptos" w:hAnsi="Aptos"/>
                <w:b w:val="0"/>
                <w:i w:val="0"/>
                <w:color w:val="1C2737"/>
                <w:sz w:val="18"/>
              </w:rPr>
              <w:t>Downgrade after one successful repair sequence plus 14 quiet days. Hard clear after two successful repairs or 45 stable days with no reopened unresolved issue. Do not clear solely because the conversation went silent if Slow Drift or Hold Unstable is active.</w:t>
            </w:r>
          </w:p>
        </w:tc>
      </w:tr>
      <w:tr>
        <w:tc>
          <w:tcPr>
            <w:tcW w:type="dxa" w:w="2592"/>
            <w:tcMar>
              <w:top w:w="80" w:type="dxa"/>
              <w:start w:w="90" w:type="dxa"/>
              <w:bottom w:w="80" w:type="dxa"/>
              <w:end w:w="90" w:type="dxa"/>
            </w:tcMar>
            <w:vAlign w:val="center"/>
          </w:tcPr>
          <w:p>
            <w:pPr>
              <w:spacing w:after="80" w:before="0" w:line="276" w:lineRule="auto"/>
              <w:jc w:val="center"/>
            </w:pPr>
            <w:r>
              <w:rPr>
                <w:rFonts w:ascii="Aptos" w:hAnsi="Aptos"/>
                <w:b/>
                <w:i w:val="0"/>
                <w:color w:val="1C2737"/>
                <w:sz w:val="18"/>
              </w:rPr>
              <w:t>Readiness effect</w:t>
            </w:r>
          </w:p>
        </w:tc>
        <w:tc>
          <w:tcPr>
            <w:tcW w:type="dxa" w:w="7776"/>
            <w:tcMar>
              <w:top w:w="80" w:type="dxa"/>
              <w:start w:w="90" w:type="dxa"/>
              <w:bottom w:w="80" w:type="dxa"/>
              <w:end w:w="90" w:type="dxa"/>
            </w:tcMar>
            <w:vAlign w:val="center"/>
          </w:tcPr>
          <w:p>
            <w:pPr>
              <w:spacing w:after="80" w:before="0" w:line="276" w:lineRule="auto"/>
            </w:pPr>
            <w:r>
              <w:rPr>
                <w:rFonts w:ascii="Aptos" w:hAnsi="Aptos"/>
                <w:b w:val="0"/>
                <w:i w:val="0"/>
                <w:color w:val="1C2737"/>
                <w:sz w:val="18"/>
              </w:rPr>
              <w:t>Can lower readiness confidence and behavior-responsibility components for users who repeatedly avoid repair. At S4-S5, it can also cap public readiness optimism even if self-reported readiness remains high.</w:t>
            </w:r>
          </w:p>
        </w:tc>
      </w:tr>
      <w:tr>
        <w:tc>
          <w:tcPr>
            <w:tcW w:type="dxa" w:w="2592"/>
            <w:tcMar>
              <w:top w:w="80" w:type="dxa"/>
              <w:start w:w="90" w:type="dxa"/>
              <w:bottom w:w="80" w:type="dxa"/>
              <w:end w:w="90" w:type="dxa"/>
            </w:tcMar>
            <w:vAlign w:val="center"/>
          </w:tcPr>
          <w:p>
            <w:pPr>
              <w:spacing w:after="80" w:before="0" w:line="276" w:lineRule="auto"/>
              <w:jc w:val="center"/>
            </w:pPr>
            <w:r>
              <w:rPr>
                <w:rFonts w:ascii="Aptos" w:hAnsi="Aptos"/>
                <w:b/>
                <w:i w:val="0"/>
                <w:color w:val="1C2737"/>
                <w:sz w:val="18"/>
              </w:rPr>
              <w:t>Forecast effect</w:t>
            </w:r>
          </w:p>
        </w:tc>
        <w:tc>
          <w:tcPr>
            <w:tcW w:type="dxa" w:w="7776"/>
            <w:tcMar>
              <w:top w:w="80" w:type="dxa"/>
              <w:start w:w="90" w:type="dxa"/>
              <w:bottom w:w="80" w:type="dxa"/>
              <w:end w:w="90" w:type="dxa"/>
            </w:tcMar>
            <w:vAlign w:val="center"/>
          </w:tcPr>
          <w:p>
            <w:pPr>
              <w:spacing w:after="80" w:before="0" w:line="276" w:lineRule="auto"/>
            </w:pPr>
            <w:r>
              <w:rPr>
                <w:rFonts w:ascii="Aptos" w:hAnsi="Aptos"/>
                <w:b w:val="0"/>
                <w:i w:val="0"/>
                <w:color w:val="1C2737"/>
                <w:sz w:val="18"/>
              </w:rPr>
              <w:t>One of the strongest negative forecast contributors in batch 1. It directly lowers repair capacity, pair stability, and can lift rupture risk quickly if repeated.</w:t>
            </w:r>
          </w:p>
        </w:tc>
      </w:tr>
      <w:tr>
        <w:tc>
          <w:tcPr>
            <w:tcW w:type="dxa" w:w="2592"/>
            <w:tcMar>
              <w:top w:w="80" w:type="dxa"/>
              <w:start w:w="90" w:type="dxa"/>
              <w:bottom w:w="80" w:type="dxa"/>
              <w:end w:w="90" w:type="dxa"/>
            </w:tcMar>
            <w:vAlign w:val="center"/>
          </w:tcPr>
          <w:p>
            <w:pPr>
              <w:spacing w:after="80" w:before="0" w:line="276" w:lineRule="auto"/>
              <w:jc w:val="center"/>
            </w:pPr>
            <w:r>
              <w:rPr>
                <w:rFonts w:ascii="Aptos" w:hAnsi="Aptos"/>
                <w:b/>
                <w:i w:val="0"/>
                <w:color w:val="1C2737"/>
                <w:sz w:val="18"/>
              </w:rPr>
              <w:t>Drift interlock</w:t>
            </w:r>
          </w:p>
        </w:tc>
        <w:tc>
          <w:tcPr>
            <w:tcW w:type="dxa" w:w="7776"/>
            <w:tcMar>
              <w:top w:w="80" w:type="dxa"/>
              <w:start w:w="90" w:type="dxa"/>
              <w:bottom w:w="80" w:type="dxa"/>
              <w:end w:w="90" w:type="dxa"/>
            </w:tcMar>
            <w:vAlign w:val="center"/>
          </w:tcPr>
          <w:p>
            <w:pPr>
              <w:spacing w:after="80" w:before="0" w:line="276" w:lineRule="auto"/>
            </w:pPr>
            <w:r>
              <w:rPr>
                <w:rFonts w:ascii="Aptos" w:hAnsi="Aptos"/>
                <w:b w:val="0"/>
                <w:i w:val="0"/>
                <w:color w:val="1C2737"/>
                <w:sz w:val="18"/>
              </w:rPr>
              <w:t>Repair Gap often feeds Slow Drift. Use distinct storage: Repair Gap captures the failure to recover after conflict; Slow Drift captures the longer directional softening that follows.</w:t>
            </w:r>
          </w:p>
        </w:tc>
      </w:tr>
      <w:tr>
        <w:tc>
          <w:tcPr>
            <w:tcW w:type="dxa" w:w="2592"/>
            <w:tcMar>
              <w:top w:w="80" w:type="dxa"/>
              <w:start w:w="90" w:type="dxa"/>
              <w:bottom w:w="80" w:type="dxa"/>
              <w:end w:w="90" w:type="dxa"/>
            </w:tcMar>
            <w:vAlign w:val="center"/>
          </w:tcPr>
          <w:p>
            <w:pPr>
              <w:spacing w:after="80" w:before="0" w:line="276" w:lineRule="auto"/>
              <w:jc w:val="center"/>
            </w:pPr>
            <w:r>
              <w:rPr>
                <w:rFonts w:ascii="Aptos" w:hAnsi="Aptos"/>
                <w:b/>
                <w:i w:val="0"/>
                <w:color w:val="1C2737"/>
                <w:sz w:val="18"/>
              </w:rPr>
              <w:t>AI / Sanctuary use</w:t>
            </w:r>
          </w:p>
        </w:tc>
        <w:tc>
          <w:tcPr>
            <w:tcW w:type="dxa" w:w="7776"/>
            <w:tcMar>
              <w:top w:w="80" w:type="dxa"/>
              <w:start w:w="90" w:type="dxa"/>
              <w:bottom w:w="80" w:type="dxa"/>
              <w:end w:w="90" w:type="dxa"/>
            </w:tcMar>
            <w:vAlign w:val="center"/>
          </w:tcPr>
          <w:p>
            <w:pPr>
              <w:spacing w:after="80" w:before="0" w:line="276" w:lineRule="auto"/>
            </w:pPr>
            <w:r>
              <w:rPr>
                <w:rFonts w:ascii="Aptos" w:hAnsi="Aptos"/>
                <w:b w:val="0"/>
                <w:i w:val="0"/>
                <w:color w:val="1C2737"/>
                <w:sz w:val="18"/>
              </w:rPr>
              <w:t>AI can encourage concrete repair behavior: acknowledging the issue, following through, returning after cool-down, and making the next repair attempt specific rather than performative.</w:t>
            </w:r>
          </w:p>
        </w:tc>
      </w:tr>
    </w:tbl>
    <w:p/>
    <w:tbl>
      <w:tblPr>
        <w:tblW w:type="auto" w:w="0"/>
        <w:jc w:val="center"/>
        <w:tblLayout w:type="fixed"/>
        <w:tblLook w:firstColumn="1" w:firstRow="1" w:lastColumn="0" w:lastRow="0" w:noHBand="0" w:noVBand="1" w:val="04A0"/>
        <w:tblBorders>
          <w:top w:val="single" w:sz="10" w:space="0" w:color="AFC2D5"/>
          <w:left w:val="single" w:sz="10" w:space="0" w:color="AFC2D5"/>
          <w:bottom w:val="single" w:sz="10" w:space="0" w:color="AFC2D5"/>
          <w:right w:val="single" w:sz="10" w:space="0" w:color="AFC2D5"/>
          <w:insideH w:val="single" w:sz="10" w:space="0" w:color="AFC2D5"/>
          <w:insideV w:val="single" w:sz="10" w:space="0" w:color="AFC2D5"/>
        </w:tblBorders>
      </w:tblPr>
      <w:tblGrid>
        <w:gridCol w:w="9936"/>
      </w:tblGrid>
      <w:tr>
        <w:tc>
          <w:tcPr>
            <w:tcW w:type="dxa" w:w="9936"/>
            <w:shd w:fill="F4F8FB"/>
            <w:tcMar>
              <w:top w:w="120" w:type="dxa"/>
              <w:start w:w="140" w:type="dxa"/>
              <w:bottom w:w="120" w:type="dxa"/>
              <w:end w:w="140" w:type="dxa"/>
            </w:tcMar>
          </w:tcPr>
          <w:p>
            <w:pPr>
              <w:spacing w:after="40" w:before="0" w:line="276" w:lineRule="auto"/>
            </w:pPr>
            <w:r>
              <w:rPr>
                <w:rFonts w:ascii="Aptos" w:hAnsi="Aptos"/>
                <w:b/>
                <w:i w:val="0"/>
                <w:color w:val="24528C"/>
                <w:sz w:val="21"/>
              </w:rPr>
              <w:t>QA examples to lock before production</w:t>
            </w:r>
          </w:p>
          <w:p>
            <w:pPr>
              <w:spacing w:after="0" w:before="0" w:line="276" w:lineRule="auto"/>
            </w:pPr>
            <w:r>
              <w:rPr>
                <w:rFonts w:ascii="Aptos" w:hAnsi="Aptos"/>
                <w:b w:val="0"/>
                <w:i w:val="0"/>
                <w:color w:val="1C2737"/>
                <w:sz w:val="20"/>
              </w:rPr>
              <w:t>Test healthy conflict with successful repair; it should not stick. Test apology-without-follow-through; should escalate. Test silence after rupture; should not auto-clear. Test one-sided repair effort so the trace records asymmetry without assuming motive.</w:t>
            </w:r>
          </w:p>
        </w:tc>
      </w:tr>
    </w:tbl>
    <w:p/>
    <w:p>
      <w:r>
        <w:br w:type="page"/>
      </w:r>
    </w:p>
    <w:p>
      <w:pPr>
        <w:spacing w:before="200" w:after="40"/>
      </w:pPr>
      <w:r>
        <w:rPr>
          <w:b/>
          <w:color w:val="24528C"/>
          <w:sz w:val="28"/>
        </w:rPr>
        <w:t>CL-106 - Readiness Overstatement</w:t>
      </w:r>
    </w:p>
    <w:tbl>
      <w:tblPr>
        <w:tblW w:type="auto" w:w="0"/>
        <w:jc w:val="center"/>
        <w:tblLayout w:type="fixed"/>
        <w:tblLook w:firstColumn="1" w:firstRow="1" w:lastColumn="0" w:lastRow="0" w:noHBand="0" w:noVBand="1" w:val="04A0"/>
        <w:tblBorders>
          <w:top w:val="single" w:sz="8" w:space="0" w:color="C7D0DA"/>
          <w:left w:val="single" w:sz="8" w:space="0" w:color="C7D0DA"/>
          <w:bottom w:val="single" w:sz="8" w:space="0" w:color="C7D0DA"/>
          <w:right w:val="single" w:sz="8" w:space="0" w:color="C7D0DA"/>
          <w:insideH w:val="single" w:sz="8" w:space="0" w:color="C7D0DA"/>
          <w:insideV w:val="single" w:sz="8" w:space="0" w:color="C7D0DA"/>
        </w:tblBorders>
      </w:tblPr>
      <w:tblGrid>
        <w:gridCol w:w="4968"/>
        <w:gridCol w:w="4968"/>
      </w:tblGrid>
      <w:tr>
        <w:tc>
          <w:tcPr>
            <w:tcW w:type="dxa" w:w="2592"/>
            <w:tcMar>
              <w:top w:w="80" w:type="dxa"/>
              <w:start w:w="90" w:type="dxa"/>
              <w:bottom w:w="80" w:type="dxa"/>
              <w:end w:w="90" w:type="dxa"/>
            </w:tcMar>
            <w:vAlign w:val="center"/>
            <w:shd w:fill="EAF1F8"/>
          </w:tcPr>
          <w:p>
            <w:pPr>
              <w:spacing w:after="80" w:before="0" w:line="276" w:lineRule="auto"/>
            </w:pPr>
            <w:r>
              <w:rPr>
                <w:rFonts w:ascii="Aptos" w:hAnsi="Aptos"/>
                <w:b/>
                <w:i w:val="0"/>
                <w:color w:val="1C2737"/>
                <w:sz w:val="20"/>
              </w:rPr>
              <w:t>Family</w:t>
            </w:r>
          </w:p>
        </w:tc>
        <w:tc>
          <w:tcPr>
            <w:tcW w:type="dxa" w:w="7056"/>
            <w:tcMar>
              <w:top w:w="80" w:type="dxa"/>
              <w:start w:w="90" w:type="dxa"/>
              <w:bottom w:w="80" w:type="dxa"/>
              <w:end w:w="90" w:type="dxa"/>
            </w:tcMar>
            <w:vAlign w:val="center"/>
          </w:tcPr>
          <w:p>
            <w:pPr>
              <w:spacing w:after="80" w:before="0" w:line="276" w:lineRule="auto"/>
            </w:pPr>
            <w:r>
              <w:rPr>
                <w:rFonts w:ascii="Aptos" w:hAnsi="Aptos"/>
                <w:b w:val="0"/>
                <w:i w:val="0"/>
                <w:color w:val="1C2737"/>
                <w:sz w:val="20"/>
              </w:rPr>
              <w:t>Readiness integrity / self-report mismatch cluster</w:t>
            </w:r>
          </w:p>
        </w:tc>
      </w:tr>
      <w:tr>
        <w:tc>
          <w:tcPr>
            <w:tcW w:type="dxa" w:w="2592"/>
            <w:tcMar>
              <w:top w:w="80" w:type="dxa"/>
              <w:start w:w="90" w:type="dxa"/>
              <w:bottom w:w="80" w:type="dxa"/>
              <w:end w:w="90" w:type="dxa"/>
            </w:tcMar>
            <w:vAlign w:val="center"/>
            <w:shd w:fill="EAF1F8"/>
          </w:tcPr>
          <w:p>
            <w:pPr>
              <w:spacing w:after="80" w:before="0" w:line="276" w:lineRule="auto"/>
            </w:pPr>
            <w:r>
              <w:rPr>
                <w:rFonts w:ascii="Aptos" w:hAnsi="Aptos"/>
                <w:b/>
                <w:i w:val="0"/>
                <w:color w:val="1C2737"/>
                <w:sz w:val="20"/>
              </w:rPr>
              <w:t>Scope</w:t>
            </w:r>
          </w:p>
        </w:tc>
        <w:tc>
          <w:tcPr>
            <w:tcW w:type="dxa" w:w="7056"/>
            <w:tcMar>
              <w:top w:w="80" w:type="dxa"/>
              <w:start w:w="90" w:type="dxa"/>
              <w:bottom w:w="80" w:type="dxa"/>
              <w:end w:w="90" w:type="dxa"/>
            </w:tcMar>
            <w:vAlign w:val="center"/>
          </w:tcPr>
          <w:p>
            <w:pPr>
              <w:spacing w:after="80" w:before="0" w:line="276" w:lineRule="auto"/>
            </w:pPr>
            <w:r>
              <w:rPr>
                <w:rFonts w:ascii="Aptos" w:hAnsi="Aptos"/>
                <w:b w:val="0"/>
                <w:i w:val="0"/>
                <w:color w:val="1C2737"/>
                <w:sz w:val="20"/>
              </w:rPr>
              <w:t>Individual</w:t>
            </w:r>
          </w:p>
        </w:tc>
      </w:tr>
      <w:tr>
        <w:tc>
          <w:tcPr>
            <w:tcW w:type="dxa" w:w="2592"/>
            <w:tcMar>
              <w:top w:w="80" w:type="dxa"/>
              <w:start w:w="90" w:type="dxa"/>
              <w:bottom w:w="80" w:type="dxa"/>
              <w:end w:w="90" w:type="dxa"/>
            </w:tcMar>
            <w:vAlign w:val="center"/>
            <w:shd w:fill="EAF1F8"/>
          </w:tcPr>
          <w:p>
            <w:pPr>
              <w:spacing w:after="80" w:before="0" w:line="276" w:lineRule="auto"/>
            </w:pPr>
            <w:r>
              <w:rPr>
                <w:rFonts w:ascii="Aptos" w:hAnsi="Aptos"/>
                <w:b/>
                <w:i w:val="0"/>
                <w:color w:val="1C2737"/>
                <w:sz w:val="20"/>
              </w:rPr>
              <w:t>Purpose</w:t>
            </w:r>
          </w:p>
        </w:tc>
        <w:tc>
          <w:tcPr>
            <w:tcW w:type="dxa" w:w="7056"/>
            <w:tcMar>
              <w:top w:w="80" w:type="dxa"/>
              <w:start w:w="90" w:type="dxa"/>
              <w:bottom w:w="80" w:type="dxa"/>
              <w:end w:w="90" w:type="dxa"/>
            </w:tcMar>
            <w:vAlign w:val="center"/>
          </w:tcPr>
          <w:p>
            <w:pPr>
              <w:spacing w:after="80" w:before="0" w:line="276" w:lineRule="auto"/>
            </w:pPr>
            <w:r>
              <w:rPr>
                <w:rFonts w:ascii="Aptos" w:hAnsi="Aptos"/>
                <w:b w:val="0"/>
                <w:i w:val="0"/>
                <w:color w:val="1C2737"/>
                <w:sz w:val="20"/>
              </w:rPr>
              <w:t>Detect the gap between claimed relational readiness and the evidence-supported readiness posture. This protects the public readiness surface from becoming a confidence costume.</w:t>
            </w:r>
          </w:p>
        </w:tc>
      </w:tr>
      <w:tr>
        <w:tc>
          <w:tcPr>
            <w:tcW w:type="dxa" w:w="2592"/>
            <w:tcMar>
              <w:top w:w="80" w:type="dxa"/>
              <w:start w:w="90" w:type="dxa"/>
              <w:bottom w:w="80" w:type="dxa"/>
              <w:end w:w="90" w:type="dxa"/>
            </w:tcMar>
            <w:vAlign w:val="center"/>
            <w:shd w:fill="EAF1F8"/>
          </w:tcPr>
          <w:p>
            <w:pPr>
              <w:spacing w:after="80" w:before="0" w:line="276" w:lineRule="auto"/>
            </w:pPr>
            <w:r>
              <w:rPr>
                <w:rFonts w:ascii="Aptos" w:hAnsi="Aptos"/>
                <w:b/>
                <w:i w:val="0"/>
                <w:color w:val="1C2737"/>
                <w:sz w:val="20"/>
              </w:rPr>
              <w:t>Primary sources</w:t>
            </w:r>
          </w:p>
        </w:tc>
        <w:tc>
          <w:tcPr>
            <w:tcW w:type="dxa" w:w="7056"/>
            <w:tcMar>
              <w:top w:w="80" w:type="dxa"/>
              <w:start w:w="90" w:type="dxa"/>
              <w:bottom w:w="80" w:type="dxa"/>
              <w:end w:w="90" w:type="dxa"/>
            </w:tcMar>
            <w:vAlign w:val="center"/>
          </w:tcPr>
          <w:p>
            <w:pPr>
              <w:spacing w:after="80" w:before="0" w:line="276" w:lineRule="auto"/>
            </w:pPr>
            <w:r>
              <w:rPr>
                <w:rFonts w:ascii="Aptos" w:hAnsi="Aptos"/>
                <w:b w:val="0"/>
                <w:i w:val="0"/>
                <w:color w:val="1C2737"/>
                <w:sz w:val="20"/>
              </w:rPr>
              <w:t>Declared intent, assessment answers, contradiction clusters, active shadow pressure, drift traces where relevant, repair behavior, pacing behavior, moderation or safety holds.</w:t>
            </w:r>
          </w:p>
        </w:tc>
      </w:tr>
      <w:tr>
        <w:tc>
          <w:tcPr>
            <w:tcW w:type="dxa" w:w="2592"/>
            <w:tcMar>
              <w:top w:w="80" w:type="dxa"/>
              <w:start w:w="90" w:type="dxa"/>
              <w:bottom w:w="80" w:type="dxa"/>
              <w:end w:w="90" w:type="dxa"/>
            </w:tcMar>
            <w:vAlign w:val="center"/>
            <w:shd w:fill="EAF1F8"/>
          </w:tcPr>
          <w:p>
            <w:pPr>
              <w:spacing w:after="80" w:before="0" w:line="276" w:lineRule="auto"/>
            </w:pPr>
            <w:r>
              <w:rPr>
                <w:rFonts w:ascii="Aptos" w:hAnsi="Aptos"/>
                <w:b/>
                <w:i w:val="0"/>
                <w:color w:val="1C2737"/>
                <w:sz w:val="20"/>
              </w:rPr>
              <w:t>Default posture</w:t>
            </w:r>
          </w:p>
        </w:tc>
        <w:tc>
          <w:tcPr>
            <w:tcW w:type="dxa" w:w="7056"/>
            <w:tcMar>
              <w:top w:w="80" w:type="dxa"/>
              <w:start w:w="90" w:type="dxa"/>
              <w:bottom w:w="80" w:type="dxa"/>
              <w:end w:w="90" w:type="dxa"/>
            </w:tcMar>
            <w:vAlign w:val="center"/>
          </w:tcPr>
          <w:p>
            <w:pPr>
              <w:spacing w:after="80" w:before="0" w:line="276" w:lineRule="auto"/>
            </w:pPr>
            <w:r>
              <w:rPr>
                <w:rFonts w:ascii="Aptos" w:hAnsi="Aptos"/>
                <w:b w:val="0"/>
                <w:i w:val="0"/>
                <w:color w:val="1C2737"/>
                <w:sz w:val="20"/>
              </w:rPr>
              <w:t>Governance-heavy cluster. It is not punishment for optimism; it exists to stop the system from presenting inflated certainty or maturity that the evidence does not support.</w:t>
            </w:r>
          </w:p>
        </w:tc>
      </w:tr>
      <w:tr>
        <w:tc>
          <w:tcPr>
            <w:tcW w:type="dxa" w:w="2592"/>
            <w:tcMar>
              <w:top w:w="80" w:type="dxa"/>
              <w:start w:w="90" w:type="dxa"/>
              <w:bottom w:w="80" w:type="dxa"/>
              <w:end w:w="90" w:type="dxa"/>
            </w:tcMar>
            <w:vAlign w:val="center"/>
            <w:shd w:fill="EAF1F8"/>
          </w:tcPr>
          <w:p>
            <w:pPr>
              <w:spacing w:after="80" w:before="0" w:line="276" w:lineRule="auto"/>
            </w:pPr>
            <w:r>
              <w:rPr>
                <w:rFonts w:ascii="Aptos" w:hAnsi="Aptos"/>
                <w:b/>
                <w:i w:val="0"/>
                <w:color w:val="1C2737"/>
                <w:sz w:val="20"/>
              </w:rPr>
              <w:t>User exposure</w:t>
            </w:r>
          </w:p>
        </w:tc>
        <w:tc>
          <w:tcPr>
            <w:tcW w:type="dxa" w:w="7056"/>
            <w:tcMar>
              <w:top w:w="80" w:type="dxa"/>
              <w:start w:w="90" w:type="dxa"/>
              <w:bottom w:w="80" w:type="dxa"/>
              <w:end w:w="90" w:type="dxa"/>
            </w:tcMar>
            <w:vAlign w:val="center"/>
          </w:tcPr>
          <w:p>
            <w:pPr>
              <w:spacing w:after="80" w:before="0" w:line="276" w:lineRule="auto"/>
            </w:pPr>
            <w:r>
              <w:rPr>
                <w:rFonts w:ascii="Aptos" w:hAnsi="Aptos"/>
                <w:b w:val="0"/>
                <w:i w:val="0"/>
                <w:color w:val="1C2737"/>
                <w:sz w:val="20"/>
              </w:rPr>
              <w:t>Use softened phrases such as “readiness still stabilizing”, “signal confidence not yet matched”, or “current actions trail stated intention”.</w:t>
            </w:r>
          </w:p>
        </w:tc>
      </w:tr>
    </w:tbl>
    <w:p/>
    <w:p>
      <w:pPr>
        <w:spacing w:after="60" w:before="0" w:line="276" w:lineRule="auto"/>
      </w:pPr>
      <w:r>
        <w:rPr>
          <w:rFonts w:ascii="Aptos" w:hAnsi="Aptos"/>
          <w:b/>
          <w:i w:val="0"/>
          <w:color w:val="1C2737"/>
          <w:sz w:val="23"/>
        </w:rPr>
        <w:t>Canonical detection logic</w:t>
      </w:r>
    </w:p>
    <w:p>
      <w:pPr>
        <w:pStyle w:val="ListBullet"/>
        <w:spacing w:after="60" w:before="0" w:line="276" w:lineRule="auto"/>
        <w:ind w:left="259"/>
      </w:pPr>
      <w:r>
        <w:rPr>
          <w:rFonts w:ascii="Aptos" w:hAnsi="Aptos"/>
          <w:b w:val="0"/>
          <w:i w:val="0"/>
          <w:color w:val="1C2737"/>
          <w:sz w:val="21"/>
        </w:rPr>
        <w:t>S1 opens when self-reported readiness or serious-intent posture is materially stronger than evidence confidence, but there is not yet enough contradiction to call it a persistent mismatch.</w:t>
      </w:r>
    </w:p>
    <w:p>
      <w:pPr>
        <w:pStyle w:val="ListBullet"/>
        <w:spacing w:after="60" w:before="0" w:line="276" w:lineRule="auto"/>
        <w:ind w:left="259"/>
      </w:pPr>
      <w:r>
        <w:rPr>
          <w:rFonts w:ascii="Aptos" w:hAnsi="Aptos"/>
          <w:b w:val="0"/>
          <w:i w:val="0"/>
          <w:color w:val="1C2737"/>
          <w:sz w:val="21"/>
        </w:rPr>
        <w:t>S2 requires either repeated mismatch across refreshed evidence states or one clear mismatch combined with an active contradiction or repair-related cluster.</w:t>
      </w:r>
    </w:p>
    <w:p>
      <w:pPr>
        <w:pStyle w:val="ListBullet"/>
        <w:spacing w:after="60" w:before="0" w:line="276" w:lineRule="auto"/>
        <w:ind w:left="259"/>
      </w:pPr>
      <w:r>
        <w:rPr>
          <w:rFonts w:ascii="Aptos" w:hAnsi="Aptos"/>
          <w:b w:val="0"/>
          <w:i w:val="0"/>
          <w:color w:val="1C2737"/>
          <w:sz w:val="21"/>
        </w:rPr>
        <w:t>S3 requires durable overstatement: the user continues to present high readiness while behavior, active clusters, or unresolved pressure clearly pull lower.</w:t>
      </w:r>
    </w:p>
    <w:p>
      <w:pPr>
        <w:pStyle w:val="ListBullet"/>
        <w:spacing w:after="60" w:before="0" w:line="276" w:lineRule="auto"/>
        <w:ind w:left="259"/>
      </w:pPr>
      <w:r>
        <w:rPr>
          <w:rFonts w:ascii="Aptos" w:hAnsi="Aptos"/>
          <w:b w:val="0"/>
          <w:i w:val="0"/>
          <w:color w:val="1C2737"/>
          <w:sz w:val="21"/>
        </w:rPr>
        <w:t>S4 requires repeated overstatement across multiple evidence windows or product surfaces, especially if public numeric readiness would be misleading.</w:t>
      </w:r>
    </w:p>
    <w:p>
      <w:pPr>
        <w:pStyle w:val="ListBullet"/>
        <w:spacing w:after="60" w:before="0" w:line="276" w:lineRule="auto"/>
        <w:ind w:left="259"/>
      </w:pPr>
      <w:r>
        <w:rPr>
          <w:rFonts w:ascii="Aptos" w:hAnsi="Aptos"/>
          <w:b w:val="0"/>
          <w:i w:val="0"/>
          <w:color w:val="1C2737"/>
          <w:sz w:val="21"/>
        </w:rPr>
        <w:t>S5 is reserved for severe mismatch combined with protected states where public exposure must be suppressed until evidence stabilizes.</w:t>
      </w:r>
    </w:p>
    <w:p>
      <w:pPr>
        <w:spacing w:after="60" w:before="0" w:line="276" w:lineRule="auto"/>
      </w:pPr>
      <w:r>
        <w:rPr>
          <w:rFonts w:ascii="Aptos" w:hAnsi="Aptos"/>
          <w:b/>
          <w:i w:val="0"/>
          <w:color w:val="1C2737"/>
          <w:sz w:val="23"/>
        </w:rPr>
        <w:t>Severity ladder for this cluster</w:t>
      </w:r>
    </w:p>
    <w:tbl>
      <w:tblPr>
        <w:tblW w:type="auto" w:w="0"/>
        <w:jc w:val="center"/>
        <w:tblLayout w:type="fixed"/>
        <w:tblLook w:firstColumn="1" w:firstRow="1" w:lastColumn="0" w:lastRow="0" w:noHBand="0" w:noVBand="1" w:val="04A0"/>
        <w:tblBorders>
          <w:top w:val="single" w:sz="8" w:space="0" w:color="C7D0DA"/>
          <w:left w:val="single" w:sz="8" w:space="0" w:color="C7D0DA"/>
          <w:bottom w:val="single" w:sz="8" w:space="0" w:color="C7D0DA"/>
          <w:right w:val="single" w:sz="8" w:space="0" w:color="C7D0DA"/>
          <w:insideH w:val="single" w:sz="8" w:space="0" w:color="C7D0DA"/>
          <w:insideV w:val="single" w:sz="8" w:space="0" w:color="C7D0DA"/>
        </w:tblBorders>
      </w:tblPr>
      <w:tblGrid>
        <w:gridCol w:w="2484"/>
        <w:gridCol w:w="2484"/>
        <w:gridCol w:w="2484"/>
        <w:gridCol w:w="2484"/>
      </w:tblGrid>
      <w:tr>
        <w:tc>
          <w:tcPr>
            <w:tcW w:type="dxa" w:w="1296"/>
            <w:tcMar>
              <w:top w:w="90" w:type="dxa"/>
              <w:start w:w="100" w:type="dxa"/>
              <w:bottom w:w="90" w:type="dxa"/>
              <w:end w:w="100" w:type="dxa"/>
            </w:tcMar>
            <w:shd w:fill="DDEAF7"/>
          </w:tcPr>
          <w:p>
            <w:pPr>
              <w:spacing w:after="80" w:before="0" w:line="276" w:lineRule="auto"/>
              <w:jc w:val="center"/>
            </w:pPr>
            <w:r>
              <w:rPr>
                <w:rFonts w:ascii="Aptos" w:hAnsi="Aptos"/>
                <w:b/>
                <w:i w:val="0"/>
                <w:color w:val="1C2737"/>
                <w:sz w:val="19"/>
              </w:rPr>
              <w:t>Lvl</w:t>
            </w:r>
          </w:p>
        </w:tc>
        <w:tc>
          <w:tcPr>
            <w:tcW w:type="dxa" w:w="1872"/>
            <w:tcMar>
              <w:top w:w="90" w:type="dxa"/>
              <w:start w:w="100" w:type="dxa"/>
              <w:bottom w:w="90" w:type="dxa"/>
              <w:end w:w="100" w:type="dxa"/>
            </w:tcMar>
            <w:shd w:fill="DDEAF7"/>
          </w:tcPr>
          <w:p>
            <w:pPr>
              <w:spacing w:after="80" w:before="0" w:line="276" w:lineRule="auto"/>
              <w:jc w:val="center"/>
            </w:pPr>
            <w:r>
              <w:rPr>
                <w:rFonts w:ascii="Aptos" w:hAnsi="Aptos"/>
                <w:b/>
                <w:i w:val="0"/>
                <w:color w:val="1C2737"/>
                <w:sz w:val="19"/>
              </w:rPr>
              <w:t>Trigger Posture</w:t>
            </w:r>
          </w:p>
        </w:tc>
        <w:tc>
          <w:tcPr>
            <w:tcW w:type="dxa" w:w="3744"/>
            <w:tcMar>
              <w:top w:w="90" w:type="dxa"/>
              <w:start w:w="100" w:type="dxa"/>
              <w:bottom w:w="90" w:type="dxa"/>
              <w:end w:w="100" w:type="dxa"/>
            </w:tcMar>
            <w:shd w:fill="DDEAF7"/>
          </w:tcPr>
          <w:p>
            <w:pPr>
              <w:spacing w:after="80" w:before="0" w:line="276" w:lineRule="auto"/>
              <w:jc w:val="center"/>
            </w:pPr>
            <w:r>
              <w:rPr>
                <w:rFonts w:ascii="Aptos" w:hAnsi="Aptos"/>
                <w:b/>
                <w:i w:val="0"/>
                <w:color w:val="1C2737"/>
                <w:sz w:val="19"/>
              </w:rPr>
              <w:t>Default Write-Back</w:t>
            </w:r>
          </w:p>
        </w:tc>
        <w:tc>
          <w:tcPr>
            <w:tcW w:type="dxa" w:w="3168"/>
            <w:tcMar>
              <w:top w:w="90" w:type="dxa"/>
              <w:start w:w="100" w:type="dxa"/>
              <w:bottom w:w="90" w:type="dxa"/>
              <w:end w:w="100" w:type="dxa"/>
            </w:tcMar>
            <w:shd w:fill="DDEAF7"/>
          </w:tcPr>
          <w:p>
            <w:pPr>
              <w:spacing w:after="80" w:before="0" w:line="276" w:lineRule="auto"/>
              <w:jc w:val="center"/>
            </w:pPr>
            <w:r>
              <w:rPr>
                <w:rFonts w:ascii="Aptos" w:hAnsi="Aptos"/>
                <w:b/>
                <w:i w:val="0"/>
                <w:color w:val="1C2737"/>
                <w:sz w:val="19"/>
              </w:rPr>
              <w:t>Primary Effect</w:t>
            </w:r>
          </w:p>
        </w:tc>
      </w:tr>
      <w:tr>
        <w:tc>
          <w:tcPr>
            <w:tcW w:type="dxa" w:w="1296"/>
            <w:tcMar>
              <w:top w:w="90" w:type="dxa"/>
              <w:start w:w="100" w:type="dxa"/>
              <w:bottom w:w="90" w:type="dxa"/>
              <w:end w:w="100" w:type="dxa"/>
            </w:tcMar>
            <w:vAlign w:val="center"/>
          </w:tcPr>
          <w:p>
            <w:pPr>
              <w:spacing w:after="80" w:before="0" w:line="276" w:lineRule="auto"/>
              <w:jc w:val="center"/>
            </w:pPr>
            <w:r>
              <w:rPr>
                <w:rFonts w:ascii="Aptos" w:hAnsi="Aptos"/>
                <w:b/>
                <w:i w:val="0"/>
                <w:color w:val="1C2737"/>
                <w:sz w:val="19"/>
              </w:rPr>
              <w:t>S1</w:t>
            </w:r>
          </w:p>
        </w:tc>
        <w:tc>
          <w:tcPr>
            <w:tcW w:type="dxa" w:w="1872"/>
            <w:tcMar>
              <w:top w:w="90" w:type="dxa"/>
              <w:start w:w="100" w:type="dxa"/>
              <w:bottom w:w="90" w:type="dxa"/>
              <w:end w:w="100" w:type="dxa"/>
            </w:tcMar>
            <w:vAlign w:val="center"/>
          </w:tcPr>
          <w:p>
            <w:pPr>
              <w:spacing w:after="80" w:before="0" w:line="276" w:lineRule="auto"/>
            </w:pPr>
            <w:r>
              <w:rPr>
                <w:rFonts w:ascii="Aptos" w:hAnsi="Aptos"/>
                <w:b w:val="0"/>
                <w:i w:val="0"/>
                <w:color w:val="1C2737"/>
                <w:sz w:val="18"/>
              </w:rPr>
              <w:t>confidence mismatch watch</w:t>
            </w:r>
          </w:p>
        </w:tc>
        <w:tc>
          <w:tcPr>
            <w:tcW w:type="dxa" w:w="3744"/>
            <w:tcMar>
              <w:top w:w="90" w:type="dxa"/>
              <w:start w:w="100" w:type="dxa"/>
              <w:bottom w:w="90" w:type="dxa"/>
              <w:end w:w="100" w:type="dxa"/>
            </w:tcMar>
            <w:vAlign w:val="center"/>
          </w:tcPr>
          <w:p>
            <w:pPr>
              <w:spacing w:after="80" w:before="0" w:line="276" w:lineRule="auto"/>
            </w:pPr>
            <w:r>
              <w:rPr>
                <w:rFonts w:ascii="Aptos" w:hAnsi="Aptos"/>
                <w:b w:val="0"/>
                <w:i w:val="0"/>
                <w:color w:val="1C2737"/>
                <w:sz w:val="18"/>
              </w:rPr>
              <w:t>internal watch only</w:t>
            </w:r>
          </w:p>
        </w:tc>
        <w:tc>
          <w:tcPr>
            <w:tcW w:type="dxa" w:w="3168"/>
            <w:tcMar>
              <w:top w:w="90" w:type="dxa"/>
              <w:start w:w="100" w:type="dxa"/>
              <w:bottom w:w="90" w:type="dxa"/>
              <w:end w:w="100" w:type="dxa"/>
            </w:tcMar>
            <w:vAlign w:val="center"/>
          </w:tcPr>
          <w:p>
            <w:pPr>
              <w:spacing w:after="80" w:before="0" w:line="276" w:lineRule="auto"/>
            </w:pPr>
            <w:r>
              <w:rPr>
                <w:rFonts w:ascii="Aptos" w:hAnsi="Aptos"/>
                <w:b w:val="0"/>
                <w:i w:val="0"/>
                <w:color w:val="1C2737"/>
                <w:sz w:val="18"/>
              </w:rPr>
              <w:t>copy softening only</w:t>
            </w:r>
          </w:p>
        </w:tc>
      </w:tr>
      <w:tr>
        <w:tc>
          <w:tcPr>
            <w:tcW w:type="dxa" w:w="1296"/>
            <w:tcMar>
              <w:top w:w="90" w:type="dxa"/>
              <w:start w:w="100" w:type="dxa"/>
              <w:bottom w:w="90" w:type="dxa"/>
              <w:end w:w="100" w:type="dxa"/>
            </w:tcMar>
            <w:vAlign w:val="center"/>
          </w:tcPr>
          <w:p>
            <w:pPr>
              <w:spacing w:after="80" w:before="0" w:line="276" w:lineRule="auto"/>
              <w:jc w:val="center"/>
            </w:pPr>
            <w:r>
              <w:rPr>
                <w:rFonts w:ascii="Aptos" w:hAnsi="Aptos"/>
                <w:b/>
                <w:i w:val="0"/>
                <w:color w:val="1C2737"/>
                <w:sz w:val="19"/>
              </w:rPr>
              <w:t>S2</w:t>
            </w:r>
          </w:p>
        </w:tc>
        <w:tc>
          <w:tcPr>
            <w:tcW w:type="dxa" w:w="1872"/>
            <w:tcMar>
              <w:top w:w="90" w:type="dxa"/>
              <w:start w:w="100" w:type="dxa"/>
              <w:bottom w:w="90" w:type="dxa"/>
              <w:end w:w="100" w:type="dxa"/>
            </w:tcMar>
            <w:vAlign w:val="center"/>
          </w:tcPr>
          <w:p>
            <w:pPr>
              <w:spacing w:after="80" w:before="0" w:line="276" w:lineRule="auto"/>
            </w:pPr>
            <w:r>
              <w:rPr>
                <w:rFonts w:ascii="Aptos" w:hAnsi="Aptos"/>
                <w:b w:val="0"/>
                <w:i w:val="0"/>
                <w:color w:val="1C2737"/>
                <w:sz w:val="18"/>
              </w:rPr>
              <w:t>mismatch confirmed</w:t>
            </w:r>
          </w:p>
        </w:tc>
        <w:tc>
          <w:tcPr>
            <w:tcW w:type="dxa" w:w="3744"/>
            <w:tcMar>
              <w:top w:w="90" w:type="dxa"/>
              <w:start w:w="100" w:type="dxa"/>
              <w:bottom w:w="90" w:type="dxa"/>
              <w:end w:w="100" w:type="dxa"/>
            </w:tcMar>
            <w:vAlign w:val="center"/>
          </w:tcPr>
          <w:p>
            <w:pPr>
              <w:spacing w:after="80" w:before="0" w:line="276" w:lineRule="auto"/>
            </w:pPr>
            <w:r>
              <w:rPr>
                <w:rFonts w:ascii="Aptos" w:hAnsi="Aptos"/>
                <w:b w:val="0"/>
                <w:i w:val="0"/>
                <w:color w:val="1C2737"/>
                <w:sz w:val="18"/>
              </w:rPr>
              <w:t>user write-back opens</w:t>
            </w:r>
          </w:p>
        </w:tc>
        <w:tc>
          <w:tcPr>
            <w:tcW w:type="dxa" w:w="3168"/>
            <w:tcMar>
              <w:top w:w="90" w:type="dxa"/>
              <w:start w:w="100" w:type="dxa"/>
              <w:bottom w:w="90" w:type="dxa"/>
              <w:end w:w="100" w:type="dxa"/>
            </w:tcMar>
            <w:vAlign w:val="center"/>
          </w:tcPr>
          <w:p>
            <w:pPr>
              <w:spacing w:after="80" w:before="0" w:line="276" w:lineRule="auto"/>
            </w:pPr>
            <w:r>
              <w:rPr>
                <w:rFonts w:ascii="Aptos" w:hAnsi="Aptos"/>
                <w:b w:val="0"/>
                <w:i w:val="0"/>
                <w:color w:val="1C2737"/>
                <w:sz w:val="18"/>
              </w:rPr>
              <w:t>numeric display caution</w:t>
            </w:r>
          </w:p>
        </w:tc>
      </w:tr>
      <w:tr>
        <w:tc>
          <w:tcPr>
            <w:tcW w:type="dxa" w:w="1296"/>
            <w:tcMar>
              <w:top w:w="90" w:type="dxa"/>
              <w:start w:w="100" w:type="dxa"/>
              <w:bottom w:w="90" w:type="dxa"/>
              <w:end w:w="100" w:type="dxa"/>
            </w:tcMar>
            <w:vAlign w:val="center"/>
          </w:tcPr>
          <w:p>
            <w:pPr>
              <w:spacing w:after="80" w:before="0" w:line="276" w:lineRule="auto"/>
              <w:jc w:val="center"/>
            </w:pPr>
            <w:r>
              <w:rPr>
                <w:rFonts w:ascii="Aptos" w:hAnsi="Aptos"/>
                <w:b/>
                <w:i w:val="0"/>
                <w:color w:val="1C2737"/>
                <w:sz w:val="19"/>
              </w:rPr>
              <w:t>S3</w:t>
            </w:r>
          </w:p>
        </w:tc>
        <w:tc>
          <w:tcPr>
            <w:tcW w:type="dxa" w:w="1872"/>
            <w:tcMar>
              <w:top w:w="90" w:type="dxa"/>
              <w:start w:w="100" w:type="dxa"/>
              <w:bottom w:w="90" w:type="dxa"/>
              <w:end w:w="100" w:type="dxa"/>
            </w:tcMar>
            <w:vAlign w:val="center"/>
          </w:tcPr>
          <w:p>
            <w:pPr>
              <w:spacing w:after="80" w:before="0" w:line="276" w:lineRule="auto"/>
            </w:pPr>
            <w:r>
              <w:rPr>
                <w:rFonts w:ascii="Aptos" w:hAnsi="Aptos"/>
                <w:b w:val="0"/>
                <w:i w:val="0"/>
                <w:color w:val="1C2737"/>
                <w:sz w:val="18"/>
              </w:rPr>
              <w:t>durable overstatement</w:t>
            </w:r>
          </w:p>
        </w:tc>
        <w:tc>
          <w:tcPr>
            <w:tcW w:type="dxa" w:w="3744"/>
            <w:tcMar>
              <w:top w:w="90" w:type="dxa"/>
              <w:start w:w="100" w:type="dxa"/>
              <w:bottom w:w="90" w:type="dxa"/>
              <w:end w:w="100" w:type="dxa"/>
            </w:tcMar>
            <w:vAlign w:val="center"/>
          </w:tcPr>
          <w:p>
            <w:pPr>
              <w:spacing w:after="80" w:before="0" w:line="276" w:lineRule="auto"/>
            </w:pPr>
            <w:r>
              <w:rPr>
                <w:rFonts w:ascii="Aptos" w:hAnsi="Aptos"/>
                <w:b w:val="0"/>
                <w:i w:val="0"/>
                <w:color w:val="1C2737"/>
                <w:sz w:val="18"/>
              </w:rPr>
              <w:t>persistent user state</w:t>
            </w:r>
          </w:p>
        </w:tc>
        <w:tc>
          <w:tcPr>
            <w:tcW w:type="dxa" w:w="3168"/>
            <w:tcMar>
              <w:top w:w="90" w:type="dxa"/>
              <w:start w:w="100" w:type="dxa"/>
              <w:bottom w:w="90" w:type="dxa"/>
              <w:end w:w="100" w:type="dxa"/>
            </w:tcMar>
            <w:vAlign w:val="center"/>
          </w:tcPr>
          <w:p>
            <w:pPr>
              <w:spacing w:after="80" w:before="0" w:line="276" w:lineRule="auto"/>
            </w:pPr>
            <w:r>
              <w:rPr>
                <w:rFonts w:ascii="Aptos" w:hAnsi="Aptos"/>
                <w:b w:val="0"/>
                <w:i w:val="0"/>
                <w:color w:val="1C2737"/>
                <w:sz w:val="18"/>
              </w:rPr>
              <w:t>public band restriction</w:t>
            </w:r>
          </w:p>
        </w:tc>
      </w:tr>
      <w:tr>
        <w:tc>
          <w:tcPr>
            <w:tcW w:type="dxa" w:w="1296"/>
            <w:tcMar>
              <w:top w:w="90" w:type="dxa"/>
              <w:start w:w="100" w:type="dxa"/>
              <w:bottom w:w="90" w:type="dxa"/>
              <w:end w:w="100" w:type="dxa"/>
            </w:tcMar>
            <w:vAlign w:val="center"/>
          </w:tcPr>
          <w:p>
            <w:pPr>
              <w:spacing w:after="80" w:before="0" w:line="276" w:lineRule="auto"/>
              <w:jc w:val="center"/>
            </w:pPr>
            <w:r>
              <w:rPr>
                <w:rFonts w:ascii="Aptos" w:hAnsi="Aptos"/>
                <w:b/>
                <w:i w:val="0"/>
                <w:color w:val="1C2737"/>
                <w:sz w:val="19"/>
              </w:rPr>
              <w:t>S4</w:t>
            </w:r>
          </w:p>
        </w:tc>
        <w:tc>
          <w:tcPr>
            <w:tcW w:type="dxa" w:w="1872"/>
            <w:tcMar>
              <w:top w:w="90" w:type="dxa"/>
              <w:start w:w="100" w:type="dxa"/>
              <w:bottom w:w="90" w:type="dxa"/>
              <w:end w:w="100" w:type="dxa"/>
            </w:tcMar>
            <w:vAlign w:val="center"/>
          </w:tcPr>
          <w:p>
            <w:pPr>
              <w:spacing w:after="80" w:before="0" w:line="276" w:lineRule="auto"/>
            </w:pPr>
            <w:r>
              <w:rPr>
                <w:rFonts w:ascii="Aptos" w:hAnsi="Aptos"/>
                <w:b w:val="0"/>
                <w:i w:val="0"/>
                <w:color w:val="1C2737"/>
                <w:sz w:val="18"/>
              </w:rPr>
              <w:t>repeating inflated posture</w:t>
            </w:r>
          </w:p>
        </w:tc>
        <w:tc>
          <w:tcPr>
            <w:tcW w:type="dxa" w:w="3744"/>
            <w:tcMar>
              <w:top w:w="90" w:type="dxa"/>
              <w:start w:w="100" w:type="dxa"/>
              <w:bottom w:w="90" w:type="dxa"/>
              <w:end w:w="100" w:type="dxa"/>
            </w:tcMar>
            <w:vAlign w:val="center"/>
          </w:tcPr>
          <w:p>
            <w:pPr>
              <w:spacing w:after="80" w:before="0" w:line="276" w:lineRule="auto"/>
            </w:pPr>
            <w:r>
              <w:rPr>
                <w:rFonts w:ascii="Aptos" w:hAnsi="Aptos"/>
                <w:b w:val="0"/>
                <w:i w:val="0"/>
                <w:color w:val="1C2737"/>
                <w:sz w:val="18"/>
              </w:rPr>
              <w:t>persistent restriction state</w:t>
            </w:r>
          </w:p>
        </w:tc>
        <w:tc>
          <w:tcPr>
            <w:tcW w:type="dxa" w:w="3168"/>
            <w:tcMar>
              <w:top w:w="90" w:type="dxa"/>
              <w:start w:w="100" w:type="dxa"/>
              <w:bottom w:w="90" w:type="dxa"/>
              <w:end w:w="100" w:type="dxa"/>
            </w:tcMar>
            <w:vAlign w:val="center"/>
          </w:tcPr>
          <w:p>
            <w:pPr>
              <w:spacing w:after="80" w:before="0" w:line="276" w:lineRule="auto"/>
            </w:pPr>
            <w:r>
              <w:rPr>
                <w:rFonts w:ascii="Aptos" w:hAnsi="Aptos"/>
                <w:b w:val="0"/>
                <w:i w:val="0"/>
                <w:color w:val="1C2737"/>
                <w:sz w:val="18"/>
              </w:rPr>
              <w:t>suppress raw number or upgrade prompts</w:t>
            </w:r>
          </w:p>
        </w:tc>
      </w:tr>
      <w:tr>
        <w:tc>
          <w:tcPr>
            <w:tcW w:type="dxa" w:w="1296"/>
            <w:tcMar>
              <w:top w:w="90" w:type="dxa"/>
              <w:start w:w="100" w:type="dxa"/>
              <w:bottom w:w="90" w:type="dxa"/>
              <w:end w:w="100" w:type="dxa"/>
            </w:tcMar>
            <w:vAlign w:val="center"/>
          </w:tcPr>
          <w:p>
            <w:pPr>
              <w:spacing w:after="80" w:before="0" w:line="276" w:lineRule="auto"/>
              <w:jc w:val="center"/>
            </w:pPr>
            <w:r>
              <w:rPr>
                <w:rFonts w:ascii="Aptos" w:hAnsi="Aptos"/>
                <w:b/>
                <w:i w:val="0"/>
                <w:color w:val="1C2737"/>
                <w:sz w:val="19"/>
              </w:rPr>
              <w:t>S5</w:t>
            </w:r>
          </w:p>
        </w:tc>
        <w:tc>
          <w:tcPr>
            <w:tcW w:type="dxa" w:w="1872"/>
            <w:tcMar>
              <w:top w:w="90" w:type="dxa"/>
              <w:start w:w="100" w:type="dxa"/>
              <w:bottom w:w="90" w:type="dxa"/>
              <w:end w:w="100" w:type="dxa"/>
            </w:tcMar>
            <w:vAlign w:val="center"/>
          </w:tcPr>
          <w:p>
            <w:pPr>
              <w:spacing w:after="80" w:before="0" w:line="276" w:lineRule="auto"/>
            </w:pPr>
            <w:r>
              <w:rPr>
                <w:rFonts w:ascii="Aptos" w:hAnsi="Aptos"/>
                <w:b w:val="0"/>
                <w:i w:val="0"/>
                <w:color w:val="1C2737"/>
                <w:sz w:val="18"/>
              </w:rPr>
              <w:t>critical mismatch</w:t>
            </w:r>
          </w:p>
        </w:tc>
        <w:tc>
          <w:tcPr>
            <w:tcW w:type="dxa" w:w="3744"/>
            <w:tcMar>
              <w:top w:w="90" w:type="dxa"/>
              <w:start w:w="100" w:type="dxa"/>
              <w:bottom w:w="90" w:type="dxa"/>
              <w:end w:w="100" w:type="dxa"/>
            </w:tcMar>
            <w:vAlign w:val="center"/>
          </w:tcPr>
          <w:p>
            <w:pPr>
              <w:spacing w:after="80" w:before="0" w:line="276" w:lineRule="auto"/>
            </w:pPr>
            <w:r>
              <w:rPr>
                <w:rFonts w:ascii="Aptos" w:hAnsi="Aptos"/>
                <w:b w:val="0"/>
                <w:i w:val="0"/>
                <w:color w:val="1C2737"/>
                <w:sz w:val="18"/>
              </w:rPr>
              <w:t>protection state</w:t>
            </w:r>
          </w:p>
        </w:tc>
        <w:tc>
          <w:tcPr>
            <w:tcW w:type="dxa" w:w="3168"/>
            <w:tcMar>
              <w:top w:w="90" w:type="dxa"/>
              <w:start w:w="100" w:type="dxa"/>
              <w:bottom w:w="90" w:type="dxa"/>
              <w:end w:w="100" w:type="dxa"/>
            </w:tcMar>
            <w:vAlign w:val="center"/>
          </w:tcPr>
          <w:p>
            <w:pPr>
              <w:spacing w:after="80" w:before="0" w:line="276" w:lineRule="auto"/>
            </w:pPr>
            <w:r>
              <w:rPr>
                <w:rFonts w:ascii="Aptos" w:hAnsi="Aptos"/>
                <w:b w:val="0"/>
                <w:i w:val="0"/>
                <w:color w:val="1C2737"/>
                <w:sz w:val="18"/>
              </w:rPr>
              <w:t>internal only until stabilized</w:t>
            </w:r>
          </w:p>
        </w:tc>
      </w:tr>
    </w:tbl>
    <w:p/>
    <w:tbl>
      <w:tblPr>
        <w:tblW w:type="auto" w:w="0"/>
        <w:jc w:val="center"/>
        <w:tblLayout w:type="fixed"/>
        <w:tblLook w:firstColumn="1" w:firstRow="1" w:lastColumn="0" w:lastRow="0" w:noHBand="0" w:noVBand="1" w:val="04A0"/>
        <w:tblBorders>
          <w:top w:val="single" w:sz="8" w:space="0" w:color="C7D0DA"/>
          <w:left w:val="single" w:sz="8" w:space="0" w:color="C7D0DA"/>
          <w:bottom w:val="single" w:sz="8" w:space="0" w:color="C7D0DA"/>
          <w:right w:val="single" w:sz="8" w:space="0" w:color="C7D0DA"/>
          <w:insideH w:val="single" w:sz="8" w:space="0" w:color="C7D0DA"/>
          <w:insideV w:val="single" w:sz="8" w:space="0" w:color="C7D0DA"/>
        </w:tblBorders>
      </w:tblPr>
      <w:tblGrid>
        <w:gridCol w:w="4968"/>
        <w:gridCol w:w="4968"/>
      </w:tblGrid>
      <w:tr>
        <w:tc>
          <w:tcPr>
            <w:tcW w:type="dxa" w:w="2592"/>
            <w:tcMar>
              <w:top w:w="80" w:type="dxa"/>
              <w:start w:w="90" w:type="dxa"/>
              <w:bottom w:w="80" w:type="dxa"/>
              <w:end w:w="90" w:type="dxa"/>
            </w:tcMar>
            <w:shd w:fill="DDEAF7"/>
          </w:tcPr>
          <w:p>
            <w:pPr>
              <w:spacing w:after="80" w:before="0" w:line="276" w:lineRule="auto"/>
              <w:jc w:val="center"/>
            </w:pPr>
            <w:r>
              <w:rPr>
                <w:rFonts w:ascii="Aptos" w:hAnsi="Aptos"/>
                <w:b/>
                <w:i w:val="0"/>
                <w:color w:val="1C2737"/>
                <w:sz w:val="18"/>
              </w:rPr>
              <w:t>Area</w:t>
            </w:r>
          </w:p>
        </w:tc>
        <w:tc>
          <w:tcPr>
            <w:tcW w:type="dxa" w:w="7776"/>
            <w:tcMar>
              <w:top w:w="80" w:type="dxa"/>
              <w:start w:w="90" w:type="dxa"/>
              <w:bottom w:w="80" w:type="dxa"/>
              <w:end w:w="90" w:type="dxa"/>
            </w:tcMar>
            <w:shd w:fill="DDEAF7"/>
          </w:tcPr>
          <w:p>
            <w:pPr>
              <w:spacing w:after="80" w:before="0" w:line="276" w:lineRule="auto"/>
              <w:jc w:val="center"/>
            </w:pPr>
            <w:r>
              <w:rPr>
                <w:rFonts w:ascii="Aptos" w:hAnsi="Aptos"/>
                <w:b/>
                <w:i w:val="0"/>
                <w:color w:val="1C2737"/>
                <w:sz w:val="18"/>
              </w:rPr>
              <w:t>Rule</w:t>
            </w:r>
          </w:p>
        </w:tc>
      </w:tr>
      <w:tr>
        <w:tc>
          <w:tcPr>
            <w:tcW w:type="dxa" w:w="2592"/>
            <w:tcMar>
              <w:top w:w="80" w:type="dxa"/>
              <w:start w:w="90" w:type="dxa"/>
              <w:bottom w:w="80" w:type="dxa"/>
              <w:end w:w="90" w:type="dxa"/>
            </w:tcMar>
            <w:vAlign w:val="center"/>
          </w:tcPr>
          <w:p>
            <w:pPr>
              <w:spacing w:after="80" w:before="0" w:line="276" w:lineRule="auto"/>
              <w:jc w:val="center"/>
            </w:pPr>
            <w:r>
              <w:rPr>
                <w:rFonts w:ascii="Aptos" w:hAnsi="Aptos"/>
                <w:b/>
                <w:i w:val="0"/>
                <w:color w:val="1C2737"/>
                <w:sz w:val="18"/>
              </w:rPr>
              <w:t>Write-back</w:t>
            </w:r>
          </w:p>
        </w:tc>
        <w:tc>
          <w:tcPr>
            <w:tcW w:type="dxa" w:w="7776"/>
            <w:tcMar>
              <w:top w:w="80" w:type="dxa"/>
              <w:start w:w="90" w:type="dxa"/>
              <w:bottom w:w="80" w:type="dxa"/>
              <w:end w:w="90" w:type="dxa"/>
            </w:tcMar>
            <w:vAlign w:val="center"/>
          </w:tcPr>
          <w:p>
            <w:pPr>
              <w:spacing w:after="80" w:before="0" w:line="276" w:lineRule="auto"/>
            </w:pPr>
            <w:r>
              <w:rPr>
                <w:rFonts w:ascii="Aptos" w:hAnsi="Aptos"/>
                <w:b w:val="0"/>
                <w:i w:val="0"/>
                <w:color w:val="1C2737"/>
                <w:sz w:val="18"/>
              </w:rPr>
              <w:t>Persist declared readiness posture, last evidence refresh window, delta between self-report and evidence-supported readiness, active supporting clusters, and display restrictions in force. This write-back may directly drive UI suppression logic.</w:t>
            </w:r>
          </w:p>
        </w:tc>
      </w:tr>
      <w:tr>
        <w:tc>
          <w:tcPr>
            <w:tcW w:type="dxa" w:w="2592"/>
            <w:tcMar>
              <w:top w:w="80" w:type="dxa"/>
              <w:start w:w="90" w:type="dxa"/>
              <w:bottom w:w="80" w:type="dxa"/>
              <w:end w:w="90" w:type="dxa"/>
            </w:tcMar>
            <w:vAlign w:val="center"/>
          </w:tcPr>
          <w:p>
            <w:pPr>
              <w:spacing w:after="80" w:before="0" w:line="276" w:lineRule="auto"/>
              <w:jc w:val="center"/>
            </w:pPr>
            <w:r>
              <w:rPr>
                <w:rFonts w:ascii="Aptos" w:hAnsi="Aptos"/>
                <w:b/>
                <w:i w:val="0"/>
                <w:color w:val="1C2737"/>
                <w:sz w:val="18"/>
              </w:rPr>
              <w:t>Decay / clear</w:t>
            </w:r>
          </w:p>
        </w:tc>
        <w:tc>
          <w:tcPr>
            <w:tcW w:type="dxa" w:w="7776"/>
            <w:tcMar>
              <w:top w:w="80" w:type="dxa"/>
              <w:start w:w="90" w:type="dxa"/>
              <w:bottom w:w="80" w:type="dxa"/>
              <w:end w:w="90" w:type="dxa"/>
            </w:tcMar>
            <w:vAlign w:val="center"/>
          </w:tcPr>
          <w:p>
            <w:pPr>
              <w:spacing w:after="80" w:before="0" w:line="276" w:lineRule="auto"/>
            </w:pPr>
            <w:r>
              <w:rPr>
                <w:rFonts w:ascii="Aptos" w:hAnsi="Aptos"/>
                <w:b w:val="0"/>
                <w:i w:val="0"/>
                <w:color w:val="1C2737"/>
                <w:sz w:val="18"/>
              </w:rPr>
              <w:t>Downgrade after the evidence-supported readiness converges upward or the user posture converges downward for one full refresh cycle. Clear after two aligned cycles with no active supporting cluster above S2.</w:t>
            </w:r>
          </w:p>
        </w:tc>
      </w:tr>
      <w:tr>
        <w:tc>
          <w:tcPr>
            <w:tcW w:type="dxa" w:w="2592"/>
            <w:tcMar>
              <w:top w:w="80" w:type="dxa"/>
              <w:start w:w="90" w:type="dxa"/>
              <w:bottom w:w="80" w:type="dxa"/>
              <w:end w:w="90" w:type="dxa"/>
            </w:tcMar>
            <w:vAlign w:val="center"/>
          </w:tcPr>
          <w:p>
            <w:pPr>
              <w:spacing w:after="80" w:before="0" w:line="276" w:lineRule="auto"/>
              <w:jc w:val="center"/>
            </w:pPr>
            <w:r>
              <w:rPr>
                <w:rFonts w:ascii="Aptos" w:hAnsi="Aptos"/>
                <w:b/>
                <w:i w:val="0"/>
                <w:color w:val="1C2737"/>
                <w:sz w:val="18"/>
              </w:rPr>
              <w:t>Readiness effect</w:t>
            </w:r>
          </w:p>
        </w:tc>
        <w:tc>
          <w:tcPr>
            <w:tcW w:type="dxa" w:w="7776"/>
            <w:tcMar>
              <w:top w:w="80" w:type="dxa"/>
              <w:start w:w="90" w:type="dxa"/>
              <w:bottom w:w="80" w:type="dxa"/>
              <w:end w:w="90" w:type="dxa"/>
            </w:tcMar>
            <w:vAlign w:val="center"/>
          </w:tcPr>
          <w:p>
            <w:pPr>
              <w:spacing w:after="80" w:before="0" w:line="276" w:lineRule="auto"/>
            </w:pPr>
            <w:r>
              <w:rPr>
                <w:rFonts w:ascii="Aptos" w:hAnsi="Aptos"/>
                <w:b w:val="0"/>
                <w:i w:val="0"/>
                <w:color w:val="1C2737"/>
                <w:sz w:val="18"/>
              </w:rPr>
              <w:t>This cluster directly governs the readiness surface. It can downgrade numeric display to band-only, soften public copy, or suppress the number entirely while leaving internal readiness calculations intact.</w:t>
            </w:r>
          </w:p>
        </w:tc>
      </w:tr>
      <w:tr>
        <w:tc>
          <w:tcPr>
            <w:tcW w:type="dxa" w:w="2592"/>
            <w:tcMar>
              <w:top w:w="80" w:type="dxa"/>
              <w:start w:w="90" w:type="dxa"/>
              <w:bottom w:w="80" w:type="dxa"/>
              <w:end w:w="90" w:type="dxa"/>
            </w:tcMar>
            <w:vAlign w:val="center"/>
          </w:tcPr>
          <w:p>
            <w:pPr>
              <w:spacing w:after="80" w:before="0" w:line="276" w:lineRule="auto"/>
              <w:jc w:val="center"/>
            </w:pPr>
            <w:r>
              <w:rPr>
                <w:rFonts w:ascii="Aptos" w:hAnsi="Aptos"/>
                <w:b/>
                <w:i w:val="0"/>
                <w:color w:val="1C2737"/>
                <w:sz w:val="18"/>
              </w:rPr>
              <w:t>Forecast effect</w:t>
            </w:r>
          </w:p>
        </w:tc>
        <w:tc>
          <w:tcPr>
            <w:tcW w:type="dxa" w:w="7776"/>
            <w:tcMar>
              <w:top w:w="80" w:type="dxa"/>
              <w:start w:w="90" w:type="dxa"/>
              <w:bottom w:w="80" w:type="dxa"/>
              <w:end w:w="90" w:type="dxa"/>
            </w:tcMar>
            <w:vAlign w:val="center"/>
          </w:tcPr>
          <w:p>
            <w:pPr>
              <w:spacing w:after="80" w:before="0" w:line="276" w:lineRule="auto"/>
            </w:pPr>
            <w:r>
              <w:rPr>
                <w:rFonts w:ascii="Aptos" w:hAnsi="Aptos"/>
                <w:b w:val="0"/>
                <w:i w:val="0"/>
                <w:color w:val="1C2737"/>
                <w:sz w:val="18"/>
              </w:rPr>
              <w:t>Indirect only. Forecast should not use this cluster as a major pair penalty except through supporting clusters that created the mismatch.</w:t>
            </w:r>
          </w:p>
        </w:tc>
      </w:tr>
      <w:tr>
        <w:tc>
          <w:tcPr>
            <w:tcW w:type="dxa" w:w="2592"/>
            <w:tcMar>
              <w:top w:w="80" w:type="dxa"/>
              <w:start w:w="90" w:type="dxa"/>
              <w:bottom w:w="80" w:type="dxa"/>
              <w:end w:w="90" w:type="dxa"/>
            </w:tcMar>
            <w:vAlign w:val="center"/>
          </w:tcPr>
          <w:p>
            <w:pPr>
              <w:spacing w:after="80" w:before="0" w:line="276" w:lineRule="auto"/>
              <w:jc w:val="center"/>
            </w:pPr>
            <w:r>
              <w:rPr>
                <w:rFonts w:ascii="Aptos" w:hAnsi="Aptos"/>
                <w:b/>
                <w:i w:val="0"/>
                <w:color w:val="1C2737"/>
                <w:sz w:val="18"/>
              </w:rPr>
              <w:t>Drift interlock</w:t>
            </w:r>
          </w:p>
        </w:tc>
        <w:tc>
          <w:tcPr>
            <w:tcW w:type="dxa" w:w="7776"/>
            <w:tcMar>
              <w:top w:w="80" w:type="dxa"/>
              <w:start w:w="90" w:type="dxa"/>
              <w:bottom w:w="80" w:type="dxa"/>
              <w:end w:w="90" w:type="dxa"/>
            </w:tcMar>
            <w:vAlign w:val="center"/>
          </w:tcPr>
          <w:p>
            <w:pPr>
              <w:spacing w:after="80" w:before="0" w:line="276" w:lineRule="auto"/>
            </w:pPr>
            <w:r>
              <w:rPr>
                <w:rFonts w:ascii="Aptos" w:hAnsi="Aptos"/>
                <w:b w:val="0"/>
                <w:i w:val="0"/>
                <w:color w:val="1C2737"/>
                <w:sz w:val="18"/>
              </w:rPr>
              <w:t>Readiness Overstatement does not itself create drift. It may reference drift as evidence when the user presents stable-high readiness during active unresolved slow drift or hold-unstable conditions.</w:t>
            </w:r>
          </w:p>
        </w:tc>
      </w:tr>
      <w:tr>
        <w:tc>
          <w:tcPr>
            <w:tcW w:type="dxa" w:w="2592"/>
            <w:tcMar>
              <w:top w:w="80" w:type="dxa"/>
              <w:start w:w="90" w:type="dxa"/>
              <w:bottom w:w="80" w:type="dxa"/>
              <w:end w:w="90" w:type="dxa"/>
            </w:tcMar>
            <w:vAlign w:val="center"/>
          </w:tcPr>
          <w:p>
            <w:pPr>
              <w:spacing w:after="80" w:before="0" w:line="276" w:lineRule="auto"/>
              <w:jc w:val="center"/>
            </w:pPr>
            <w:r>
              <w:rPr>
                <w:rFonts w:ascii="Aptos" w:hAnsi="Aptos"/>
                <w:b/>
                <w:i w:val="0"/>
                <w:color w:val="1C2737"/>
                <w:sz w:val="18"/>
              </w:rPr>
              <w:t>AI / Sanctuary use</w:t>
            </w:r>
          </w:p>
        </w:tc>
        <w:tc>
          <w:tcPr>
            <w:tcW w:type="dxa" w:w="7776"/>
            <w:tcMar>
              <w:top w:w="80" w:type="dxa"/>
              <w:start w:w="90" w:type="dxa"/>
              <w:bottom w:w="80" w:type="dxa"/>
              <w:end w:w="90" w:type="dxa"/>
            </w:tcMar>
            <w:vAlign w:val="center"/>
          </w:tcPr>
          <w:p>
            <w:pPr>
              <w:spacing w:after="80" w:before="0" w:line="276" w:lineRule="auto"/>
            </w:pPr>
            <w:r>
              <w:rPr>
                <w:rFonts w:ascii="Aptos" w:hAnsi="Aptos"/>
                <w:b w:val="0"/>
                <w:i w:val="0"/>
                <w:color w:val="1C2737"/>
                <w:sz w:val="18"/>
              </w:rPr>
              <w:t>AI may explain the difference between intention and current capacity without shaming the user. Sanctuary prompts should focus on alignment, not accusation.</w:t>
            </w:r>
          </w:p>
        </w:tc>
      </w:tr>
    </w:tbl>
    <w:p/>
    <w:tbl>
      <w:tblPr>
        <w:tblW w:type="auto" w:w="0"/>
        <w:jc w:val="center"/>
        <w:tblLayout w:type="fixed"/>
        <w:tblLook w:firstColumn="1" w:firstRow="1" w:lastColumn="0" w:lastRow="0" w:noHBand="0" w:noVBand="1" w:val="04A0"/>
        <w:tblBorders>
          <w:top w:val="single" w:sz="10" w:space="0" w:color="AFC2D5"/>
          <w:left w:val="single" w:sz="10" w:space="0" w:color="AFC2D5"/>
          <w:bottom w:val="single" w:sz="10" w:space="0" w:color="AFC2D5"/>
          <w:right w:val="single" w:sz="10" w:space="0" w:color="AFC2D5"/>
          <w:insideH w:val="single" w:sz="10" w:space="0" w:color="AFC2D5"/>
          <w:insideV w:val="single" w:sz="10" w:space="0" w:color="AFC2D5"/>
        </w:tblBorders>
      </w:tblPr>
      <w:tblGrid>
        <w:gridCol w:w="9936"/>
      </w:tblGrid>
      <w:tr>
        <w:tc>
          <w:tcPr>
            <w:tcW w:type="dxa" w:w="9936"/>
            <w:shd w:fill="F4F8FB"/>
            <w:tcMar>
              <w:top w:w="120" w:type="dxa"/>
              <w:start w:w="140" w:type="dxa"/>
              <w:bottom w:w="120" w:type="dxa"/>
              <w:end w:w="140" w:type="dxa"/>
            </w:tcMar>
          </w:tcPr>
          <w:p>
            <w:pPr>
              <w:spacing w:after="40" w:before="0" w:line="276" w:lineRule="auto"/>
            </w:pPr>
            <w:r>
              <w:rPr>
                <w:rFonts w:ascii="Aptos" w:hAnsi="Aptos"/>
                <w:b/>
                <w:i w:val="0"/>
                <w:color w:val="24528C"/>
                <w:sz w:val="21"/>
              </w:rPr>
              <w:t>QA examples to lock before production</w:t>
            </w:r>
          </w:p>
          <w:p>
            <w:pPr>
              <w:spacing w:after="0" w:before="0" w:line="276" w:lineRule="auto"/>
            </w:pPr>
            <w:r>
              <w:rPr>
                <w:rFonts w:ascii="Aptos" w:hAnsi="Aptos"/>
                <w:b w:val="0"/>
                <w:i w:val="0"/>
                <w:color w:val="1C2737"/>
                <w:sz w:val="20"/>
              </w:rPr>
              <w:t>Test optimistic but improving users; should stay low and decay as evidence catches up. Test high self-claim plus unresolved Repair Gap and Control Avoidance; should escalate and suppress raw readiness number. Test low confidence sparse-evidence users; should use caution rather than severe mismatch penalties.</w:t>
            </w:r>
          </w:p>
        </w:tc>
      </w:tr>
    </w:tbl>
    <w:p/>
    <w:p>
      <w:r>
        <w:br w:type="page"/>
      </w:r>
    </w:p>
    <w:p>
      <w:pPr>
        <w:spacing w:before="200" w:after="40"/>
      </w:pPr>
      <w:r>
        <w:rPr>
          <w:b/>
          <w:color w:val="24528C"/>
          <w:sz w:val="28"/>
        </w:rPr>
        <w:t>Batch 1 implementation checklist</w:t>
      </w:r>
    </w:p>
    <w:p>
      <w:pPr>
        <w:pStyle w:val="ListBullet"/>
        <w:spacing w:after="60" w:before="0" w:line="276" w:lineRule="auto"/>
        <w:ind w:left="259"/>
      </w:pPr>
      <w:r>
        <w:rPr>
          <w:rFonts w:ascii="Aptos" w:hAnsi="Aptos"/>
          <w:b w:val="0"/>
          <w:i w:val="0"/>
          <w:color w:val="1C2737"/>
          <w:sz w:val="21"/>
        </w:rPr>
        <w:t>Freeze immutable cluster IDs and threshold constants in configuration with version tags.</w:t>
      </w:r>
    </w:p>
    <w:p>
      <w:pPr>
        <w:pStyle w:val="ListBullet"/>
        <w:spacing w:after="60" w:before="0" w:line="276" w:lineRule="auto"/>
        <w:ind w:left="259"/>
      </w:pPr>
      <w:r>
        <w:rPr>
          <w:rFonts w:ascii="Aptos" w:hAnsi="Aptos"/>
          <w:b w:val="0"/>
          <w:i w:val="0"/>
          <w:color w:val="1C2737"/>
          <w:sz w:val="21"/>
        </w:rPr>
        <w:t>Map workbook contradiction pairs and reflection clusters to these cluster IDs before UI work begins.</w:t>
      </w:r>
    </w:p>
    <w:p>
      <w:pPr>
        <w:pStyle w:val="ListBullet"/>
        <w:spacing w:after="60" w:before="0" w:line="276" w:lineRule="auto"/>
        <w:ind w:left="259"/>
      </w:pPr>
      <w:r>
        <w:rPr>
          <w:rFonts w:ascii="Aptos" w:hAnsi="Aptos"/>
          <w:b w:val="0"/>
          <w:i w:val="0"/>
          <w:color w:val="1C2737"/>
          <w:sz w:val="21"/>
        </w:rPr>
        <w:t>Build event capture for repair, reciprocity, planning, and retreat signals before enabling forecast penalties in production.</w:t>
      </w:r>
    </w:p>
    <w:p>
      <w:pPr>
        <w:pStyle w:val="ListBullet"/>
        <w:spacing w:after="60" w:before="0" w:line="276" w:lineRule="auto"/>
        <w:ind w:left="259"/>
      </w:pPr>
      <w:r>
        <w:rPr>
          <w:rFonts w:ascii="Aptos" w:hAnsi="Aptos"/>
          <w:b w:val="0"/>
          <w:i w:val="0"/>
          <w:color w:val="1C2737"/>
          <w:sz w:val="21"/>
        </w:rPr>
        <w:t>Attach softened user-facing copy and suppression rules before any public readiness or forecast exposure.</w:t>
      </w:r>
    </w:p>
    <w:p>
      <w:pPr>
        <w:pStyle w:val="ListBullet"/>
        <w:spacing w:after="60" w:before="0" w:line="276" w:lineRule="auto"/>
        <w:ind w:left="259"/>
      </w:pPr>
      <w:r>
        <w:rPr>
          <w:rFonts w:ascii="Aptos" w:hAnsi="Aptos"/>
          <w:b w:val="0"/>
          <w:i w:val="0"/>
          <w:color w:val="1C2737"/>
          <w:sz w:val="21"/>
        </w:rPr>
        <w:t>Run historical backtests, false-positive review, and paired QA simulations for each cluster before opening guarded-mode surfaces.</w:t>
      </w:r>
    </w:p>
    <w:tbl>
      <w:tblPr>
        <w:tblW w:type="auto" w:w="0"/>
        <w:jc w:val="center"/>
        <w:tblLayout w:type="fixed"/>
        <w:tblLook w:firstColumn="1" w:firstRow="1" w:lastColumn="0" w:lastRow="0" w:noHBand="0" w:noVBand="1" w:val="04A0"/>
        <w:tblBorders>
          <w:top w:val="single" w:sz="10" w:space="0" w:color="AFC2D5"/>
          <w:left w:val="single" w:sz="10" w:space="0" w:color="AFC2D5"/>
          <w:bottom w:val="single" w:sz="10" w:space="0" w:color="AFC2D5"/>
          <w:right w:val="single" w:sz="10" w:space="0" w:color="AFC2D5"/>
          <w:insideH w:val="single" w:sz="10" w:space="0" w:color="AFC2D5"/>
          <w:insideV w:val="single" w:sz="10" w:space="0" w:color="AFC2D5"/>
        </w:tblBorders>
      </w:tblPr>
      <w:tblGrid>
        <w:gridCol w:w="9936"/>
      </w:tblGrid>
      <w:tr>
        <w:tc>
          <w:tcPr>
            <w:tcW w:type="dxa" w:w="9936"/>
            <w:shd w:fill="F4F8FB"/>
            <w:tcMar>
              <w:top w:w="120" w:type="dxa"/>
              <w:start w:w="140" w:type="dxa"/>
              <w:bottom w:w="120" w:type="dxa"/>
              <w:end w:w="140" w:type="dxa"/>
            </w:tcMar>
          </w:tcPr>
          <w:p>
            <w:pPr>
              <w:spacing w:after="40" w:before="0" w:line="276" w:lineRule="auto"/>
            </w:pPr>
            <w:r>
              <w:rPr>
                <w:rFonts w:ascii="Aptos" w:hAnsi="Aptos"/>
                <w:b/>
                <w:i w:val="0"/>
                <w:color w:val="24528C"/>
                <w:sz w:val="21"/>
              </w:rPr>
              <w:t>Next companion artifacts after this batch</w:t>
            </w:r>
          </w:p>
          <w:p>
            <w:pPr>
              <w:spacing w:after="0" w:before="0" w:line="276" w:lineRule="auto"/>
            </w:pPr>
            <w:r>
              <w:rPr>
                <w:rFonts w:ascii="Aptos" w:hAnsi="Aptos"/>
                <w:b w:val="0"/>
                <w:i w:val="0"/>
                <w:color w:val="1C2737"/>
                <w:sz w:val="20"/>
              </w:rPr>
              <w:t>Maintain the threshold workbook references, the user-facing copy library, admin review playbooks, and migration notes beside this pack. The cluster spec is the law, and these batch files are the first set of working statutes.</w:t>
            </w:r>
          </w:p>
        </w:tc>
      </w:tr>
    </w:tbl>
    <w:p/>
    <w:sectPr w:rsidR="00FC693F" w:rsidRPr="0006063C" w:rsidSect="00034616">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mall">
    <w:name w:val="Body Small"/>
    <w:rPr>
      <w:rFonts w:ascii="Aptos" w:hAnsi="Apto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