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2D3D"/>
          <w:sz w:val="44"/>
        </w:rPr>
        <w:t>Genesis OS / Relationship Scores</w:t>
        <w:br/>
        <w:t>AI Visibility, Consent Governance,</w:t>
        <w:br/>
        <w:t>and Human Emotion Genome Spec v1</w:t>
      </w:r>
    </w:p>
    <w:p>
      <w:pPr>
        <w:jc w:val="center"/>
      </w:pPr>
      <w:r>
        <w:rPr>
          <w:i/>
          <w:color w:val="5A5A5A"/>
          <w:sz w:val="22"/>
        </w:rPr>
        <w:t>Unified governance layer for Quantum Mirror, narrative extraction, emotional telemetry, and machine-learning intake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1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Define what AI may read, infer, save, expose, enrich, and feed into analytics/ML without mutating core truth recklessly.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CE6F1"/>
          </w:tcPr>
          <w:p>
            <w:r>
              <w:rPr>
                <w:b/>
              </w:rPr>
              <w:t>Core rule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The user experiences elegant reflection; the system underneath remains deterministic, versioned, consent-gated, evidence-banded, and auditable.</w:t>
            </w:r>
          </w:p>
        </w:tc>
      </w:tr>
    </w:tbl>
    <w:p/>
    <w:p>
      <w:pPr>
        <w:pStyle w:val="Heading1"/>
      </w:pPr>
      <w:r>
        <w:t>1. Why the Quantum Mirror files matter</w:t>
      </w:r>
    </w:p>
    <w:p>
      <w:r>
        <w:t>The Quantum Mirror blueprint closes the exact blind spots that scoring workbooks cannot solve on their own: governed narrative extraction, evidence bands, consent scopes, API contracts, session memory classes, bounded profile mutation, moderation logic, and event-level provenance. It turns raw reflection into usable structured signals without letting one dramatic session rewrite slow identity. That makes it the right backbone for a true human emotion genome rather than a pretty chatbot with commitment issues.</w:t>
      </w:r>
    </w:p>
    <w:p>
      <w:pPr>
        <w:pStyle w:val="Heading1"/>
      </w:pPr>
      <w:r>
        <w:t>2. Definition: Human Emotion Genome</w:t>
      </w:r>
    </w:p>
    <w:p>
      <w:r>
        <w:t>For Genesis OS, the human emotion genome is the versioned, multi-layer representation of how a person tends to perceive, signal, regulate, pursue, protect, bond, rupture, repair, and remember inside relationships. It is not a diagnosis. It is not a permanent sentence. It is a governed signal model composed of stable traits, repeated patterns, fast states, narrative themes, and consent-qualified evidence.</w:t>
      </w:r>
    </w:p>
    <w:p>
      <w:pPr>
        <w:pStyle w:val="Heading1"/>
      </w:pPr>
      <w:r>
        <w:t>3. Emotion Genome layers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160"/>
        <w:gridCol w:w="2304"/>
        <w:gridCol w:w="3168"/>
        <w:gridCol w:w="1584"/>
      </w:tblGrid>
      <w:tr>
        <w:tc>
          <w:tcPr>
            <w:tcW w:type="dxa" w:w="1987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1987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Examples</w:t>
            </w:r>
          </w:p>
        </w:tc>
        <w:tc>
          <w:tcPr>
            <w:tcW w:type="dxa" w:w="1987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Update cadence</w:t>
            </w:r>
          </w:p>
        </w:tc>
        <w:tc>
          <w:tcPr>
            <w:tcW w:type="dxa" w:w="1987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Used for</w:t>
            </w:r>
          </w:p>
        </w:tc>
        <w:tc>
          <w:tcPr>
            <w:tcW w:type="dxa" w:w="1987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Can AI mutate directly?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Slow identity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archetype distribution, shadow distribution, baseline preferences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slow / governed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score interpretation, stable profile packet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Medium pattern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trigger intensity, repeated themes, conflict tendencies, grief residue trend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batch / corroborated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forecasting, coaching, match translation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Only through governed enrichment rules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Fast state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guarded, activated, hopeful, drained, post-conflict stress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session / event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immediate response selection, message help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Yes, but decays automatically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Narrative memory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history anchors, lessons, boundaries, approved memories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user-confirmed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continuity, longitudinal insight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Only with consent and review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Safety layer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coercion, stalking, threats, crisis cues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real-time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moderation and refusal logic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Yes, via safety pipeline only</w:t>
            </w:r>
          </w:p>
        </w:tc>
      </w:tr>
    </w:tbl>
    <w:p/>
    <w:p>
      <w:pPr>
        <w:pStyle w:val="Heading1"/>
      </w:pPr>
      <w:r>
        <w:t>4. Canonical genome families to capture</w:t>
      </w:r>
    </w:p>
    <w:p>
      <w:pPr>
        <w:pStyle w:val="ListBullet"/>
      </w:pPr>
      <w:r>
        <w:t>Tone profile: direct, hedged reflective, warm open, dry detached, guarded, overexplaining, chaotic activated, flat exhausted, self-blaming, accusatory.</w:t>
      </w:r>
    </w:p>
    <w:p>
      <w:pPr>
        <w:pStyle w:val="ListBullet"/>
      </w:pPr>
      <w:r>
        <w:t>Phrasing and stance: joking deflection, qualifier-heavy language, mind-reading, absolute language, peacekeeping, reassurance seeking, controlled distance, growth ownership.</w:t>
      </w:r>
    </w:p>
    <w:p>
      <w:pPr>
        <w:pStyle w:val="ListBullet"/>
      </w:pPr>
      <w:r>
        <w:t>Behavior patterns: pursuer, distancer, passive drifter, soft entry, hyper-vigilant decoder, preemptive withdrawal, appeaser, scorekeeper, repair oriented.</w:t>
      </w:r>
    </w:p>
    <w:p>
      <w:pPr>
        <w:pStyle w:val="ListBullet"/>
      </w:pPr>
      <w:r>
        <w:t>Narrative themes: abandonment fear, emotional invisibility, inconsistency addiction, overfunctioning, self-erasure, loyalty to wound, trust fracture, grief residue, control avoidance, safety craving.</w:t>
      </w:r>
    </w:p>
    <w:p>
      <w:pPr>
        <w:pStyle w:val="ListBullet"/>
      </w:pPr>
      <w:r>
        <w:t>Trigger classes: delayed response, cold tone, sudden distance, mixed signals, unreliability, pressure, dismissiveness, comparison, secrecy, ambiguity.</w:t>
      </w:r>
    </w:p>
    <w:p>
      <w:pPr>
        <w:pStyle w:val="ListBullet"/>
      </w:pPr>
      <w:r>
        <w:t>Boundary and need signals: dignity preserve, pace protection, reassurance preference, directness preference, repair delay, space need, predictability need, transparency need.</w:t>
      </w:r>
    </w:p>
    <w:p>
      <w:pPr>
        <w:pStyle w:val="ListBullet"/>
      </w:pPr>
      <w:r>
        <w:t>Regulation markers: self-soothing, escalation, numbing, shutdown, protest behavior, overanalysis, restoration ritual, repair latency.</w:t>
      </w:r>
    </w:p>
    <w:p>
      <w:pPr>
        <w:pStyle w:val="ListBullet"/>
      </w:pPr>
      <w:r>
        <w:t>Outcome telemetry: follow-through, rupture frequency, repair completion, state recovery speed, mismatch recurrence, improvement trend.</w:t>
      </w:r>
    </w:p>
    <w:p>
      <w:pPr>
        <w:pStyle w:val="Heading1"/>
      </w:pPr>
      <w:r>
        <w:t>5. Source hierarchy for the genome</w:t>
      </w:r>
    </w:p>
    <w:p>
      <w:pPr>
        <w:pStyle w:val="ListNumber"/>
      </w:pPr>
      <w:r>
        <w:t>Assessment engine remains the primary source of truth for stable blueprint variables.</w:t>
      </w:r>
    </w:p>
    <w:p>
      <w:pPr>
        <w:pStyle w:val="ListNumber"/>
      </w:pPr>
      <w:r>
        <w:t>Quantum Mirror narrative extraction becomes the primary source for medium-pattern enrichment and user-approved narrative memory.</w:t>
      </w:r>
    </w:p>
    <w:p>
      <w:pPr>
        <w:pStyle w:val="ListNumber"/>
      </w:pPr>
      <w:r>
        <w:t>Sanctuary and state check-ins become the primary source for fast emotional-state telemetry.</w:t>
      </w:r>
    </w:p>
    <w:p>
      <w:pPr>
        <w:pStyle w:val="ListNumber"/>
      </w:pPr>
      <w:r>
        <w:t>Messaging and match interactions may enrich behavioral telemetry only when explicit consent scope allows it.</w:t>
      </w:r>
    </w:p>
    <w:p>
      <w:pPr>
        <w:pStyle w:val="ListNumber"/>
      </w:pPr>
      <w:r>
        <w:t>Safety systems may override response flow, but safety outputs do not automatically become public-facing relationship descriptors.</w:t>
      </w:r>
    </w:p>
    <w:p>
      <w:pPr>
        <w:pStyle w:val="Heading1"/>
      </w:pPr>
      <w:r>
        <w:t>6. Consent and visibility law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168"/>
        <w:gridCol w:w="2592"/>
        <w:gridCol w:w="2016"/>
      </w:tblGrid>
      <w:tr>
        <w:tc>
          <w:tcPr>
            <w:tcW w:type="dxa" w:w="2484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Consent scope</w:t>
            </w:r>
          </w:p>
        </w:tc>
        <w:tc>
          <w:tcPr>
            <w:tcW w:type="dxa" w:w="2484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AI may do</w:t>
            </w:r>
          </w:p>
        </w:tc>
        <w:tc>
          <w:tcPr>
            <w:tcW w:type="dxa" w:w="2484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AI may save</w:t>
            </w:r>
          </w:p>
        </w:tc>
        <w:tc>
          <w:tcPr>
            <w:tcW w:type="dxa" w:w="2484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AI may expose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EPHEMERAL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answer current request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session context only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nothing durable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PERSONAL_MEMORY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extract low-risk personal memories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preferences, history anchors, themes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only to same user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PROFILE_ENRICHMENT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propose approved structured signals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trigger tags, pattern tags, history entries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not directly to matches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COUPLE_SHARED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produce joint summaries under dual consent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shared tasks and couple summaries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only agreed shared artifacts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TRAINING_AGGREGATE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feed de-identified aggregate metrics into analytics/ML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aggregated features, not raw identifiable chat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never raw private text to another user</w:t>
            </w:r>
          </w:p>
        </w:tc>
      </w:tr>
    </w:tbl>
    <w:p>
      <w:r>
        <w:t>Never expose unilateral private disclosures, raw shadow labels, internal risk scores, or safety flags to a match. AI can help translate dynamics; it cannot snitch.</w:t>
      </w:r>
    </w:p>
    <w:p>
      <w:pPr>
        <w:pStyle w:val="Heading1"/>
      </w:pPr>
      <w:r>
        <w:t>7. AI read / infer / save / write matrix</w:t>
      </w:r>
    </w:p>
    <w:p>
      <w:r>
        <w:t>AI read access is broader than AI write access, and AI write access is broader than AI public exposure. That separation is non-negotiable.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944"/>
        <w:gridCol w:w="1944"/>
        <w:gridCol w:w="2088"/>
        <w:gridCol w:w="2232"/>
      </w:tblGrid>
      <w:tr>
        <w:tc>
          <w:tcPr>
            <w:tcW w:type="dxa" w:w="1987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Data class</w:t>
            </w:r>
          </w:p>
        </w:tc>
        <w:tc>
          <w:tcPr>
            <w:tcW w:type="dxa" w:w="1987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Read</w:t>
            </w:r>
          </w:p>
        </w:tc>
        <w:tc>
          <w:tcPr>
            <w:tcW w:type="dxa" w:w="1987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Infer</w:t>
            </w:r>
          </w:p>
        </w:tc>
        <w:tc>
          <w:tcPr>
            <w:tcW w:type="dxa" w:w="1987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Save</w:t>
            </w:r>
          </w:p>
        </w:tc>
        <w:tc>
          <w:tcPr>
            <w:tcW w:type="dxa" w:w="1987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Expose to user/match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Assessment outputs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 direct overwrite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User: yes / Match: translated only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Quantum Mirror chat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Within consent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Proposed or approved signals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User: yes / Match: no raw text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Sanctuary state logs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Fast state + decay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User: yes / Match: no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Messaging telemetry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Only with opt-in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Behavior metrics, not gossip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User: limited / Match: no raw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Safety events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Yes for pipeline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Yes for refusal/escalation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Moderation store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User: limited safety guidance / Match: never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Relationship history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History entries + themes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User: yes / Match: translated only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Model feedback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Calibration metrics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Internal only</w:t>
            </w:r>
          </w:p>
        </w:tc>
      </w:tr>
    </w:tbl>
    <w:p>
      <w:pPr>
        <w:pStyle w:val="Heading1"/>
      </w:pPr>
      <w:r>
        <w:t>8. Evidence-band rules for the genome</w:t>
      </w:r>
    </w:p>
    <w:p>
      <w:pPr>
        <w:pStyle w:val="ListBullet"/>
      </w:pPr>
      <w:r>
        <w:t>LOW evidence: one-off mention, contradictory signal, or weak support. May shape wording in-session but should not mutate durable profile truth without review.</w:t>
      </w:r>
    </w:p>
    <w:p>
      <w:pPr>
        <w:pStyle w:val="ListBullet"/>
      </w:pPr>
      <w:r>
        <w:t>MEDIUM evidence: repeated cues or multi-source support. Eligible for medium-pattern enrichment, especially when aligned with assessment outputs or repeated logs.</w:t>
      </w:r>
    </w:p>
    <w:p>
      <w:pPr>
        <w:pStyle w:val="ListBullet"/>
      </w:pPr>
      <w:r>
        <w:t>HIGH evidence: cross-source support over time or direct user confirmation. Eligible for approved structured signal storage and downstream analytics use.</w:t>
      </w:r>
    </w:p>
    <w:p>
      <w:pPr>
        <w:pStyle w:val="ListBullet"/>
      </w:pPr>
      <w:r>
        <w:t>Every saved signal must keep provenance: source session, message span, extractor version, validator result, evidence band, and time scope.</w:t>
      </w:r>
    </w:p>
    <w:p>
      <w:pPr>
        <w:pStyle w:val="Heading1"/>
      </w:pPr>
      <w:r>
        <w:t>9. Emotion Genome feature store for ML</w:t>
      </w:r>
    </w:p>
    <w:p>
      <w:r>
        <w:t>The machine-learning layer should not ingest random prose as its main diet. It should ingest a governed feature store assembled from canonical, versioned, consent-qualified features. Raw text can support offline research or supervised labeling under stricter policy, but the production loop should consume structured features first.</w:t>
      </w:r>
    </w:p>
    <w:p>
      <w:pPr>
        <w:pStyle w:val="ListBullet"/>
      </w:pPr>
      <w:r>
        <w:t>Identity features: archetype distribution, shadow distribution, readiness subscores, polarity dimensions, attachment-related norms.</w:t>
      </w:r>
    </w:p>
    <w:p>
      <w:pPr>
        <w:pStyle w:val="ListBullet"/>
      </w:pPr>
      <w:r>
        <w:t>Pattern features: trigger frequencies, contradiction cluster activations, repair latency, reassurance demand pattern, pursuit/withdrawal rhythm, recurring narrative themes.</w:t>
      </w:r>
    </w:p>
    <w:p>
      <w:pPr>
        <w:pStyle w:val="ListBullet"/>
      </w:pPr>
      <w:r>
        <w:t>State features: rolling activation score, recovery speed, hopeful-versus-guarded balance, recent conflict load, recent emotional volatility.</w:t>
      </w:r>
    </w:p>
    <w:p>
      <w:pPr>
        <w:pStyle w:val="ListBullet"/>
      </w:pPr>
      <w:r>
        <w:t>Interaction features: date reflections, conflict reflections, message studio usage, opt-in communication telemetry, follow-through events.</w:t>
      </w:r>
    </w:p>
    <w:p>
      <w:pPr>
        <w:pStyle w:val="ListBullet"/>
      </w:pPr>
      <w:r>
        <w:t>Governance features: evidence density, consent scope, extraction confidence, user confirmations, deletion history, feature freshness.</w:t>
      </w:r>
    </w:p>
    <w:p>
      <w:pPr>
        <w:pStyle w:val="ListBullet"/>
      </w:pPr>
      <w:r>
        <w:t>Calibration outcomes: helpfulness score, too-generic flag, too-confident flag, match progression outcomes, stability outcomes, rescore deltas.</w:t>
      </w:r>
    </w:p>
    <w:p>
      <w:pPr>
        <w:pStyle w:val="Heading1"/>
      </w:pPr>
      <w:r>
        <w:t>10. Feature packet blueprint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736"/>
        <w:gridCol w:w="2304"/>
        <w:gridCol w:w="2160"/>
      </w:tblGrid>
      <w:tr>
        <w:tc>
          <w:tcPr>
            <w:tcW w:type="dxa" w:w="2484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Packet family</w:t>
            </w:r>
          </w:p>
        </w:tc>
        <w:tc>
          <w:tcPr>
            <w:tcW w:type="dxa" w:w="2484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Examples</w:t>
            </w:r>
          </w:p>
        </w:tc>
        <w:tc>
          <w:tcPr>
            <w:tcW w:type="dxa" w:w="2484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Primary consumer</w:t>
            </w:r>
          </w:p>
        </w:tc>
        <w:tc>
          <w:tcPr>
            <w:tcW w:type="dxa" w:w="2484"/>
            <w:shd w:fill="1F4E78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b/>
                <w:color w:val="FFFFFF"/>
              </w:rPr>
              <w:t>Rules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Profile packet</w:t>
            </w:r>
          </w:p>
        </w:tc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scores, archetypes, shadows, polarity, top clusters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AI runtime + reporting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deterministic, versioned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State packet</w:t>
            </w:r>
          </w:p>
        </w:tc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recent state logs, activation, recovery, event context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response selection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fast decay, no slow-identity overwrite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Narrative packet</w:t>
            </w:r>
          </w:p>
        </w:tc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approved memories, history entries, themes, lessons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Quantum Mirror sessions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bounded context only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ML feature packet</w:t>
            </w:r>
          </w:p>
        </w:tc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canonical numeric/categorical vectors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training and tuning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de-identified or consent-qualified</w:t>
            </w:r>
          </w:p>
        </w:tc>
      </w:tr>
    </w:tbl>
    <w:p>
      <w:pPr>
        <w:pStyle w:val="Heading1"/>
      </w:pPr>
      <w:r>
        <w:t>11. What the system must not do</w:t>
      </w:r>
    </w:p>
    <w:p>
      <w:pPr>
        <w:pStyle w:val="ListBullet"/>
      </w:pPr>
      <w:r>
        <w:t>Do not let one emotional spike rewrite slow identity.</w:t>
      </w:r>
    </w:p>
    <w:p>
      <w:pPr>
        <w:pStyle w:val="ListBullet"/>
      </w:pPr>
      <w:r>
        <w:t>Do not store speculative diagnoses about self or others as genome truth.</w:t>
      </w:r>
    </w:p>
    <w:p>
      <w:pPr>
        <w:pStyle w:val="ListBullet"/>
      </w:pPr>
      <w:r>
        <w:t>Do not export raw private chat as model-training data without a separate, explicit policy and user permission.</w:t>
      </w:r>
    </w:p>
    <w:p>
      <w:pPr>
        <w:pStyle w:val="ListBullet"/>
      </w:pPr>
      <w:r>
        <w:t>Do not expose internal risk flags, moderation evidence, or unilateral memories to a partner.</w:t>
      </w:r>
    </w:p>
    <w:p>
      <w:pPr>
        <w:pStyle w:val="ListBullet"/>
      </w:pPr>
      <w:r>
        <w:t>Do not allow AI to mutate archetype, shadow, or readiness baselines directly from one session.</w:t>
      </w:r>
    </w:p>
    <w:p>
      <w:pPr>
        <w:pStyle w:val="ListBullet"/>
      </w:pPr>
      <w:r>
        <w:t>Do not treat beautiful wording as high evidence. Poetry is not provenance.</w:t>
      </w:r>
    </w:p>
    <w:p>
      <w:pPr>
        <w:pStyle w:val="Heading1"/>
      </w:pPr>
      <w:r>
        <w:t>12. Recommended implementation sequence</w:t>
      </w:r>
    </w:p>
    <w:p>
      <w:pPr>
        <w:pStyle w:val="ListNumber"/>
      </w:pPr>
      <w:r>
        <w:t>Finalize the AI Visibility + Consent Governance rules as binding product law.</w:t>
      </w:r>
    </w:p>
    <w:p>
      <w:pPr>
        <w:pStyle w:val="ListNumber"/>
      </w:pPr>
      <w:r>
        <w:t>Implement the Quantum Mirror schema family, event model, and extractor provenance fields.</w:t>
      </w:r>
    </w:p>
    <w:p>
      <w:pPr>
        <w:pStyle w:val="ListNumber"/>
      </w:pPr>
      <w:r>
        <w:t>Create the canonical signal registry for tone, phrasing, themes, triggers, boundaries, needs, behaviors, and states.</w:t>
      </w:r>
    </w:p>
    <w:p>
      <w:pPr>
        <w:pStyle w:val="ListNumber"/>
      </w:pPr>
      <w:r>
        <w:t>Build the Emotion Genome feature store and packet assembler.</w:t>
      </w:r>
    </w:p>
    <w:p>
      <w:pPr>
        <w:pStyle w:val="ListNumber"/>
      </w:pPr>
      <w:r>
        <w:t>Wire user-reviewable memory prompts and deletion controls.</w:t>
      </w:r>
    </w:p>
    <w:p>
      <w:pPr>
        <w:pStyle w:val="ListNumber"/>
      </w:pPr>
      <w:r>
        <w:t>Launch narrow-v1 with personal memory, profile enrichment, and aggregate training gates separated cleanly.</w:t>
      </w:r>
    </w:p>
    <w:p>
      <w:pPr>
        <w:pStyle w:val="ListNumber"/>
      </w:pPr>
      <w:r>
        <w:t>Only then expand into couple-shared reflection and richer ML tuning.</w:t>
      </w:r>
    </w:p>
    <w:p>
      <w:pPr>
        <w:pStyle w:val="Heading1"/>
      </w:pPr>
      <w:r>
        <w:t>13. Final decision</w:t>
      </w:r>
    </w:p>
    <w:p>
      <w:r>
        <w:t>Yes — the Quantum Mirror files should be treated as part of the core system, not an optional sidecar. They are the layer that lets Genesis OS map a human emotion genome responsibly: words to labels, labels to features, features to evidence-banded insight, and insight to machine learning without turning the product into a creepy black box.</w:t>
      </w:r>
    </w:p>
    <w:p>
      <w:pPr>
        <w:jc w:val="center"/>
      </w:pPr>
      <w:r>
        <w:rPr>
          <w:i/>
          <w:color w:val="5A5A5A"/>
          <w:sz w:val="18"/>
        </w:rPr>
        <w:t>Prepared as the next locked implementation artifact for Genesis OS / Relationship Scores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53D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53D5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3D5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2D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