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Genesis OS</w:t>
        <w:br/>
        <w:t>Contradiction Cluster Rules Table v1</w:t>
      </w:r>
    </w:p>
    <w:p>
      <w:pPr>
        <w:pStyle w:val="Subtitle"/>
        <w:jc w:val="center"/>
      </w:pPr>
      <w:r>
        <w:t>Unified implementation spec for reflection clusters, trigger law, penalties, visibility, and AI handling</w:t>
      </w:r>
    </w:p>
    <w:p>
      <w:pPr>
        <w:pStyle w:val="Subtitle"/>
        <w:jc w:val="center"/>
      </w:pPr>
      <w:r>
        <w:t>Built from the locked score contract, canonical data dictionary, uploaded blueprints, and scoring workbooks.</w:t>
      </w:r>
    </w:p>
    <w:tbl>
      <w:tblPr>
        <w:tblW w:type="auto" w:w="0"/>
        <w:jc w:val="center"/>
        <w:tblLayout w:type="autofit"/>
        <w:tblLook w:firstColumn="1" w:firstRow="1" w:lastColumn="0" w:lastRow="0" w:noHBand="0" w:noVBand="1" w:val="04A0"/>
      </w:tblPr>
      <w:tblGrid>
        <w:gridCol w:w="10224"/>
      </w:tblGrid>
      <w:tr>
        <w:tc>
          <w:tcPr>
            <w:tcW w:type="dxa" w:w="10224"/>
            <w:shd w:fill="EAF1FB"/>
            <w:vAlign w:val="center"/>
            <w:tcMar>
              <w:top w:w="80" w:type="dxa"/>
              <w:start w:w="80" w:type="dxa"/>
              <w:bottom w:w="80" w:type="dxa"/>
              <w:end w:w="80" w:type="dxa"/>
            </w:tcMar>
          </w:tcPr>
          <w:p>
            <w:pPr>
              <w:spacing w:before="20" w:after="20" w:line="264" w:lineRule="auto"/>
              <w:jc w:val="left"/>
            </w:pPr>
            <w:r>
              <w:rPr>
                <w:b/>
              </w:rPr>
              <w:t>Purpose</w:t>
            </w:r>
            <w:r>
              <w:t>: turn mixed-signal detection into deterministic product law. Every cluster below defines what triggers, what score moves, what the user sees, what remains internal, and what AI may do with it.</w:t>
            </w:r>
          </w:p>
        </w:tc>
      </w:tr>
    </w:tbl>
    <w:p/>
    <w:p>
      <w:pPr>
        <w:pStyle w:val="Heading1"/>
      </w:pPr>
      <w:r>
        <w:t>1. Operating Rules</w:t>
      </w:r>
    </w:p>
    <w:p>
      <w:pPr>
        <w:pStyle w:val="ListBullet"/>
      </w:pPr>
      <w:r>
        <w:t>Clusters are psychologically meaningful contradiction engines, not generic inconsistency checks.</w:t>
      </w:r>
    </w:p>
    <w:p>
      <w:pPr>
        <w:pStyle w:val="ListBullet"/>
      </w:pPr>
      <w:r>
        <w:t>Each cluster may affect Readiness, Relationship Forecast, or both; Compatibility should only be touched when a cluster materially affects pair stability.</w:t>
      </w:r>
    </w:p>
    <w:p>
      <w:pPr>
        <w:pStyle w:val="ListBullet"/>
      </w:pPr>
      <w:r>
        <w:t>Clusters must be versioned. Trigger logic cannot silently drift between question-bank releases.</w:t>
      </w:r>
    </w:p>
    <w:p>
      <w:pPr>
        <w:pStyle w:val="ListBullet"/>
      </w:pPr>
      <w:r>
        <w:t>User-facing language should translate patterns without exposing raw internal risk labels.</w:t>
      </w:r>
    </w:p>
    <w:p>
      <w:pPr>
        <w:pStyle w:val="ListBullet"/>
      </w:pPr>
      <w:r>
        <w:t>AI may reference cluster outcomes only within the user’s own reflective experience unless separate match-safe translation text is explicitly defined.</w:t>
      </w:r>
    </w:p>
    <w:p>
      <w:pPr>
        <w:pStyle w:val="Heading1"/>
      </w:pPr>
      <w:r>
        <w:t>2. Cluster Scoring Framework</w:t>
      </w:r>
    </w:p>
    <w:p>
      <w:r>
        <w:rPr>
          <w:b/>
        </w:rPr>
        <w:t xml:space="preserve">Base rule: </w:t>
      </w:r>
      <w:r>
        <w:t>if cluster_condition == true -&gt; contradiction_count += 1; readiness -= readiness_penalty; forecast -= forecast_penalty; reflection_prompt = prompt_id</w:t>
      </w:r>
    </w:p>
    <w:p>
      <w:r>
        <w:rPr>
          <w:b/>
        </w:rPr>
        <w:t xml:space="preserve">Severity bands: </w:t>
      </w:r>
      <w:r>
        <w:t>Soft = informational, Moderate = score-moving, Hard = score-moving plus intervention recommendation.</w:t>
      </w:r>
    </w:p>
    <w:p>
      <w:r>
        <w:rPr>
          <w:b/>
        </w:rPr>
        <w:t xml:space="preserve">Recommended v1 penalty bounds: </w:t>
      </w:r>
      <w:r>
        <w:t>Readiness: 2-8 points per triggered cluster; Forecast: 1-6 points per triggered cluster. Multiple related clusters should be stack-capped to avoid double-punishing the same behavioral loop.</w:t>
      </w:r>
    </w:p>
    <w:p>
      <w:pPr>
        <w:pStyle w:val="Heading1"/>
      </w:pPr>
      <w:r>
        <w:t>3. Cluster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6F5"/>
            <w:vAlign w:val="center"/>
            <w:tcMar>
              <w:top w:w="80" w:type="dxa"/>
              <w:start w:w="80" w:type="dxa"/>
              <w:bottom w:w="80" w:type="dxa"/>
              <w:end w:w="80" w:type="dxa"/>
            </w:tcMar>
          </w:tcPr>
          <w:p>
            <w:pPr>
              <w:spacing w:before="20" w:after="20" w:line="264" w:lineRule="auto"/>
              <w:jc w:val="center"/>
            </w:pPr>
            <w:r>
              <w:rPr>
                <w:b/>
              </w:rPr>
              <w:t>ID</w:t>
            </w:r>
          </w:p>
        </w:tc>
        <w:tc>
          <w:tcPr>
            <w:tcW w:type="dxa" w:w="1704"/>
            <w:shd w:fill="D9E6F5"/>
            <w:vAlign w:val="center"/>
            <w:tcMar>
              <w:top w:w="80" w:type="dxa"/>
              <w:start w:w="80" w:type="dxa"/>
              <w:bottom w:w="80" w:type="dxa"/>
              <w:end w:w="80" w:type="dxa"/>
            </w:tcMar>
          </w:tcPr>
          <w:p>
            <w:pPr>
              <w:spacing w:before="20" w:after="20" w:line="264" w:lineRule="auto"/>
              <w:jc w:val="center"/>
            </w:pPr>
            <w:r>
              <w:rPr>
                <w:b/>
              </w:rPr>
              <w:t>Cluster</w:t>
            </w:r>
          </w:p>
        </w:tc>
        <w:tc>
          <w:tcPr>
            <w:tcW w:type="dxa" w:w="1704"/>
            <w:shd w:fill="D9E6F5"/>
            <w:vAlign w:val="center"/>
            <w:tcMar>
              <w:top w:w="80" w:type="dxa"/>
              <w:start w:w="80" w:type="dxa"/>
              <w:bottom w:w="80" w:type="dxa"/>
              <w:end w:w="80" w:type="dxa"/>
            </w:tcMar>
          </w:tcPr>
          <w:p>
            <w:pPr>
              <w:spacing w:before="20" w:after="20" w:line="264" w:lineRule="auto"/>
              <w:jc w:val="center"/>
            </w:pPr>
            <w:r>
              <w:rPr>
                <w:b/>
              </w:rPr>
              <w:t>Status</w:t>
            </w:r>
          </w:p>
        </w:tc>
        <w:tc>
          <w:tcPr>
            <w:tcW w:type="dxa" w:w="1704"/>
            <w:shd w:fill="D9E6F5"/>
            <w:vAlign w:val="center"/>
            <w:tcMar>
              <w:top w:w="80" w:type="dxa"/>
              <w:start w:w="80" w:type="dxa"/>
              <w:bottom w:w="80" w:type="dxa"/>
              <w:end w:w="80" w:type="dxa"/>
            </w:tcMar>
          </w:tcPr>
          <w:p>
            <w:pPr>
              <w:spacing w:before="20" w:after="20" w:line="264" w:lineRule="auto"/>
              <w:jc w:val="center"/>
            </w:pPr>
            <w:r>
              <w:rPr>
                <w:b/>
              </w:rPr>
              <w:t>Primary Scope</w:t>
            </w:r>
          </w:p>
        </w:tc>
        <w:tc>
          <w:tcPr>
            <w:tcW w:type="dxa" w:w="1704"/>
            <w:shd w:fill="D9E6F5"/>
            <w:vAlign w:val="center"/>
            <w:tcMar>
              <w:top w:w="80" w:type="dxa"/>
              <w:start w:w="80" w:type="dxa"/>
              <w:bottom w:w="80" w:type="dxa"/>
              <w:end w:w="80" w:type="dxa"/>
            </w:tcMar>
          </w:tcPr>
          <w:p>
            <w:pPr>
              <w:spacing w:before="20" w:after="20" w:line="264" w:lineRule="auto"/>
              <w:jc w:val="center"/>
            </w:pPr>
            <w:r>
              <w:rPr>
                <w:b/>
              </w:rPr>
              <w:t>Severity</w:t>
            </w:r>
          </w:p>
        </w:tc>
        <w:tc>
          <w:tcPr>
            <w:tcW w:type="dxa" w:w="1704"/>
            <w:shd w:fill="D9E6F5"/>
            <w:vAlign w:val="center"/>
            <w:tcMar>
              <w:top w:w="80" w:type="dxa"/>
              <w:start w:w="80" w:type="dxa"/>
              <w:bottom w:w="80" w:type="dxa"/>
              <w:end w:w="80" w:type="dxa"/>
            </w:tcMar>
          </w:tcPr>
          <w:p>
            <w:pPr>
              <w:spacing w:before="20" w:after="20" w:line="264" w:lineRule="auto"/>
              <w:jc w:val="center"/>
            </w:pPr>
            <w:r>
              <w:rPr>
                <w:b/>
              </w:rPr>
              <w:t>Default Penalty</w:t>
            </w:r>
          </w:p>
        </w:tc>
      </w:tr>
      <w:tr>
        <w:tc>
          <w:tcPr>
            <w:tcW w:type="dxa" w:w="1704"/>
            <w:vAlign w:val="center"/>
            <w:tcMar>
              <w:top w:w="80" w:type="dxa"/>
              <w:start w:w="80" w:type="dxa"/>
              <w:bottom w:w="80" w:type="dxa"/>
              <w:end w:w="80" w:type="dxa"/>
            </w:tcMar>
          </w:tcPr>
          <w:p>
            <w:pPr>
              <w:spacing w:before="20" w:after="20" w:line="264" w:lineRule="auto"/>
              <w:jc w:val="center"/>
            </w:pPr>
            <w:r>
              <w:t>CL-01</w:t>
            </w:r>
          </w:p>
        </w:tc>
        <w:tc>
          <w:tcPr>
            <w:tcW w:type="dxa" w:w="1704"/>
            <w:vAlign w:val="center"/>
            <w:tcMar>
              <w:top w:w="80" w:type="dxa"/>
              <w:start w:w="80" w:type="dxa"/>
              <w:bottom w:w="80" w:type="dxa"/>
              <w:end w:w="80" w:type="dxa"/>
            </w:tcMar>
          </w:tcPr>
          <w:p>
            <w:pPr>
              <w:spacing w:before="20" w:after="20" w:line="264" w:lineRule="auto"/>
              <w:jc w:val="left"/>
            </w:pPr>
            <w:r>
              <w:t>Vulnerability Loop</w:t>
            </w:r>
          </w:p>
        </w:tc>
        <w:tc>
          <w:tcPr>
            <w:tcW w:type="dxa" w:w="1704"/>
            <w:vAlign w:val="center"/>
            <w:tcMar>
              <w:top w:w="80" w:type="dxa"/>
              <w:start w:w="80" w:type="dxa"/>
              <w:bottom w:w="80" w:type="dxa"/>
              <w:end w:w="80" w:type="dxa"/>
            </w:tcMar>
          </w:tcPr>
          <w:p>
            <w:pPr>
              <w:spacing w:before="20" w:after="20" w:line="264" w:lineRule="auto"/>
              <w:jc w:val="center"/>
            </w:pPr>
            <w:r>
              <w:t>Active / Locked</w:t>
            </w:r>
          </w:p>
        </w:tc>
        <w:tc>
          <w:tcPr>
            <w:tcW w:type="dxa" w:w="1704"/>
            <w:vAlign w:val="center"/>
            <w:tcMar>
              <w:top w:w="80" w:type="dxa"/>
              <w:start w:w="80" w:type="dxa"/>
              <w:bottom w:w="80" w:type="dxa"/>
              <w:end w:w="80" w:type="dxa"/>
            </w:tcMar>
          </w:tcPr>
          <w:p>
            <w:pPr>
              <w:spacing w:before="20" w:after="20" w:line="264" w:lineRule="auto"/>
              <w:jc w:val="center"/>
            </w:pPr>
            <w:r>
              <w:t>Readiness + Forecast</w:t>
            </w:r>
          </w:p>
        </w:tc>
        <w:tc>
          <w:tcPr>
            <w:tcW w:type="dxa" w:w="1704"/>
            <w:vAlign w:val="center"/>
            <w:tcMar>
              <w:top w:w="80" w:type="dxa"/>
              <w:start w:w="80" w:type="dxa"/>
              <w:bottom w:w="80" w:type="dxa"/>
              <w:end w:w="80" w:type="dxa"/>
            </w:tcMar>
          </w:tcPr>
          <w:p>
            <w:pPr>
              <w:spacing w:before="20" w:after="20" w:line="264" w:lineRule="auto"/>
              <w:jc w:val="center"/>
            </w:pPr>
            <w:r>
              <w:t>Moderate-Hard</w:t>
            </w:r>
          </w:p>
        </w:tc>
        <w:tc>
          <w:tcPr>
            <w:tcW w:type="dxa" w:w="1704"/>
            <w:vAlign w:val="center"/>
            <w:tcMar>
              <w:top w:w="80" w:type="dxa"/>
              <w:start w:w="80" w:type="dxa"/>
              <w:bottom w:w="80" w:type="dxa"/>
              <w:end w:w="80" w:type="dxa"/>
            </w:tcMar>
          </w:tcPr>
          <w:p>
            <w:pPr>
              <w:spacing w:before="20" w:after="20" w:line="264" w:lineRule="auto"/>
              <w:jc w:val="center"/>
            </w:pPr>
            <w:r>
              <w:t>Readiness -6; Forecast -4; add contradiction_count +1</w:t>
            </w:r>
          </w:p>
        </w:tc>
      </w:tr>
      <w:tr>
        <w:tc>
          <w:tcPr>
            <w:tcW w:type="dxa" w:w="1704"/>
            <w:vAlign w:val="center"/>
            <w:tcMar>
              <w:top w:w="80" w:type="dxa"/>
              <w:start w:w="80" w:type="dxa"/>
              <w:bottom w:w="80" w:type="dxa"/>
              <w:end w:w="80" w:type="dxa"/>
            </w:tcMar>
          </w:tcPr>
          <w:p>
            <w:pPr>
              <w:spacing w:before="20" w:after="20" w:line="264" w:lineRule="auto"/>
              <w:jc w:val="center"/>
            </w:pPr>
            <w:r>
              <w:t>CL-02</w:t>
            </w:r>
          </w:p>
        </w:tc>
        <w:tc>
          <w:tcPr>
            <w:tcW w:type="dxa" w:w="1704"/>
            <w:vAlign w:val="center"/>
            <w:tcMar>
              <w:top w:w="80" w:type="dxa"/>
              <w:start w:w="80" w:type="dxa"/>
              <w:bottom w:w="80" w:type="dxa"/>
              <w:end w:w="80" w:type="dxa"/>
            </w:tcMar>
          </w:tcPr>
          <w:p>
            <w:pPr>
              <w:spacing w:before="20" w:after="20" w:line="264" w:lineRule="auto"/>
              <w:jc w:val="left"/>
            </w:pPr>
            <w:r>
              <w:t>Control Avoidance</w:t>
            </w:r>
          </w:p>
        </w:tc>
        <w:tc>
          <w:tcPr>
            <w:tcW w:type="dxa" w:w="1704"/>
            <w:vAlign w:val="center"/>
            <w:tcMar>
              <w:top w:w="80" w:type="dxa"/>
              <w:start w:w="80" w:type="dxa"/>
              <w:bottom w:w="80" w:type="dxa"/>
              <w:end w:w="80" w:type="dxa"/>
            </w:tcMar>
          </w:tcPr>
          <w:p>
            <w:pPr>
              <w:spacing w:before="20" w:after="20" w:line="264" w:lineRule="auto"/>
              <w:jc w:val="center"/>
            </w:pPr>
            <w:r>
              <w:t>Proposed / Strong fit</w:t>
            </w:r>
          </w:p>
        </w:tc>
        <w:tc>
          <w:tcPr>
            <w:tcW w:type="dxa" w:w="1704"/>
            <w:vAlign w:val="center"/>
            <w:tcMar>
              <w:top w:w="80" w:type="dxa"/>
              <w:start w:w="80" w:type="dxa"/>
              <w:bottom w:w="80" w:type="dxa"/>
              <w:end w:w="80" w:type="dxa"/>
            </w:tcMar>
          </w:tcPr>
          <w:p>
            <w:pPr>
              <w:spacing w:before="20" w:after="20" w:line="264" w:lineRule="auto"/>
              <w:jc w:val="center"/>
            </w:pPr>
            <w:r>
              <w:t>Readiness + Forecast</w:t>
            </w:r>
          </w:p>
        </w:tc>
        <w:tc>
          <w:tcPr>
            <w:tcW w:type="dxa" w:w="1704"/>
            <w:vAlign w:val="center"/>
            <w:tcMar>
              <w:top w:w="80" w:type="dxa"/>
              <w:start w:w="80" w:type="dxa"/>
              <w:bottom w:w="80" w:type="dxa"/>
              <w:end w:w="80" w:type="dxa"/>
            </w:tcMar>
          </w:tcPr>
          <w:p>
            <w:pPr>
              <w:spacing w:before="20" w:after="20" w:line="264" w:lineRule="auto"/>
              <w:jc w:val="center"/>
            </w:pPr>
            <w:r>
              <w:t>Moderate</w:t>
            </w:r>
          </w:p>
        </w:tc>
        <w:tc>
          <w:tcPr>
            <w:tcW w:type="dxa" w:w="1704"/>
            <w:vAlign w:val="center"/>
            <w:tcMar>
              <w:top w:w="80" w:type="dxa"/>
              <w:start w:w="80" w:type="dxa"/>
              <w:bottom w:w="80" w:type="dxa"/>
              <w:end w:w="80" w:type="dxa"/>
            </w:tcMar>
          </w:tcPr>
          <w:p>
            <w:pPr>
              <w:spacing w:before="20" w:after="20" w:line="264" w:lineRule="auto"/>
              <w:jc w:val="center"/>
            </w:pPr>
            <w:r>
              <w:t>Readiness -5; Forecast -3</w:t>
            </w:r>
          </w:p>
        </w:tc>
      </w:tr>
      <w:tr>
        <w:tc>
          <w:tcPr>
            <w:tcW w:type="dxa" w:w="1704"/>
            <w:vAlign w:val="center"/>
            <w:tcMar>
              <w:top w:w="80" w:type="dxa"/>
              <w:start w:w="80" w:type="dxa"/>
              <w:bottom w:w="80" w:type="dxa"/>
              <w:end w:w="80" w:type="dxa"/>
            </w:tcMar>
          </w:tcPr>
          <w:p>
            <w:pPr>
              <w:spacing w:before="20" w:after="20" w:line="264" w:lineRule="auto"/>
              <w:jc w:val="center"/>
            </w:pPr>
            <w:r>
              <w:t>CL-03</w:t>
            </w:r>
          </w:p>
        </w:tc>
        <w:tc>
          <w:tcPr>
            <w:tcW w:type="dxa" w:w="1704"/>
            <w:vAlign w:val="center"/>
            <w:tcMar>
              <w:top w:w="80" w:type="dxa"/>
              <w:start w:w="80" w:type="dxa"/>
              <w:bottom w:w="80" w:type="dxa"/>
              <w:end w:w="80" w:type="dxa"/>
            </w:tcMar>
          </w:tcPr>
          <w:p>
            <w:pPr>
              <w:spacing w:before="20" w:after="20" w:line="264" w:lineRule="auto"/>
              <w:jc w:val="left"/>
            </w:pPr>
            <w:r>
              <w:t>Pursuit-Panic Loop</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Forecast primary; Readiness secondary</w:t>
            </w:r>
          </w:p>
        </w:tc>
        <w:tc>
          <w:tcPr>
            <w:tcW w:type="dxa" w:w="1704"/>
            <w:vAlign w:val="center"/>
            <w:tcMar>
              <w:top w:w="80" w:type="dxa"/>
              <w:start w:w="80" w:type="dxa"/>
              <w:bottom w:w="80" w:type="dxa"/>
              <w:end w:w="80" w:type="dxa"/>
            </w:tcMar>
          </w:tcPr>
          <w:p>
            <w:pPr>
              <w:spacing w:before="20" w:after="20" w:line="264" w:lineRule="auto"/>
              <w:jc w:val="center"/>
            </w:pPr>
            <w:r>
              <w:t>Moderate-Hard</w:t>
            </w:r>
          </w:p>
        </w:tc>
        <w:tc>
          <w:tcPr>
            <w:tcW w:type="dxa" w:w="1704"/>
            <w:vAlign w:val="center"/>
            <w:tcMar>
              <w:top w:w="80" w:type="dxa"/>
              <w:start w:w="80" w:type="dxa"/>
              <w:bottom w:w="80" w:type="dxa"/>
              <w:end w:w="80" w:type="dxa"/>
            </w:tcMar>
          </w:tcPr>
          <w:p>
            <w:pPr>
              <w:spacing w:before="20" w:after="20" w:line="264" w:lineRule="auto"/>
              <w:jc w:val="center"/>
            </w:pPr>
            <w:r>
              <w:t>Readiness -4; Forecast -5</w:t>
            </w:r>
          </w:p>
        </w:tc>
      </w:tr>
      <w:tr>
        <w:tc>
          <w:tcPr>
            <w:tcW w:type="dxa" w:w="1704"/>
            <w:vAlign w:val="center"/>
            <w:tcMar>
              <w:top w:w="80" w:type="dxa"/>
              <w:start w:w="80" w:type="dxa"/>
              <w:bottom w:w="80" w:type="dxa"/>
              <w:end w:w="80" w:type="dxa"/>
            </w:tcMar>
          </w:tcPr>
          <w:p>
            <w:pPr>
              <w:spacing w:before="20" w:after="20" w:line="264" w:lineRule="auto"/>
              <w:jc w:val="center"/>
            </w:pPr>
            <w:r>
              <w:t>CL-04</w:t>
            </w:r>
          </w:p>
        </w:tc>
        <w:tc>
          <w:tcPr>
            <w:tcW w:type="dxa" w:w="1704"/>
            <w:vAlign w:val="center"/>
            <w:tcMar>
              <w:top w:w="80" w:type="dxa"/>
              <w:start w:w="80" w:type="dxa"/>
              <w:bottom w:w="80" w:type="dxa"/>
              <w:end w:w="80" w:type="dxa"/>
            </w:tcMar>
          </w:tcPr>
          <w:p>
            <w:pPr>
              <w:spacing w:before="20" w:after="20" w:line="264" w:lineRule="auto"/>
              <w:jc w:val="left"/>
            </w:pPr>
            <w:r>
              <w:t>Fantasy vs Availability</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Readiness</w:t>
            </w:r>
          </w:p>
        </w:tc>
        <w:tc>
          <w:tcPr>
            <w:tcW w:type="dxa" w:w="1704"/>
            <w:vAlign w:val="center"/>
            <w:tcMar>
              <w:top w:w="80" w:type="dxa"/>
              <w:start w:w="80" w:type="dxa"/>
              <w:bottom w:w="80" w:type="dxa"/>
              <w:end w:w="80" w:type="dxa"/>
            </w:tcMar>
          </w:tcPr>
          <w:p>
            <w:pPr>
              <w:spacing w:before="20" w:after="20" w:line="264" w:lineRule="auto"/>
              <w:jc w:val="center"/>
            </w:pPr>
            <w:r>
              <w:t>Moderate</w:t>
            </w:r>
          </w:p>
        </w:tc>
        <w:tc>
          <w:tcPr>
            <w:tcW w:type="dxa" w:w="1704"/>
            <w:vAlign w:val="center"/>
            <w:tcMar>
              <w:top w:w="80" w:type="dxa"/>
              <w:start w:w="80" w:type="dxa"/>
              <w:bottom w:w="80" w:type="dxa"/>
              <w:end w:w="80" w:type="dxa"/>
            </w:tcMar>
          </w:tcPr>
          <w:p>
            <w:pPr>
              <w:spacing w:before="20" w:after="20" w:line="264" w:lineRule="auto"/>
              <w:jc w:val="center"/>
            </w:pPr>
            <w:r>
              <w:t>Readiness -5; Forecast -2</w:t>
            </w:r>
          </w:p>
        </w:tc>
      </w:tr>
      <w:tr>
        <w:tc>
          <w:tcPr>
            <w:tcW w:type="dxa" w:w="1704"/>
            <w:vAlign w:val="center"/>
            <w:tcMar>
              <w:top w:w="80" w:type="dxa"/>
              <w:start w:w="80" w:type="dxa"/>
              <w:bottom w:w="80" w:type="dxa"/>
              <w:end w:w="80" w:type="dxa"/>
            </w:tcMar>
          </w:tcPr>
          <w:p>
            <w:pPr>
              <w:spacing w:before="20" w:after="20" w:line="264" w:lineRule="auto"/>
              <w:jc w:val="center"/>
            </w:pPr>
            <w:r>
              <w:t>CL-05</w:t>
            </w:r>
          </w:p>
        </w:tc>
        <w:tc>
          <w:tcPr>
            <w:tcW w:type="dxa" w:w="1704"/>
            <w:vAlign w:val="center"/>
            <w:tcMar>
              <w:top w:w="80" w:type="dxa"/>
              <w:start w:w="80" w:type="dxa"/>
              <w:bottom w:w="80" w:type="dxa"/>
              <w:end w:w="80" w:type="dxa"/>
            </w:tcMar>
          </w:tcPr>
          <w:p>
            <w:pPr>
              <w:spacing w:before="20" w:after="20" w:line="264" w:lineRule="auto"/>
              <w:jc w:val="left"/>
            </w:pPr>
            <w:r>
              <w:t>Repair Refusal</w:t>
            </w:r>
          </w:p>
        </w:tc>
        <w:tc>
          <w:tcPr>
            <w:tcW w:type="dxa" w:w="1704"/>
            <w:vAlign w:val="center"/>
            <w:tcMar>
              <w:top w:w="80" w:type="dxa"/>
              <w:start w:w="80" w:type="dxa"/>
              <w:bottom w:w="80" w:type="dxa"/>
              <w:end w:w="80" w:type="dxa"/>
            </w:tcMar>
          </w:tcPr>
          <w:p>
            <w:pPr>
              <w:spacing w:before="20" w:after="20" w:line="264" w:lineRule="auto"/>
              <w:jc w:val="center"/>
            </w:pPr>
            <w:r>
              <w:t>Proposed / High-value</w:t>
            </w:r>
          </w:p>
        </w:tc>
        <w:tc>
          <w:tcPr>
            <w:tcW w:type="dxa" w:w="1704"/>
            <w:vAlign w:val="center"/>
            <w:tcMar>
              <w:top w:w="80" w:type="dxa"/>
              <w:start w:w="80" w:type="dxa"/>
              <w:bottom w:w="80" w:type="dxa"/>
              <w:end w:w="80" w:type="dxa"/>
            </w:tcMar>
          </w:tcPr>
          <w:p>
            <w:pPr>
              <w:spacing w:before="20" w:after="20" w:line="264" w:lineRule="auto"/>
              <w:jc w:val="center"/>
            </w:pPr>
            <w:r>
              <w:t>Forecast</w:t>
            </w:r>
          </w:p>
        </w:tc>
        <w:tc>
          <w:tcPr>
            <w:tcW w:type="dxa" w:w="1704"/>
            <w:vAlign w:val="center"/>
            <w:tcMar>
              <w:top w:w="80" w:type="dxa"/>
              <w:start w:w="80" w:type="dxa"/>
              <w:bottom w:w="80" w:type="dxa"/>
              <w:end w:w="80" w:type="dxa"/>
            </w:tcMar>
          </w:tcPr>
          <w:p>
            <w:pPr>
              <w:spacing w:before="20" w:after="20" w:line="264" w:lineRule="auto"/>
              <w:jc w:val="center"/>
            </w:pPr>
            <w:r>
              <w:t>Hard</w:t>
            </w:r>
          </w:p>
        </w:tc>
        <w:tc>
          <w:tcPr>
            <w:tcW w:type="dxa" w:w="1704"/>
            <w:vAlign w:val="center"/>
            <w:tcMar>
              <w:top w:w="80" w:type="dxa"/>
              <w:start w:w="80" w:type="dxa"/>
              <w:bottom w:w="80" w:type="dxa"/>
              <w:end w:w="80" w:type="dxa"/>
            </w:tcMar>
          </w:tcPr>
          <w:p>
            <w:pPr>
              <w:spacing w:before="20" w:after="20" w:line="264" w:lineRule="auto"/>
              <w:jc w:val="center"/>
            </w:pPr>
            <w:r>
              <w:t>Readiness -4; Forecast -6</w:t>
            </w:r>
          </w:p>
        </w:tc>
      </w:tr>
      <w:tr>
        <w:tc>
          <w:tcPr>
            <w:tcW w:type="dxa" w:w="1704"/>
            <w:vAlign w:val="center"/>
            <w:tcMar>
              <w:top w:w="80" w:type="dxa"/>
              <w:start w:w="80" w:type="dxa"/>
              <w:bottom w:w="80" w:type="dxa"/>
              <w:end w:w="80" w:type="dxa"/>
            </w:tcMar>
          </w:tcPr>
          <w:p>
            <w:pPr>
              <w:spacing w:before="20" w:after="20" w:line="264" w:lineRule="auto"/>
              <w:jc w:val="center"/>
            </w:pPr>
            <w:r>
              <w:t>CL-06</w:t>
            </w:r>
          </w:p>
        </w:tc>
        <w:tc>
          <w:tcPr>
            <w:tcW w:type="dxa" w:w="1704"/>
            <w:vAlign w:val="center"/>
            <w:tcMar>
              <w:top w:w="80" w:type="dxa"/>
              <w:start w:w="80" w:type="dxa"/>
              <w:bottom w:w="80" w:type="dxa"/>
              <w:end w:w="80" w:type="dxa"/>
            </w:tcMar>
          </w:tcPr>
          <w:p>
            <w:pPr>
              <w:spacing w:before="20" w:after="20" w:line="264" w:lineRule="auto"/>
              <w:jc w:val="left"/>
            </w:pPr>
            <w:r>
              <w:t>Validation Hunger</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Readiness</w:t>
            </w:r>
          </w:p>
        </w:tc>
        <w:tc>
          <w:tcPr>
            <w:tcW w:type="dxa" w:w="1704"/>
            <w:vAlign w:val="center"/>
            <w:tcMar>
              <w:top w:w="80" w:type="dxa"/>
              <w:start w:w="80" w:type="dxa"/>
              <w:bottom w:w="80" w:type="dxa"/>
              <w:end w:w="80" w:type="dxa"/>
            </w:tcMar>
          </w:tcPr>
          <w:p>
            <w:pPr>
              <w:spacing w:before="20" w:after="20" w:line="264" w:lineRule="auto"/>
              <w:jc w:val="center"/>
            </w:pPr>
            <w:r>
              <w:t>Soft-Moderate</w:t>
            </w:r>
          </w:p>
        </w:tc>
        <w:tc>
          <w:tcPr>
            <w:tcW w:type="dxa" w:w="1704"/>
            <w:vAlign w:val="center"/>
            <w:tcMar>
              <w:top w:w="80" w:type="dxa"/>
              <w:start w:w="80" w:type="dxa"/>
              <w:bottom w:w="80" w:type="dxa"/>
              <w:end w:w="80" w:type="dxa"/>
            </w:tcMar>
          </w:tcPr>
          <w:p>
            <w:pPr>
              <w:spacing w:before="20" w:after="20" w:line="264" w:lineRule="auto"/>
              <w:jc w:val="center"/>
            </w:pPr>
            <w:r>
              <w:t>Readiness -3; Forecast -2 if repeated</w:t>
            </w:r>
          </w:p>
        </w:tc>
      </w:tr>
      <w:tr>
        <w:tc>
          <w:tcPr>
            <w:tcW w:type="dxa" w:w="1704"/>
            <w:vAlign w:val="center"/>
            <w:tcMar>
              <w:top w:w="80" w:type="dxa"/>
              <w:start w:w="80" w:type="dxa"/>
              <w:bottom w:w="80" w:type="dxa"/>
              <w:end w:w="80" w:type="dxa"/>
            </w:tcMar>
          </w:tcPr>
          <w:p>
            <w:pPr>
              <w:spacing w:before="20" w:after="20" w:line="264" w:lineRule="auto"/>
              <w:jc w:val="center"/>
            </w:pPr>
            <w:r>
              <w:t>CL-07</w:t>
            </w:r>
          </w:p>
        </w:tc>
        <w:tc>
          <w:tcPr>
            <w:tcW w:type="dxa" w:w="1704"/>
            <w:vAlign w:val="center"/>
            <w:tcMar>
              <w:top w:w="80" w:type="dxa"/>
              <w:start w:w="80" w:type="dxa"/>
              <w:bottom w:w="80" w:type="dxa"/>
              <w:end w:w="80" w:type="dxa"/>
            </w:tcMar>
          </w:tcPr>
          <w:p>
            <w:pPr>
              <w:spacing w:before="20" w:after="20" w:line="264" w:lineRule="auto"/>
              <w:jc w:val="left"/>
            </w:pPr>
            <w:r>
              <w:t>Pace Distortion</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Forecast</w:t>
            </w:r>
          </w:p>
        </w:tc>
        <w:tc>
          <w:tcPr>
            <w:tcW w:type="dxa" w:w="1704"/>
            <w:vAlign w:val="center"/>
            <w:tcMar>
              <w:top w:w="80" w:type="dxa"/>
              <w:start w:w="80" w:type="dxa"/>
              <w:bottom w:w="80" w:type="dxa"/>
              <w:end w:w="80" w:type="dxa"/>
            </w:tcMar>
          </w:tcPr>
          <w:p>
            <w:pPr>
              <w:spacing w:before="20" w:after="20" w:line="264" w:lineRule="auto"/>
              <w:jc w:val="center"/>
            </w:pPr>
            <w:r>
              <w:t>Moderate</w:t>
            </w:r>
          </w:p>
        </w:tc>
        <w:tc>
          <w:tcPr>
            <w:tcW w:type="dxa" w:w="1704"/>
            <w:vAlign w:val="center"/>
            <w:tcMar>
              <w:top w:w="80" w:type="dxa"/>
              <w:start w:w="80" w:type="dxa"/>
              <w:bottom w:w="80" w:type="dxa"/>
              <w:end w:w="80" w:type="dxa"/>
            </w:tcMar>
          </w:tcPr>
          <w:p>
            <w:pPr>
              <w:spacing w:before="20" w:after="20" w:line="264" w:lineRule="auto"/>
              <w:jc w:val="center"/>
            </w:pPr>
            <w:r>
              <w:t>Readiness -3; Forecast -5</w:t>
            </w:r>
          </w:p>
        </w:tc>
      </w:tr>
      <w:tr>
        <w:tc>
          <w:tcPr>
            <w:tcW w:type="dxa" w:w="1704"/>
            <w:vAlign w:val="center"/>
            <w:tcMar>
              <w:top w:w="80" w:type="dxa"/>
              <w:start w:w="80" w:type="dxa"/>
              <w:bottom w:w="80" w:type="dxa"/>
              <w:end w:w="80" w:type="dxa"/>
            </w:tcMar>
          </w:tcPr>
          <w:p>
            <w:pPr>
              <w:spacing w:before="20" w:after="20" w:line="264" w:lineRule="auto"/>
              <w:jc w:val="center"/>
            </w:pPr>
            <w:r>
              <w:t>CL-08</w:t>
            </w:r>
          </w:p>
        </w:tc>
        <w:tc>
          <w:tcPr>
            <w:tcW w:type="dxa" w:w="1704"/>
            <w:vAlign w:val="center"/>
            <w:tcMar>
              <w:top w:w="80" w:type="dxa"/>
              <w:start w:w="80" w:type="dxa"/>
              <w:bottom w:w="80" w:type="dxa"/>
              <w:end w:w="80" w:type="dxa"/>
            </w:tcMar>
          </w:tcPr>
          <w:p>
            <w:pPr>
              <w:spacing w:before="20" w:after="20" w:line="264" w:lineRule="auto"/>
              <w:jc w:val="left"/>
            </w:pPr>
            <w:r>
              <w:t>Caretaker Exhaustion Loop</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Readiness + Forecast</w:t>
            </w:r>
          </w:p>
        </w:tc>
        <w:tc>
          <w:tcPr>
            <w:tcW w:type="dxa" w:w="1704"/>
            <w:vAlign w:val="center"/>
            <w:tcMar>
              <w:top w:w="80" w:type="dxa"/>
              <w:start w:w="80" w:type="dxa"/>
              <w:bottom w:w="80" w:type="dxa"/>
              <w:end w:w="80" w:type="dxa"/>
            </w:tcMar>
          </w:tcPr>
          <w:p>
            <w:pPr>
              <w:spacing w:before="20" w:after="20" w:line="264" w:lineRule="auto"/>
              <w:jc w:val="center"/>
            </w:pPr>
            <w:r>
              <w:t>Moderate</w:t>
            </w:r>
          </w:p>
        </w:tc>
        <w:tc>
          <w:tcPr>
            <w:tcW w:type="dxa" w:w="1704"/>
            <w:vAlign w:val="center"/>
            <w:tcMar>
              <w:top w:w="80" w:type="dxa"/>
              <w:start w:w="80" w:type="dxa"/>
              <w:bottom w:w="80" w:type="dxa"/>
              <w:end w:w="80" w:type="dxa"/>
            </w:tcMar>
          </w:tcPr>
          <w:p>
            <w:pPr>
              <w:spacing w:before="20" w:after="20" w:line="264" w:lineRule="auto"/>
              <w:jc w:val="center"/>
            </w:pPr>
            <w:r>
              <w:t>Readiness -4; Forecast -4</w:t>
            </w:r>
          </w:p>
        </w:tc>
      </w:tr>
      <w:tr>
        <w:tc>
          <w:tcPr>
            <w:tcW w:type="dxa" w:w="1704"/>
            <w:vAlign w:val="center"/>
            <w:tcMar>
              <w:top w:w="80" w:type="dxa"/>
              <w:start w:w="80" w:type="dxa"/>
              <w:bottom w:w="80" w:type="dxa"/>
              <w:end w:w="80" w:type="dxa"/>
            </w:tcMar>
          </w:tcPr>
          <w:p>
            <w:pPr>
              <w:spacing w:before="20" w:after="20" w:line="264" w:lineRule="auto"/>
              <w:jc w:val="center"/>
            </w:pPr>
            <w:r>
              <w:t>CL-09</w:t>
            </w:r>
          </w:p>
        </w:tc>
        <w:tc>
          <w:tcPr>
            <w:tcW w:type="dxa" w:w="1704"/>
            <w:vAlign w:val="center"/>
            <w:tcMar>
              <w:top w:w="80" w:type="dxa"/>
              <w:start w:w="80" w:type="dxa"/>
              <w:bottom w:w="80" w:type="dxa"/>
              <w:end w:w="80" w:type="dxa"/>
            </w:tcMar>
          </w:tcPr>
          <w:p>
            <w:pPr>
              <w:spacing w:before="20" w:after="20" w:line="264" w:lineRule="auto"/>
              <w:jc w:val="left"/>
            </w:pPr>
            <w:r>
              <w:t>Testing Instead of Telling</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Forecast primary</w:t>
            </w:r>
          </w:p>
        </w:tc>
        <w:tc>
          <w:tcPr>
            <w:tcW w:type="dxa" w:w="1704"/>
            <w:vAlign w:val="center"/>
            <w:tcMar>
              <w:top w:w="80" w:type="dxa"/>
              <w:start w:w="80" w:type="dxa"/>
              <w:bottom w:w="80" w:type="dxa"/>
              <w:end w:w="80" w:type="dxa"/>
            </w:tcMar>
          </w:tcPr>
          <w:p>
            <w:pPr>
              <w:spacing w:before="20" w:after="20" w:line="264" w:lineRule="auto"/>
              <w:jc w:val="center"/>
            </w:pPr>
            <w:r>
              <w:t>Moderate</w:t>
            </w:r>
          </w:p>
        </w:tc>
        <w:tc>
          <w:tcPr>
            <w:tcW w:type="dxa" w:w="1704"/>
            <w:vAlign w:val="center"/>
            <w:tcMar>
              <w:top w:w="80" w:type="dxa"/>
              <w:start w:w="80" w:type="dxa"/>
              <w:bottom w:w="80" w:type="dxa"/>
              <w:end w:w="80" w:type="dxa"/>
            </w:tcMar>
          </w:tcPr>
          <w:p>
            <w:pPr>
              <w:spacing w:before="20" w:after="20" w:line="264" w:lineRule="auto"/>
              <w:jc w:val="center"/>
            </w:pPr>
            <w:r>
              <w:t>Readiness -4; Forecast -5</w:t>
            </w:r>
          </w:p>
        </w:tc>
      </w:tr>
      <w:tr>
        <w:tc>
          <w:tcPr>
            <w:tcW w:type="dxa" w:w="1704"/>
            <w:vAlign w:val="center"/>
            <w:tcMar>
              <w:top w:w="80" w:type="dxa"/>
              <w:start w:w="80" w:type="dxa"/>
              <w:bottom w:w="80" w:type="dxa"/>
              <w:end w:w="80" w:type="dxa"/>
            </w:tcMar>
          </w:tcPr>
          <w:p>
            <w:pPr>
              <w:spacing w:before="20" w:after="20" w:line="264" w:lineRule="auto"/>
              <w:jc w:val="center"/>
            </w:pPr>
            <w:r>
              <w:t>CL-10</w:t>
            </w:r>
          </w:p>
        </w:tc>
        <w:tc>
          <w:tcPr>
            <w:tcW w:type="dxa" w:w="1704"/>
            <w:vAlign w:val="center"/>
            <w:tcMar>
              <w:top w:w="80" w:type="dxa"/>
              <w:start w:w="80" w:type="dxa"/>
              <w:bottom w:w="80" w:type="dxa"/>
              <w:end w:w="80" w:type="dxa"/>
            </w:tcMar>
          </w:tcPr>
          <w:p>
            <w:pPr>
              <w:spacing w:before="20" w:after="20" w:line="264" w:lineRule="auto"/>
              <w:jc w:val="left"/>
            </w:pPr>
            <w:r>
              <w:t>Self-Protective Overread</w:t>
            </w:r>
          </w:p>
        </w:tc>
        <w:tc>
          <w:tcPr>
            <w:tcW w:type="dxa" w:w="1704"/>
            <w:vAlign w:val="center"/>
            <w:tcMar>
              <w:top w:w="80" w:type="dxa"/>
              <w:start w:w="80" w:type="dxa"/>
              <w:bottom w:w="80" w:type="dxa"/>
              <w:end w:w="80" w:type="dxa"/>
            </w:tcMar>
          </w:tcPr>
          <w:p>
            <w:pPr>
              <w:spacing w:before="20" w:after="20" w:line="264" w:lineRule="auto"/>
              <w:jc w:val="center"/>
            </w:pPr>
            <w:r>
              <w:t>Proposed</w:t>
            </w:r>
          </w:p>
        </w:tc>
        <w:tc>
          <w:tcPr>
            <w:tcW w:type="dxa" w:w="1704"/>
            <w:vAlign w:val="center"/>
            <w:tcMar>
              <w:top w:w="80" w:type="dxa"/>
              <w:start w:w="80" w:type="dxa"/>
              <w:bottom w:w="80" w:type="dxa"/>
              <w:end w:w="80" w:type="dxa"/>
            </w:tcMar>
          </w:tcPr>
          <w:p>
            <w:pPr>
              <w:spacing w:before="20" w:after="20" w:line="264" w:lineRule="auto"/>
              <w:jc w:val="center"/>
            </w:pPr>
            <w:r>
              <w:t>Readiness</w:t>
            </w:r>
          </w:p>
        </w:tc>
        <w:tc>
          <w:tcPr>
            <w:tcW w:type="dxa" w:w="1704"/>
            <w:vAlign w:val="center"/>
            <w:tcMar>
              <w:top w:w="80" w:type="dxa"/>
              <w:start w:w="80" w:type="dxa"/>
              <w:bottom w:w="80" w:type="dxa"/>
              <w:end w:w="80" w:type="dxa"/>
            </w:tcMar>
          </w:tcPr>
          <w:p>
            <w:pPr>
              <w:spacing w:before="20" w:after="20" w:line="264" w:lineRule="auto"/>
              <w:jc w:val="center"/>
            </w:pPr>
            <w:r>
              <w:t>Soft-Moderate</w:t>
            </w:r>
          </w:p>
        </w:tc>
        <w:tc>
          <w:tcPr>
            <w:tcW w:type="dxa" w:w="1704"/>
            <w:vAlign w:val="center"/>
            <w:tcMar>
              <w:top w:w="80" w:type="dxa"/>
              <w:start w:w="80" w:type="dxa"/>
              <w:bottom w:w="80" w:type="dxa"/>
              <w:end w:w="80" w:type="dxa"/>
            </w:tcMar>
          </w:tcPr>
          <w:p>
            <w:pPr>
              <w:spacing w:before="20" w:after="20" w:line="264" w:lineRule="auto"/>
              <w:jc w:val="center"/>
            </w:pPr>
            <w:r>
              <w:t>Readiness -3; Forecast -2</w:t>
            </w:r>
          </w:p>
        </w:tc>
      </w:tr>
    </w:tbl>
    <w:p/>
    <w:p>
      <w:pPr>
        <w:pStyle w:val="Heading2"/>
      </w:pPr>
      <w:r>
        <w:t>CL-01 - Vulnerability Loop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Active / Locked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Moderate-Hard</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Readiness + Forecast</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Q6 + Q32 (locked); allow future alias mapping by question_version</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Desire for connection conflicts with behavioral protection strategy.</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-6; Forecast -4; add contradiction_count +1</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Show reflection prompt; recommend regulation/communication micro-ritual if repeated within 30 days.</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Allowed for self-reflection, Sanctuary prompts, and growth plans. Hidden from matches except softened translation language in composite insights.</w:t>
            </w:r>
          </w:p>
        </w:tc>
      </w:tr>
    </w:tbl>
    <w:p>
      <w:r>
        <w:rPr>
          <w:b/>
        </w:rPr>
        <w:t>Trigger logic</w:t>
      </w:r>
    </w:p>
    <w:p>
      <w:r>
        <w:t>Triggers when a user claims to want emotional depth, reassurance, or honest closeness in one answer path, but later selects retreat, silence, concealment, or self-protective withdrawal under pressure.</w:t>
      </w:r>
    </w:p>
    <w:p>
      <w:r>
        <w:rPr>
          <w:b/>
        </w:rPr>
        <w:t>User-facing translation</w:t>
      </w:r>
    </w:p>
    <w:p>
      <w:r>
        <w:t>"Part of you wants deep closeness, but another part pulls back when it starts to feel real. That can make connection feel confusing for both people."</w:t>
      </w:r>
    </w:p>
    <w:p/>
    <w:p>
      <w:pPr>
        <w:pStyle w:val="Heading2"/>
      </w:pPr>
      <w:r>
        <w:t>CL-02 - Control Avoidance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 / Strong fit</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Readiness + Forecast</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autonomy, pace, repair, accountability items</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Stability desire conflicts with anti-structure behavior.</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-5; Forecast -3</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Prompt user to define what feels controlling versus what is actually healthy structure.</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Allowed for self-side coaching. Never exposed as a label to a match.</w:t>
            </w:r>
          </w:p>
        </w:tc>
      </w:tr>
    </w:tbl>
    <w:p>
      <w:r>
        <w:rPr>
          <w:b/>
        </w:rPr>
        <w:t>Trigger logic</w:t>
      </w:r>
    </w:p>
    <w:p>
      <w:r>
        <w:t>Triggers when a user says they want a stable, direct, reliable relationship but repeatedly selects answers showing resistance to check-ins, discomfort with mutual structure, or avoidance of being answerable to another person.</w:t>
      </w:r>
    </w:p>
    <w:p>
      <w:r>
        <w:rPr>
          <w:b/>
        </w:rPr>
        <w:t>User-facing translation</w:t>
      </w:r>
    </w:p>
    <w:p>
      <w:r>
        <w:t>"You may want consistency, but parts of your pattern resist the structure that consistency actually requires."</w:t>
      </w:r>
    </w:p>
    <w:p/>
    <w:p>
      <w:pPr>
        <w:pStyle w:val="Heading2"/>
      </w:pPr>
      <w:r>
        <w:t>CL-03 - Pursuit-Panic Loop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Moderate-Hard</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Forecast primary; Readiness secondary</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pursuit intensity, fear of loss, pace, reassurance, conflict recovery</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Acceleration and alarm live in the same blueprint.</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-4; Forecast -5</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Recommend pace guardrails before granting heavy couple-growth prompts.</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Allowed in reflective summaries; may generate pacing guidance.</w:t>
            </w:r>
          </w:p>
        </w:tc>
      </w:tr>
    </w:tbl>
    <w:p>
      <w:r>
        <w:rPr>
          <w:b/>
        </w:rPr>
        <w:t>Trigger logic</w:t>
      </w:r>
    </w:p>
    <w:p>
      <w:r>
        <w:t>Triggers when answers show strong desire for fast closeness, high reassurance seeking, or urgency in bonding combined with later answers indicating overwhelm, escape impulses, or panic when intimacy becomes mutual and binding.</w:t>
      </w:r>
    </w:p>
    <w:p>
      <w:r>
        <w:rPr>
          <w:b/>
        </w:rPr>
        <w:t>User-facing translation</w:t>
      </w:r>
    </w:p>
    <w:p>
      <w:r>
        <w:t>"Your pattern may speed up connection and then feel trapped by the intensity it helped create."</w:t>
      </w:r>
    </w:p>
    <w:p/>
    <w:p>
      <w:pPr>
        <w:pStyle w:val="Heading2"/>
      </w:pPr>
      <w:r>
        <w:t>CL-04 - Fantasy vs Availability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Readiness</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idealization, standards, real-life effort, availability, follow-through</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Romantic appetite exceeds operational availability.</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-5; Forecast -2</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Prompt user to compare ideal relationship image with their actual weekly capacity.</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Safe for self-insight only.</w:t>
            </w:r>
          </w:p>
        </w:tc>
      </w:tr>
    </w:tbl>
    <w:p>
      <w:r>
        <w:rPr>
          <w:b/>
        </w:rPr>
        <w:t>Trigger logic</w:t>
      </w:r>
    </w:p>
    <w:p>
      <w:r>
        <w:t>Triggers when a user endorses highly idealized relational expectations or symbolic romance while also showing low bandwidth for practical availability, real-life repair, or day-to-day participation.</w:t>
      </w:r>
    </w:p>
    <w:p>
      <w:r>
        <w:rPr>
          <w:b/>
        </w:rPr>
        <w:t>User-facing translation</w:t>
      </w:r>
    </w:p>
    <w:p>
      <w:r>
        <w:t>"The vision of love may be stronger than the schedule, effort, or steadiness currently available to sustain it."</w:t>
      </w:r>
    </w:p>
    <w:p/>
    <w:p>
      <w:pPr>
        <w:pStyle w:val="Heading2"/>
      </w:pPr>
      <w:r>
        <w:t>CL-05 - Repair Refusal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 / High-value</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Hard</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Forecast</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conflict, apology, re-engagement, responsibility, time-to-repair</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Values repair in theory, withholds repair in practice.</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-4; Forecast -6</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Raise repair-latency flag; unlock structured apology/repair exercise instead of generic advice.</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Allowed in couple tools only if both users have consented and wording is softened.</w:t>
            </w:r>
          </w:p>
        </w:tc>
      </w:tr>
    </w:tbl>
    <w:p>
      <w:r>
        <w:rPr>
          <w:b/>
        </w:rPr>
        <w:t>Trigger logic</w:t>
      </w:r>
    </w:p>
    <w:p>
      <w:r>
        <w:t>Triggers when a user says communication and honesty matter, but their conflict answers favor disappearing, stonewalling, scorekeeping, punishment silence, or indefinite distancing after rupture.</w:t>
      </w:r>
    </w:p>
    <w:p>
      <w:r>
        <w:rPr>
          <w:b/>
        </w:rPr>
        <w:t>User-facing translation</w:t>
      </w:r>
    </w:p>
    <w:p>
      <w:r>
        <w:t>"You appear to value honesty, but your conflict pattern may make repair hard once hurt or anger enters the room."</w:t>
      </w:r>
    </w:p>
    <w:p/>
    <w:p>
      <w:pPr>
        <w:pStyle w:val="Heading2"/>
      </w:pPr>
      <w:r>
        <w:t>CL-06 - Validation Hunger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Soft-Moderate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Readiness</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attention needs, image, rejection response, external affirmation</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Self-image and regulation dependence do not line up.</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-3; Forecast -2 if repeated</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Suggest internal validation ritual and reduce confidence weight on self-reported steadiness.</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Allowed for self-side growth framing; not match-visible.</w:t>
            </w:r>
          </w:p>
        </w:tc>
      </w:tr>
    </w:tbl>
    <w:p>
      <w:r>
        <w:rPr>
          <w:b/>
        </w:rPr>
        <w:t>Trigger logic</w:t>
      </w:r>
    </w:p>
    <w:p>
      <w:r>
        <w:t>Triggers when answers show strong dependence on external affirmation, visibility, or emotional proof from others while also claiming strong internal steadiness or self-sourced security.</w:t>
      </w:r>
    </w:p>
    <w:p>
      <w:r>
        <w:rPr>
          <w:b/>
        </w:rPr>
        <w:t>User-facing translation</w:t>
      </w:r>
    </w:p>
    <w:p>
      <w:r>
        <w:t>"You may feel steadier when attention is flowing than when connection gets quiet. That can affect how safe the bond feels."</w:t>
      </w:r>
    </w:p>
    <w:p/>
    <w:p>
      <w:pPr>
        <w:pStyle w:val="Heading2"/>
      </w:pPr>
      <w:r>
        <w:t>CL-07 - Pace Distortion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Forecast</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commitment timing, exclusivity, future planning, pressure tolerance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Commitment language and commitment tolerance are out of sync.</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-3; Forecast -5</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Apply pace mismatch caution in forecast explanation.</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May be translated into pacing recommendations and matchmaking guardrails.</w:t>
            </w:r>
          </w:p>
        </w:tc>
      </w:tr>
    </w:tbl>
    <w:p>
      <w:r>
        <w:rPr>
          <w:b/>
        </w:rPr>
        <w:t>Trigger logic</w:t>
      </w:r>
    </w:p>
    <w:p>
      <w:r>
        <w:t>Triggers when answers alternate between wanting serious long-term commitment very quickly and resisting any labels, timing, or relational definitions that create real consequences.</w:t>
      </w:r>
    </w:p>
    <w:p>
      <w:r>
        <w:rPr>
          <w:b/>
        </w:rPr>
        <w:t>User-facing translation</w:t>
      </w:r>
    </w:p>
    <w:p>
      <w:r>
        <w:t>"Your pace pattern may send mixed signals about what kind of future you want and how quickly you can actually hold it."</w:t>
      </w:r>
    </w:p>
    <w:p/>
    <w:p>
      <w:pPr>
        <w:pStyle w:val="Heading2"/>
      </w:pPr>
      <w:r>
        <w:t>CL-08 - Caretaker Exhaustion Loop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Readiness + Forecast</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over-functioning, resentment, unmet needs, reciprocity</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Care and resentment are co-existing in the same strategy.</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-4; Forecast -4</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Prompt direct-needs exercise; monitor for scorekeeper shadow interactions.</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Safe for self and couple reflections with consent.</w:t>
            </w:r>
          </w:p>
        </w:tc>
      </w:tr>
    </w:tbl>
    <w:p>
      <w:r>
        <w:rPr>
          <w:b/>
        </w:rPr>
        <w:t>Trigger logic</w:t>
      </w:r>
    </w:p>
    <w:p>
      <w:r>
        <w:t>Triggers when a user presents as highly giving, helpful, and stable but also endorses hidden resentment, scorekeeping, or difficulty stating needs directly.</w:t>
      </w:r>
    </w:p>
    <w:p>
      <w:r>
        <w:rPr>
          <w:b/>
        </w:rPr>
        <w:t>User-facing translation</w:t>
      </w:r>
    </w:p>
    <w:p>
      <w:r>
        <w:t>"You may carry connection by doing too much and saying too little, which can turn care into quiet resentment."</w:t>
      </w:r>
    </w:p>
    <w:p/>
    <w:p>
      <w:pPr>
        <w:pStyle w:val="Heading2"/>
      </w:pPr>
      <w:r>
        <w:t>CL-09 - Testing Instead of Telling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Forecast primary</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reassurance, conflict, communication style, vulnerability</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Transparency values clash with covert verification behavior.</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-4; Forecast -5</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Recommend direct-request script before advanced relationship tools.</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Safe in self-reflection; pair translation only in softened language.</w:t>
            </w:r>
          </w:p>
        </w:tc>
      </w:tr>
    </w:tbl>
    <w:p>
      <w:r>
        <w:rPr>
          <w:b/>
        </w:rPr>
        <w:t>Trigger logic</w:t>
      </w:r>
    </w:p>
    <w:p>
      <w:r>
        <w:t>Triggers when a user claims to want honest communication but repeatedly prefers indirect tests, strategic silence, withdrawal, or hidden standards to see whether a partner 'really cares.'</w:t>
      </w:r>
    </w:p>
    <w:p>
      <w:r>
        <w:rPr>
          <w:b/>
        </w:rPr>
        <w:t>User-facing translation</w:t>
      </w:r>
    </w:p>
    <w:p>
      <w:r>
        <w:t>"You may look for proof of care indirectly instead of asking for what you need directly. That can create preventable confusion."</w:t>
      </w:r>
    </w:p>
    <w:p/>
    <w:p>
      <w:pPr>
        <w:pStyle w:val="Heading2"/>
      </w:pPr>
      <w:r>
        <w:t>CL-10 - Self-Protective Overread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80" w:type="dxa"/>
              <w:bottom w:w="80" w:type="dxa"/>
              <w:end w:w="80" w:type="dxa"/>
            </w:tcMar>
            <w:shd w:fill="EAF1FB"/>
          </w:tcPr>
          <w:p>
            <w:pPr>
              <w:spacing w:before="20" w:after="20" w:line="264" w:lineRule="auto"/>
              <w:jc w:val="center"/>
            </w:pPr>
            <w:r>
              <w:rPr>
                <w:b/>
              </w:rPr>
              <w:t>Status</w:t>
            </w:r>
          </w:p>
        </w:tc>
        <w:tc>
          <w:tcPr>
            <w:tcW w:type="dxa" w:w="2556"/>
            <w:vAlign w:val="center"/>
            <w:tcMar>
              <w:top w:w="80" w:type="dxa"/>
              <w:start w:w="80" w:type="dxa"/>
              <w:bottom w:w="80" w:type="dxa"/>
              <w:end w:w="80" w:type="dxa"/>
            </w:tcMar>
          </w:tcPr>
          <w:p>
            <w:pPr>
              <w:spacing w:before="20" w:after="20" w:line="264" w:lineRule="auto"/>
              <w:jc w:val="left"/>
            </w:pPr>
            <w:r>
              <w:t>Proposed</w:t>
            </w:r>
          </w:p>
        </w:tc>
        <w:tc>
          <w:tcPr>
            <w:tcW w:type="dxa" w:w="2556"/>
            <w:vAlign w:val="center"/>
            <w:tcMar>
              <w:top w:w="80" w:type="dxa"/>
              <w:start w:w="80" w:type="dxa"/>
              <w:bottom w:w="80" w:type="dxa"/>
              <w:end w:w="80" w:type="dxa"/>
            </w:tcMar>
            <w:shd w:fill="EAF1FB"/>
          </w:tcPr>
          <w:p>
            <w:pPr>
              <w:spacing w:before="20" w:after="20" w:line="264" w:lineRule="auto"/>
              <w:jc w:val="center"/>
            </w:pPr>
            <w:r>
              <w:rPr>
                <w:b/>
              </w:rPr>
              <w:t>Severity</w:t>
            </w:r>
          </w:p>
        </w:tc>
        <w:tc>
          <w:tcPr>
            <w:tcW w:type="dxa" w:w="2556"/>
            <w:vAlign w:val="center"/>
            <w:tcMar>
              <w:top w:w="80" w:type="dxa"/>
              <w:start w:w="80" w:type="dxa"/>
              <w:bottom w:w="80" w:type="dxa"/>
              <w:end w:w="80" w:type="dxa"/>
            </w:tcMar>
          </w:tcPr>
          <w:p>
            <w:pPr>
              <w:spacing w:before="20" w:after="20" w:line="264" w:lineRule="auto"/>
              <w:jc w:val="left"/>
            </w:pPr>
            <w:r>
              <w:t>Soft-Moderate</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Scope</w:t>
            </w:r>
          </w:p>
        </w:tc>
        <w:tc>
          <w:tcPr>
            <w:tcW w:type="dxa" w:w="2556"/>
            <w:vAlign w:val="center"/>
            <w:tcMar>
              <w:top w:w="80" w:type="dxa"/>
              <w:start w:w="80" w:type="dxa"/>
              <w:bottom w:w="80" w:type="dxa"/>
              <w:end w:w="80" w:type="dxa"/>
            </w:tcMar>
          </w:tcPr>
          <w:p>
            <w:pPr>
              <w:spacing w:before="20" w:after="20" w:line="264" w:lineRule="auto"/>
              <w:jc w:val="left"/>
            </w:pPr>
            <w:r>
              <w:t>Readiness</w:t>
            </w:r>
          </w:p>
        </w:tc>
        <w:tc>
          <w:tcPr>
            <w:tcW w:type="dxa" w:w="2556"/>
            <w:vAlign w:val="center"/>
            <w:tcMar>
              <w:top w:w="80" w:type="dxa"/>
              <w:start w:w="80" w:type="dxa"/>
              <w:bottom w:w="80" w:type="dxa"/>
              <w:end w:w="80" w:type="dxa"/>
            </w:tcMar>
            <w:shd w:fill="EAF1FB"/>
          </w:tcPr>
          <w:p>
            <w:pPr>
              <w:spacing w:before="20" w:after="20" w:line="264" w:lineRule="auto"/>
              <w:jc w:val="center"/>
            </w:pPr>
            <w:r>
              <w:rPr>
                <w:b/>
              </w:rPr>
              <w:t>Question Mapping</w:t>
            </w:r>
          </w:p>
        </w:tc>
        <w:tc>
          <w:tcPr>
            <w:tcW w:type="dxa" w:w="2556"/>
            <w:vAlign w:val="center"/>
            <w:tcMar>
              <w:top w:w="80" w:type="dxa"/>
              <w:start w:w="80" w:type="dxa"/>
              <w:bottom w:w="80" w:type="dxa"/>
              <w:end w:w="80" w:type="dxa"/>
            </w:tcMar>
          </w:tcPr>
          <w:p>
            <w:pPr>
              <w:spacing w:before="20" w:after="20" w:line="264" w:lineRule="auto"/>
              <w:jc w:val="left"/>
            </w:pPr>
            <w:r>
              <w:t>Future mapping: pattern reading, vigilance, assumption making, trust calibration</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Engine Signal</w:t>
            </w:r>
          </w:p>
        </w:tc>
        <w:tc>
          <w:tcPr>
            <w:tcW w:type="dxa" w:w="2556"/>
            <w:vAlign w:val="center"/>
            <w:tcMar>
              <w:top w:w="80" w:type="dxa"/>
              <w:start w:w="80" w:type="dxa"/>
              <w:bottom w:w="80" w:type="dxa"/>
              <w:end w:w="80" w:type="dxa"/>
            </w:tcMar>
          </w:tcPr>
          <w:p>
            <w:pPr>
              <w:spacing w:before="20" w:after="20" w:line="264" w:lineRule="auto"/>
              <w:jc w:val="left"/>
            </w:pPr>
            <w:r>
              <w:t>Pattern recognition outruns verification.</w:t>
            </w:r>
          </w:p>
        </w:tc>
        <w:tc>
          <w:tcPr>
            <w:tcW w:type="dxa" w:w="2556"/>
            <w:vAlign w:val="center"/>
            <w:tcMar>
              <w:top w:w="80" w:type="dxa"/>
              <w:start w:w="80" w:type="dxa"/>
              <w:bottom w:w="80" w:type="dxa"/>
              <w:end w:w="80" w:type="dxa"/>
            </w:tcMar>
            <w:shd w:fill="EAF1FB"/>
          </w:tcPr>
          <w:p>
            <w:pPr>
              <w:spacing w:before="20" w:after="20" w:line="264" w:lineRule="auto"/>
              <w:jc w:val="center"/>
            </w:pPr>
            <w:r>
              <w:rPr>
                <w:b/>
              </w:rPr>
              <w:t>Penalty</w:t>
            </w:r>
          </w:p>
        </w:tc>
        <w:tc>
          <w:tcPr>
            <w:tcW w:type="dxa" w:w="2556"/>
            <w:vAlign w:val="center"/>
            <w:tcMar>
              <w:top w:w="80" w:type="dxa"/>
              <w:start w:w="80" w:type="dxa"/>
              <w:bottom w:w="80" w:type="dxa"/>
              <w:end w:w="80" w:type="dxa"/>
            </w:tcMar>
          </w:tcPr>
          <w:p>
            <w:pPr>
              <w:spacing w:before="20" w:after="20" w:line="264" w:lineRule="auto"/>
              <w:jc w:val="left"/>
            </w:pPr>
            <w:r>
              <w:t>Readiness -3; Forecast -2</w:t>
            </w:r>
          </w:p>
        </w:tc>
      </w:tr>
      <w:tr>
        <w:tc>
          <w:tcPr>
            <w:tcW w:type="dxa" w:w="2556"/>
            <w:vAlign w:val="center"/>
            <w:tcMar>
              <w:top w:w="80" w:type="dxa"/>
              <w:start w:w="80" w:type="dxa"/>
              <w:bottom w:w="80" w:type="dxa"/>
              <w:end w:w="80" w:type="dxa"/>
            </w:tcMar>
            <w:shd w:fill="EAF1FB"/>
          </w:tcPr>
          <w:p>
            <w:pPr>
              <w:spacing w:before="20" w:after="20" w:line="264" w:lineRule="auto"/>
              <w:jc w:val="center"/>
            </w:pPr>
            <w:r>
              <w:rPr>
                <w:b/>
              </w:rPr>
              <w:t>Action</w:t>
            </w:r>
          </w:p>
        </w:tc>
        <w:tc>
          <w:tcPr>
            <w:tcW w:type="dxa" w:w="2556"/>
            <w:vAlign w:val="center"/>
            <w:tcMar>
              <w:top w:w="80" w:type="dxa"/>
              <w:start w:w="80" w:type="dxa"/>
              <w:bottom w:w="80" w:type="dxa"/>
              <w:end w:w="80" w:type="dxa"/>
            </w:tcMar>
          </w:tcPr>
          <w:p>
            <w:pPr>
              <w:spacing w:before="20" w:after="20" w:line="264" w:lineRule="auto"/>
              <w:jc w:val="left"/>
            </w:pPr>
            <w:r>
              <w:t>Lower inference confidence; prompt verify-before-conclude check.</w:t>
            </w:r>
          </w:p>
        </w:tc>
        <w:tc>
          <w:tcPr>
            <w:tcW w:type="dxa" w:w="2556"/>
            <w:vAlign w:val="center"/>
            <w:tcMar>
              <w:top w:w="80" w:type="dxa"/>
              <w:start w:w="80" w:type="dxa"/>
              <w:bottom w:w="80" w:type="dxa"/>
              <w:end w:w="80" w:type="dxa"/>
            </w:tcMar>
            <w:shd w:fill="EAF1FB"/>
          </w:tcPr>
          <w:p>
            <w:pPr>
              <w:spacing w:before="20" w:after="20" w:line="264" w:lineRule="auto"/>
              <w:jc w:val="center"/>
            </w:pPr>
            <w:r>
              <w:rPr>
                <w:b/>
              </w:rPr>
              <w:t>AI Handling</w:t>
            </w:r>
          </w:p>
        </w:tc>
        <w:tc>
          <w:tcPr>
            <w:tcW w:type="dxa" w:w="2556"/>
            <w:vAlign w:val="center"/>
            <w:tcMar>
              <w:top w:w="80" w:type="dxa"/>
              <w:start w:w="80" w:type="dxa"/>
              <w:bottom w:w="80" w:type="dxa"/>
              <w:end w:w="80" w:type="dxa"/>
            </w:tcMar>
          </w:tcPr>
          <w:p>
            <w:pPr>
              <w:spacing w:before="20" w:after="20" w:line="264" w:lineRule="auto"/>
              <w:jc w:val="left"/>
            </w:pPr>
            <w:r>
              <w:t>Allowed for self-side insight and tone coaching.</w:t>
            </w:r>
          </w:p>
        </w:tc>
      </w:tr>
    </w:tbl>
    <w:p>
      <w:r>
        <w:rPr>
          <w:b/>
        </w:rPr>
        <w:t>Trigger logic</w:t>
      </w:r>
    </w:p>
    <w:p>
      <w:r>
        <w:t>Triggers when a user frames themselves as perceptive and realistic but later selects repeated interpretation-first answers that assume meaning, motive, or rejection before direct communication occurs.</w:t>
      </w:r>
    </w:p>
    <w:p>
      <w:r>
        <w:rPr>
          <w:b/>
        </w:rPr>
        <w:t>User-facing translation</w:t>
      </w:r>
    </w:p>
    <w:p>
      <w:r>
        <w:t>"Your pattern-reading ability may be useful, but it can also jump ahead of what was actually said or meant."</w:t>
      </w:r>
    </w:p>
    <w:p/>
    <w:p>
      <w:pPr>
        <w:pStyle w:val="Heading1"/>
      </w:pPr>
      <w:r>
        <w:t>4. Exposure Policy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6F5"/>
            <w:vAlign w:val="center"/>
            <w:tcMar>
              <w:top w:w="80" w:type="dxa"/>
              <w:start w:w="80" w:type="dxa"/>
              <w:bottom w:w="80" w:type="dxa"/>
              <w:end w:w="80" w:type="dxa"/>
            </w:tcMar>
          </w:tcPr>
          <w:p>
            <w:pPr>
              <w:spacing w:before="20" w:after="20" w:line="264" w:lineRule="auto"/>
              <w:jc w:val="center"/>
            </w:pPr>
            <w:r>
              <w:rPr>
                <w:b/>
              </w:rPr>
              <w:t>Data Element</w:t>
            </w:r>
          </w:p>
        </w:tc>
        <w:tc>
          <w:tcPr>
            <w:tcW w:type="dxa" w:w="2045"/>
            <w:shd w:fill="D9E6F5"/>
            <w:vAlign w:val="center"/>
            <w:tcMar>
              <w:top w:w="80" w:type="dxa"/>
              <w:start w:w="80" w:type="dxa"/>
              <w:bottom w:w="80" w:type="dxa"/>
              <w:end w:w="80" w:type="dxa"/>
            </w:tcMar>
          </w:tcPr>
          <w:p>
            <w:pPr>
              <w:spacing w:before="20" w:after="20" w:line="264" w:lineRule="auto"/>
              <w:jc w:val="center"/>
            </w:pPr>
            <w:r>
              <w:rPr>
                <w:b/>
              </w:rPr>
              <w:t>Self Report</w:t>
            </w:r>
          </w:p>
        </w:tc>
        <w:tc>
          <w:tcPr>
            <w:tcW w:type="dxa" w:w="2045"/>
            <w:shd w:fill="D9E6F5"/>
            <w:vAlign w:val="center"/>
            <w:tcMar>
              <w:top w:w="80" w:type="dxa"/>
              <w:start w:w="80" w:type="dxa"/>
              <w:bottom w:w="80" w:type="dxa"/>
              <w:end w:w="80" w:type="dxa"/>
            </w:tcMar>
          </w:tcPr>
          <w:p>
            <w:pPr>
              <w:spacing w:before="20" w:after="20" w:line="264" w:lineRule="auto"/>
              <w:jc w:val="center"/>
            </w:pPr>
            <w:r>
              <w:rPr>
                <w:b/>
              </w:rPr>
              <w:t>Match Preview</w:t>
            </w:r>
          </w:p>
        </w:tc>
        <w:tc>
          <w:tcPr>
            <w:tcW w:type="dxa" w:w="2045"/>
            <w:shd w:fill="D9E6F5"/>
            <w:vAlign w:val="center"/>
            <w:tcMar>
              <w:top w:w="80" w:type="dxa"/>
              <w:start w:w="80" w:type="dxa"/>
              <w:bottom w:w="80" w:type="dxa"/>
              <w:end w:w="80" w:type="dxa"/>
            </w:tcMar>
          </w:tcPr>
          <w:p>
            <w:pPr>
              <w:spacing w:before="20" w:after="20" w:line="264" w:lineRule="auto"/>
              <w:jc w:val="center"/>
            </w:pPr>
            <w:r>
              <w:rPr>
                <w:b/>
              </w:rPr>
              <w:t>Internal Admin/QA</w:t>
            </w:r>
          </w:p>
        </w:tc>
        <w:tc>
          <w:tcPr>
            <w:tcW w:type="dxa" w:w="2045"/>
            <w:shd w:fill="D9E6F5"/>
            <w:vAlign w:val="center"/>
            <w:tcMar>
              <w:top w:w="80" w:type="dxa"/>
              <w:start w:w="80" w:type="dxa"/>
              <w:bottom w:w="80" w:type="dxa"/>
              <w:end w:w="80" w:type="dxa"/>
            </w:tcMar>
          </w:tcPr>
          <w:p>
            <w:pPr>
              <w:spacing w:before="20" w:after="20" w:line="264" w:lineRule="auto"/>
              <w:jc w:val="center"/>
            </w:pPr>
            <w:r>
              <w:rPr>
                <w:b/>
              </w:rPr>
              <w:t>AI Access</w:t>
            </w:r>
          </w:p>
        </w:tc>
      </w:tr>
      <w:tr>
        <w:tc>
          <w:tcPr>
            <w:tcW w:type="dxa" w:w="2045"/>
            <w:vAlign w:val="center"/>
            <w:tcMar>
              <w:top w:w="80" w:type="dxa"/>
              <w:start w:w="80" w:type="dxa"/>
              <w:bottom w:w="80" w:type="dxa"/>
              <w:end w:w="80" w:type="dxa"/>
            </w:tcMar>
          </w:tcPr>
          <w:p>
            <w:pPr>
              <w:spacing w:before="20" w:after="20" w:line="264" w:lineRule="auto"/>
              <w:jc w:val="left"/>
            </w:pPr>
            <w:r>
              <w:t>cluster_id</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r>
        <w:tc>
          <w:tcPr>
            <w:tcW w:type="dxa" w:w="2045"/>
            <w:vAlign w:val="center"/>
            <w:tcMar>
              <w:top w:w="80" w:type="dxa"/>
              <w:start w:w="80" w:type="dxa"/>
              <w:bottom w:w="80" w:type="dxa"/>
              <w:end w:w="80" w:type="dxa"/>
            </w:tcMar>
          </w:tcPr>
          <w:p>
            <w:pPr>
              <w:spacing w:before="20" w:after="20" w:line="264" w:lineRule="auto"/>
              <w:jc w:val="left"/>
            </w:pPr>
            <w:r>
              <w:t>cluster_trigger_boolean</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r>
        <w:tc>
          <w:tcPr>
            <w:tcW w:type="dxa" w:w="2045"/>
            <w:vAlign w:val="center"/>
            <w:tcMar>
              <w:top w:w="80" w:type="dxa"/>
              <w:start w:w="80" w:type="dxa"/>
              <w:bottom w:w="80" w:type="dxa"/>
              <w:end w:w="80" w:type="dxa"/>
            </w:tcMar>
          </w:tcPr>
          <w:p>
            <w:pPr>
              <w:spacing w:before="20" w:after="20" w:line="264" w:lineRule="auto"/>
              <w:jc w:val="left"/>
            </w:pPr>
            <w:r>
              <w:t>contradiction_count</w:t>
            </w:r>
          </w:p>
        </w:tc>
        <w:tc>
          <w:tcPr>
            <w:tcW w:type="dxa" w:w="2045"/>
            <w:vAlign w:val="center"/>
            <w:tcMar>
              <w:top w:w="80" w:type="dxa"/>
              <w:start w:w="80" w:type="dxa"/>
              <w:bottom w:w="80" w:type="dxa"/>
              <w:end w:w="80" w:type="dxa"/>
            </w:tcMar>
          </w:tcPr>
          <w:p>
            <w:pPr>
              <w:spacing w:before="20" w:after="20" w:line="264" w:lineRule="auto"/>
              <w:jc w:val="center"/>
            </w:pPr>
            <w:r>
              <w:t>Optional summary only</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r>
        <w:tc>
          <w:tcPr>
            <w:tcW w:type="dxa" w:w="2045"/>
            <w:vAlign w:val="center"/>
            <w:tcMar>
              <w:top w:w="80" w:type="dxa"/>
              <w:start w:w="80" w:type="dxa"/>
              <w:bottom w:w="80" w:type="dxa"/>
              <w:end w:w="80" w:type="dxa"/>
            </w:tcMar>
          </w:tcPr>
          <w:p>
            <w:pPr>
              <w:spacing w:before="20" w:after="20" w:line="264" w:lineRule="auto"/>
              <w:jc w:val="left"/>
            </w:pPr>
            <w:r>
              <w:t>reflection_prompt_text</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r>
        <w:tc>
          <w:tcPr>
            <w:tcW w:type="dxa" w:w="2045"/>
            <w:vAlign w:val="center"/>
            <w:tcMar>
              <w:top w:w="80" w:type="dxa"/>
              <w:start w:w="80" w:type="dxa"/>
              <w:bottom w:w="80" w:type="dxa"/>
              <w:end w:w="80" w:type="dxa"/>
            </w:tcMar>
          </w:tcPr>
          <w:p>
            <w:pPr>
              <w:spacing w:before="20" w:after="20" w:line="264" w:lineRule="auto"/>
              <w:jc w:val="left"/>
            </w:pPr>
            <w:r>
              <w:t>softened translation snippet</w:t>
            </w:r>
          </w:p>
        </w:tc>
        <w:tc>
          <w:tcPr>
            <w:tcW w:type="dxa" w:w="2045"/>
            <w:vAlign w:val="center"/>
            <w:tcMar>
              <w:top w:w="80" w:type="dxa"/>
              <w:start w:w="80" w:type="dxa"/>
              <w:bottom w:w="80" w:type="dxa"/>
              <w:end w:w="80" w:type="dxa"/>
            </w:tcMar>
          </w:tcPr>
          <w:p>
            <w:pPr>
              <w:spacing w:before="20" w:after="20" w:line="264" w:lineRule="auto"/>
              <w:jc w:val="center"/>
            </w:pPr>
            <w:r>
              <w:t>Optional</w:t>
            </w:r>
          </w:p>
        </w:tc>
        <w:tc>
          <w:tcPr>
            <w:tcW w:type="dxa" w:w="2045"/>
            <w:vAlign w:val="center"/>
            <w:tcMar>
              <w:top w:w="80" w:type="dxa"/>
              <w:start w:w="80" w:type="dxa"/>
              <w:bottom w:w="80" w:type="dxa"/>
              <w:end w:w="80" w:type="dxa"/>
            </w:tcMar>
          </w:tcPr>
          <w:p>
            <w:pPr>
              <w:spacing w:before="20" w:after="20" w:line="264" w:lineRule="auto"/>
              <w:jc w:val="center"/>
            </w:pPr>
            <w:r>
              <w:t>Yes, if match-safe</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r>
        <w:tc>
          <w:tcPr>
            <w:tcW w:type="dxa" w:w="2045"/>
            <w:vAlign w:val="center"/>
            <w:tcMar>
              <w:top w:w="80" w:type="dxa"/>
              <w:start w:w="80" w:type="dxa"/>
              <w:bottom w:w="80" w:type="dxa"/>
              <w:end w:w="80" w:type="dxa"/>
            </w:tcMar>
          </w:tcPr>
          <w:p>
            <w:pPr>
              <w:spacing w:before="20" w:after="20" w:line="264" w:lineRule="auto"/>
              <w:jc w:val="left"/>
            </w:pPr>
            <w:r>
              <w:t>raw penalty values</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r>
        <w:tc>
          <w:tcPr>
            <w:tcW w:type="dxa" w:w="2045"/>
            <w:vAlign w:val="center"/>
            <w:tcMar>
              <w:top w:w="80" w:type="dxa"/>
              <w:start w:w="80" w:type="dxa"/>
              <w:bottom w:w="80" w:type="dxa"/>
              <w:end w:w="80" w:type="dxa"/>
            </w:tcMar>
          </w:tcPr>
          <w:p>
            <w:pPr>
              <w:spacing w:before="20" w:after="20" w:line="264" w:lineRule="auto"/>
              <w:jc w:val="left"/>
            </w:pPr>
            <w:r>
              <w:t>confidence / version metadata</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No</w:t>
            </w:r>
          </w:p>
        </w:tc>
        <w:tc>
          <w:tcPr>
            <w:tcW w:type="dxa" w:w="2045"/>
            <w:vAlign w:val="center"/>
            <w:tcMar>
              <w:top w:w="80" w:type="dxa"/>
              <w:start w:w="80" w:type="dxa"/>
              <w:bottom w:w="80" w:type="dxa"/>
              <w:end w:w="80" w:type="dxa"/>
            </w:tcMar>
          </w:tcPr>
          <w:p>
            <w:pPr>
              <w:spacing w:before="20" w:after="20" w:line="264" w:lineRule="auto"/>
              <w:jc w:val="center"/>
            </w:pPr>
            <w:r>
              <w:t>Yes</w:t>
            </w:r>
          </w:p>
        </w:tc>
        <w:tc>
          <w:tcPr>
            <w:tcW w:type="dxa" w:w="2045"/>
            <w:vAlign w:val="center"/>
            <w:tcMar>
              <w:top w:w="80" w:type="dxa"/>
              <w:start w:w="80" w:type="dxa"/>
              <w:bottom w:w="80" w:type="dxa"/>
              <w:end w:w="80" w:type="dxa"/>
            </w:tcMar>
          </w:tcPr>
          <w:p>
            <w:pPr>
              <w:spacing w:before="20" w:after="20" w:line="264" w:lineRule="auto"/>
              <w:jc w:val="center"/>
            </w:pPr>
            <w:r>
              <w:t>Yes</w:t>
            </w:r>
          </w:p>
        </w:tc>
      </w:tr>
    </w:tbl>
    <w:p/>
    <w:p>
      <w:pPr>
        <w:pStyle w:val="Heading1"/>
      </w:pPr>
      <w:r>
        <w:t>5. Implementation Notes</w:t>
      </w:r>
    </w:p>
    <w:p>
      <w:pPr>
        <w:pStyle w:val="ListBullet"/>
      </w:pPr>
      <w:r>
        <w:t>Store each trigger as a versioned object: cluster_id, user_id, question_version, triggered_at, source_answers, readiness_penalty, forecast_penalty, confidence, prompt_id.</w:t>
      </w:r>
    </w:p>
    <w:p>
      <w:pPr>
        <w:pStyle w:val="ListBullet"/>
      </w:pPr>
      <w:r>
        <w:t>Do not overwrite source answers with cluster interpretations. Inference objects must remain separate from raw assessment truth.</w:t>
      </w:r>
    </w:p>
    <w:p>
      <w:pPr>
        <w:pStyle w:val="ListBullet"/>
      </w:pPr>
      <w:r>
        <w:t>Apply stack caps to related loops. Example: Vulnerability Loop and Testing Instead of Telling may co-occur; cap combined readiness loss if both stem from the same answer pathway.</w:t>
      </w:r>
    </w:p>
    <w:p>
      <w:pPr>
        <w:pStyle w:val="ListBullet"/>
      </w:pPr>
      <w:r>
        <w:t>Clusters can inform AI coaching and Sanctuary sequencing, but they must not silently change archetype or shadow assignments.</w:t>
      </w:r>
    </w:p>
    <w:p>
      <w:pPr>
        <w:pStyle w:val="ListBullet"/>
      </w:pPr>
      <w:r>
        <w:t>Any cluster used in match-facing translation must route through approved softened language templates, never raw diagnostic labels.</w:t>
      </w:r>
    </w:p>
    <w:p>
      <w:pPr>
        <w:pStyle w:val="Heading1"/>
      </w:pPr>
      <w:r>
        <w:t>6. Recommended v1 Launch Set</w:t>
      </w:r>
    </w:p>
    <w:p>
      <w:r>
        <w:rPr>
          <w:b/>
        </w:rPr>
        <w:t xml:space="preserve">Lock at launch: </w:t>
      </w:r>
      <w:r>
        <w:t>CL-01 Vulnerability Loop, CL-02 Control Avoidance, CL-05 Repair Refusal, CL-07 Pace Distortion, and CL-09 Testing Instead of Telling.</w:t>
      </w:r>
    </w:p>
    <w:p>
      <w:r>
        <w:rPr>
          <w:b/>
        </w:rPr>
        <w:t xml:space="preserve">Reason: </w:t>
      </w:r>
      <w:r>
        <w:t>these five clusters cover the most expensive failure modes in early-stage dating and emerging relationships: mixed availability, anti-structure behavior, repair collapse, pace confusion, and covert communication.</w:t>
      </w:r>
    </w:p>
    <w:p>
      <w:r>
        <w:rPr>
          <w:b/>
        </w:rPr>
        <w:t xml:space="preserve">Phase 1.5 additions: </w:t>
      </w:r>
      <w:r>
        <w:t>Fantasy vs Availability, Caretaker Exhaustion Loop, Self-Protective Overread, Validation Hunger, Pursuit-Panic Loop.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0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4A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4A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0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