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GENESIS OS / RELATIONSHIP SCORES</w:t>
        <w:br/>
      </w:r>
      <w:r>
        <w:t>Feature Engineering and ML Training Spec v1</w:t>
      </w:r>
    </w:p>
    <w:p>
      <w:pPr>
        <w:pStyle w:val="CustomSubtitle"/>
        <w:jc w:val="center"/>
      </w:pPr>
      <w:r>
        <w:t>Unified build document for quantum calculations, dimensional feature engineering, Human Emotion Genome intake, training labels, governance, and deployment gates</w:t>
      </w:r>
    </w:p>
    <w:tbl>
      <w:tblPr>
        <w:tblW w:type="auto" w:w="0"/>
        <w:jc w:val="center"/>
        <w:tblLayout w:type="fixed"/>
        <w:tblLook w:firstColumn="1" w:firstRow="1" w:lastColumn="0" w:lastRow="0" w:noHBand="0" w:noVBand="1" w:val="04A0"/>
        <w:tblBorders>
          <w:top w:val="single" w:sz="8" w:space="0" w:color="B9C7D8"/>
          <w:left w:val="single" w:sz="8" w:space="0" w:color="B9C7D8"/>
          <w:bottom w:val="single" w:sz="8" w:space="0" w:color="B9C7D8"/>
          <w:right w:val="single" w:sz="8" w:space="0" w:color="B9C7D8"/>
          <w:insideH w:val="single" w:sz="8" w:space="0" w:color="B9C7D8"/>
          <w:insideV w:val="single" w:sz="8" w:space="0" w:color="B9C7D8"/>
        </w:tblBorders>
      </w:tblPr>
      <w:tblGrid>
        <w:gridCol w:w="3312"/>
        <w:gridCol w:w="3312"/>
        <w:gridCol w:w="3312"/>
      </w:tblGrid>
      <w:tr>
        <w:tc>
          <w:tcPr>
            <w:tcW w:type="dxa" w:w="2880"/>
            <w:shd w:fill="DCE6F2"/>
            <w:tcMar>
              <w:top w:w="70" w:type="dxa"/>
              <w:start w:w="90" w:type="dxa"/>
              <w:bottom w:w="70" w:type="dxa"/>
              <w:end w:w="90" w:type="dxa"/>
            </w:tcMar>
          </w:tcPr>
          <w:p>
            <w:pPr>
              <w:jc w:val="center"/>
            </w:pPr>
            <w:r>
              <w:rPr>
                <w:b/>
                <w:color w:val="18365D"/>
                <w:sz w:val="19"/>
              </w:rPr>
              <w:t>Primary inputs</w:t>
            </w:r>
          </w:p>
        </w:tc>
        <w:tc>
          <w:tcPr>
            <w:tcW w:type="dxa" w:w="3384"/>
            <w:shd w:fill="DCE6F2"/>
            <w:tcMar>
              <w:top w:w="70" w:type="dxa"/>
              <w:start w:w="90" w:type="dxa"/>
              <w:bottom w:w="70" w:type="dxa"/>
              <w:end w:w="90" w:type="dxa"/>
            </w:tcMar>
          </w:tcPr>
          <w:p>
            <w:pPr>
              <w:jc w:val="center"/>
            </w:pPr>
            <w:r>
              <w:rPr>
                <w:b/>
                <w:color w:val="18365D"/>
                <w:sz w:val="19"/>
              </w:rPr>
              <w:t>System goal</w:t>
            </w:r>
          </w:p>
        </w:tc>
        <w:tc>
          <w:tcPr>
            <w:tcW w:type="dxa" w:w="3456"/>
            <w:shd w:fill="DCE6F2"/>
            <w:tcMar>
              <w:top w:w="70" w:type="dxa"/>
              <w:start w:w="90" w:type="dxa"/>
              <w:bottom w:w="70" w:type="dxa"/>
              <w:end w:w="90" w:type="dxa"/>
            </w:tcMar>
          </w:tcPr>
          <w:p>
            <w:pPr>
              <w:jc w:val="center"/>
            </w:pPr>
            <w:r>
              <w:rPr>
                <w:b/>
                <w:color w:val="18365D"/>
                <w:sz w:val="19"/>
              </w:rPr>
              <w:t>Build rule</w:t>
            </w:r>
          </w:p>
        </w:tc>
      </w:tr>
      <w:tr>
        <w:tc>
          <w:tcPr>
            <w:tcW w:type="dxa" w:w="2880"/>
            <w:tcMar>
              <w:top w:w="90" w:type="dxa"/>
              <w:start w:w="110" w:type="dxa"/>
              <w:bottom w:w="90" w:type="dxa"/>
              <w:end w:w="110" w:type="dxa"/>
            </w:tcMar>
          </w:tcPr>
          <w:p>
            <w:pPr>
              <w:jc w:val="left"/>
            </w:pPr>
            <w:r>
              <w:rPr>
                <w:sz w:val="18"/>
              </w:rPr>
              <w:t>Quantum scoring workbooks, polarity v10, Unified Score Contract, Canonical Data Dictionary, Contradiction Cluster Rules, AI Governance + Human Emotion Genome Spec, Quantum Mirror blueprints</w:t>
            </w:r>
          </w:p>
        </w:tc>
        <w:tc>
          <w:tcPr>
            <w:tcW w:type="dxa" w:w="3384"/>
            <w:tcMar>
              <w:top w:w="90" w:type="dxa"/>
              <w:start w:w="110" w:type="dxa"/>
              <w:bottom w:w="90" w:type="dxa"/>
              <w:end w:w="110" w:type="dxa"/>
            </w:tcMar>
          </w:tcPr>
          <w:p>
            <w:pPr>
              <w:jc w:val="left"/>
            </w:pPr>
            <w:r>
              <w:rPr>
                <w:sz w:val="18"/>
              </w:rPr>
              <w:t>Turn raw relationship behavior into governed features that score, forecast, explain, and learn without letting one dramatic session rewrite durable identity</w:t>
            </w:r>
          </w:p>
        </w:tc>
        <w:tc>
          <w:tcPr>
            <w:tcW w:type="dxa" w:w="3456"/>
            <w:tcMar>
              <w:top w:w="90" w:type="dxa"/>
              <w:start w:w="110" w:type="dxa"/>
              <w:bottom w:w="90" w:type="dxa"/>
              <w:end w:w="110" w:type="dxa"/>
            </w:tcMar>
          </w:tcPr>
          <w:p>
            <w:pPr>
              <w:jc w:val="left"/>
            </w:pPr>
            <w:r>
              <w:rPr>
                <w:sz w:val="18"/>
              </w:rPr>
              <w:t>Deterministic scoring stays primary. ML augments ranking, calibration, coaching, and risk prediction only after consent, provenance, and freshness rules are met.</w:t>
            </w:r>
          </w:p>
        </w:tc>
      </w:tr>
    </w:tbl>
    <w:p/>
    <w:p>
      <w:pPr>
        <w:pStyle w:val="Heading1"/>
      </w:pPr>
      <w:r>
        <w:t>1. Purpose and operating stance</w:t>
      </w:r>
    </w:p>
    <w:p>
      <w:r>
        <w:t>This specification turns Genesis OS from a set of smart score sheets into a governed feature pipeline. The job of this document is to define exactly what the machine ingests, how each signal is calculated, which dimensions are durable versus temporary, what labels the models may learn from, how freshness and evidence work, and which calculations must stay deterministic so the system remains explainable.</w:t>
      </w:r>
    </w:p>
    <w:p>
      <w:pPr>
        <w:ind w:left="288" w:hanging="245"/>
      </w:pPr>
      <w:r>
        <w:rPr>
          <w:b/>
        </w:rPr>
        <w:t xml:space="preserve">• </w:t>
      </w:r>
      <w:r>
        <w:t>The word quantum here means state-space scoring: every answer is a structured state vector, and every pair outcome is a weighted interaction between state vectors across questions.</w:t>
      </w:r>
    </w:p>
    <w:p>
      <w:pPr>
        <w:ind w:left="288" w:hanging="245"/>
      </w:pPr>
      <w:r>
        <w:rPr>
          <w:b/>
        </w:rPr>
        <w:t xml:space="preserve">• </w:t>
      </w:r>
      <w:r>
        <w:t>The v1 engine remains rules-first. Machine learning does not replace archetype, shadow, contradiction, polarity, zodiac, or numerology logic; it learns around them for calibration, ranking, drift detection, and guidance quality.</w:t>
      </w:r>
    </w:p>
    <w:p>
      <w:pPr>
        <w:ind w:left="288" w:hanging="245"/>
      </w:pPr>
      <w:r>
        <w:rPr>
          <w:b/>
        </w:rPr>
        <w:t xml:space="preserve">• </w:t>
      </w:r>
      <w:r>
        <w:t>No model may directly mutate a slow identity trait. Models emit evidence. The governor decides whether evidence can influence fast state, medium pattern, or slow identity.</w:t>
      </w:r>
    </w:p>
    <w:p>
      <w:pPr>
        <w:pStyle w:val="Heading1"/>
      </w:pPr>
      <w:r>
        <w:t>2. Canonical source stack and precedence</w:t>
      </w:r>
    </w:p>
    <w:p>
      <w:r>
        <w:t>Source priority is strict so the data layer does not collapse into emotional improv.</w:t>
      </w:r>
    </w:p>
    <w:tbl>
      <w:tblPr>
        <w:tblStyle w:val="TableGrid"/>
        <w:tblW w:type="auto" w:w="0"/>
        <w:jc w:val="center"/>
        <w:tblLayout w:type="fixed"/>
        <w:tblLook w:firstColumn="1" w:firstRow="1" w:lastColumn="0" w:lastRow="0" w:noHBand="0" w:noVBand="1" w:val="04A0"/>
        <w:tblBorders>
          <w:top w:val="single" w:sz="6" w:space="0" w:color="C8D1DD"/>
          <w:left w:val="single" w:sz="6" w:space="0" w:color="C8D1DD"/>
          <w:bottom w:val="single" w:sz="6" w:space="0" w:color="C8D1DD"/>
          <w:right w:val="single" w:sz="6" w:space="0" w:color="C8D1DD"/>
          <w:insideH w:val="single" w:sz="6" w:space="0" w:color="C8D1DD"/>
          <w:insideV w:val="single" w:sz="6" w:space="0" w:color="C8D1DD"/>
        </w:tblBorders>
      </w:tblPr>
      <w:tblGrid>
        <w:gridCol w:w="2484"/>
        <w:gridCol w:w="2484"/>
        <w:gridCol w:w="2484"/>
        <w:gridCol w:w="2484"/>
      </w:tblGrid>
      <w:tr>
        <w:trPr>
          <w:tblHeader w:val="true"/>
        </w:trPr>
        <w:tc>
          <w:tcPr>
            <w:tcW w:type="dxa" w:w="792"/>
            <w:vAlign w:val="center"/>
            <w:shd w:fill="DCE6F2"/>
            <w:tcMar>
              <w:top w:w="70" w:type="dxa"/>
              <w:start w:w="90" w:type="dxa"/>
              <w:bottom w:w="70" w:type="dxa"/>
              <w:end w:w="90" w:type="dxa"/>
            </w:tcMar>
          </w:tcPr>
          <w:p>
            <w:pPr>
              <w:jc w:val="center"/>
            </w:pPr>
            <w:r>
              <w:rPr>
                <w:b/>
                <w:color w:val="18365D"/>
                <w:sz w:val="19"/>
              </w:rPr>
              <w:t>Priority</w:t>
            </w:r>
          </w:p>
        </w:tc>
        <w:tc>
          <w:tcPr>
            <w:tcW w:type="dxa" w:w="2952"/>
            <w:vAlign w:val="center"/>
            <w:shd w:fill="DCE6F2"/>
            <w:tcMar>
              <w:top w:w="70" w:type="dxa"/>
              <w:start w:w="90" w:type="dxa"/>
              <w:bottom w:w="70" w:type="dxa"/>
              <w:end w:w="90" w:type="dxa"/>
            </w:tcMar>
          </w:tcPr>
          <w:p>
            <w:pPr>
              <w:jc w:val="center"/>
            </w:pPr>
            <w:r>
              <w:rPr>
                <w:b/>
                <w:color w:val="18365D"/>
                <w:sz w:val="19"/>
              </w:rPr>
              <w:t>Source</w:t>
            </w:r>
          </w:p>
        </w:tc>
        <w:tc>
          <w:tcPr>
            <w:tcW w:type="dxa" w:w="3960"/>
            <w:vAlign w:val="center"/>
            <w:shd w:fill="DCE6F2"/>
            <w:tcMar>
              <w:top w:w="70" w:type="dxa"/>
              <w:start w:w="90" w:type="dxa"/>
              <w:bottom w:w="70" w:type="dxa"/>
              <w:end w:w="90" w:type="dxa"/>
            </w:tcMar>
          </w:tcPr>
          <w:p>
            <w:pPr>
              <w:jc w:val="center"/>
            </w:pPr>
            <w:r>
              <w:rPr>
                <w:b/>
                <w:color w:val="18365D"/>
                <w:sz w:val="19"/>
              </w:rPr>
              <w:t>Primary use</w:t>
            </w:r>
          </w:p>
        </w:tc>
        <w:tc>
          <w:tcPr>
            <w:tcW w:type="dxa" w:w="2736"/>
            <w:vAlign w:val="center"/>
            <w:shd w:fill="DCE6F2"/>
            <w:tcMar>
              <w:top w:w="70" w:type="dxa"/>
              <w:start w:w="90" w:type="dxa"/>
              <w:bottom w:w="70" w:type="dxa"/>
              <w:end w:w="90" w:type="dxa"/>
            </w:tcMar>
          </w:tcPr>
          <w:p>
            <w:pPr>
              <w:jc w:val="center"/>
            </w:pPr>
            <w:r>
              <w:rPr>
                <w:b/>
                <w:color w:val="18365D"/>
                <w:sz w:val="19"/>
              </w:rPr>
              <w:t>Allowed mutation scope</w:t>
            </w:r>
          </w:p>
        </w:tc>
      </w:tr>
      <w:tr>
        <w:tc>
          <w:tcPr>
            <w:tcW w:type="dxa" w:w="792"/>
            <w:vAlign w:val="center"/>
            <w:tcMar>
              <w:top w:w="65" w:type="dxa"/>
              <w:start w:w="85" w:type="dxa"/>
              <w:bottom w:w="65" w:type="dxa"/>
              <w:end w:w="85" w:type="dxa"/>
            </w:tcMar>
            <w:shd w:fill="F3F6FA"/>
          </w:tcPr>
          <w:p>
            <w:pPr>
              <w:spacing w:after="20"/>
              <w:jc w:val="left"/>
            </w:pPr>
            <w:r>
              <w:rPr>
                <w:sz w:val="18"/>
              </w:rPr>
              <w:t>1</w:t>
            </w:r>
          </w:p>
        </w:tc>
        <w:tc>
          <w:tcPr>
            <w:tcW w:type="dxa" w:w="2952"/>
            <w:vAlign w:val="center"/>
            <w:tcMar>
              <w:top w:w="65" w:type="dxa"/>
              <w:start w:w="85" w:type="dxa"/>
              <w:bottom w:w="65" w:type="dxa"/>
              <w:end w:w="85" w:type="dxa"/>
            </w:tcMar>
          </w:tcPr>
          <w:p>
            <w:pPr>
              <w:spacing w:after="20"/>
              <w:jc w:val="left"/>
            </w:pPr>
            <w:r>
              <w:rPr>
                <w:sz w:val="18"/>
              </w:rPr>
              <w:t>Assessment engine + AnswerBank</w:t>
            </w:r>
          </w:p>
        </w:tc>
        <w:tc>
          <w:tcPr>
            <w:tcW w:type="dxa" w:w="3960"/>
            <w:vAlign w:val="center"/>
            <w:tcMar>
              <w:top w:w="65" w:type="dxa"/>
              <w:start w:w="85" w:type="dxa"/>
              <w:bottom w:w="65" w:type="dxa"/>
              <w:end w:w="85" w:type="dxa"/>
            </w:tcMar>
          </w:tcPr>
          <w:p>
            <w:pPr>
              <w:spacing w:after="20"/>
              <w:jc w:val="left"/>
            </w:pPr>
            <w:r>
              <w:rPr>
                <w:sz w:val="18"/>
              </w:rPr>
              <w:t>Stable blueprint anchors, readiness variables, archetype and shadow distributions, question-level vectors</w:t>
            </w:r>
          </w:p>
        </w:tc>
        <w:tc>
          <w:tcPr>
            <w:tcW w:type="dxa" w:w="2736"/>
            <w:vAlign w:val="center"/>
            <w:tcMar>
              <w:top w:w="65" w:type="dxa"/>
              <w:start w:w="85" w:type="dxa"/>
              <w:bottom w:w="65" w:type="dxa"/>
              <w:end w:w="85" w:type="dxa"/>
            </w:tcMar>
          </w:tcPr>
          <w:p>
            <w:pPr>
              <w:spacing w:after="20"/>
              <w:jc w:val="left"/>
            </w:pPr>
            <w:r>
              <w:rPr>
                <w:sz w:val="18"/>
              </w:rPr>
              <w:t>Slow identity and baseline score inputs</w:t>
            </w:r>
          </w:p>
        </w:tc>
      </w:tr>
      <w:tr>
        <w:tc>
          <w:tcPr>
            <w:tcW w:type="dxa" w:w="792"/>
            <w:vAlign w:val="center"/>
            <w:tcMar>
              <w:top w:w="65" w:type="dxa"/>
              <w:start w:w="85" w:type="dxa"/>
              <w:bottom w:w="65" w:type="dxa"/>
              <w:end w:w="85" w:type="dxa"/>
            </w:tcMar>
            <w:shd w:fill="F3F6FA"/>
          </w:tcPr>
          <w:p>
            <w:pPr>
              <w:spacing w:after="20"/>
              <w:jc w:val="left"/>
            </w:pPr>
            <w:r>
              <w:rPr>
                <w:sz w:val="18"/>
              </w:rPr>
              <w:t>2</w:t>
            </w:r>
          </w:p>
        </w:tc>
        <w:tc>
          <w:tcPr>
            <w:tcW w:type="dxa" w:w="2952"/>
            <w:vAlign w:val="center"/>
            <w:tcMar>
              <w:top w:w="65" w:type="dxa"/>
              <w:start w:w="85" w:type="dxa"/>
              <w:bottom w:w="65" w:type="dxa"/>
              <w:end w:w="85" w:type="dxa"/>
            </w:tcMar>
          </w:tcPr>
          <w:p>
            <w:pPr>
              <w:spacing w:after="20"/>
              <w:jc w:val="left"/>
            </w:pPr>
            <w:r>
              <w:rPr>
                <w:sz w:val="18"/>
              </w:rPr>
              <w:t>Pair quantum tables + matrices</w:t>
            </w:r>
          </w:p>
        </w:tc>
        <w:tc>
          <w:tcPr>
            <w:tcW w:type="dxa" w:w="3960"/>
            <w:vAlign w:val="center"/>
            <w:tcMar>
              <w:top w:w="65" w:type="dxa"/>
              <w:start w:w="85" w:type="dxa"/>
              <w:bottom w:w="65" w:type="dxa"/>
              <w:end w:w="85" w:type="dxa"/>
            </w:tcMar>
          </w:tcPr>
          <w:p>
            <w:pPr>
              <w:spacing w:after="20"/>
              <w:jc w:val="left"/>
            </w:pPr>
            <w:r>
              <w:rPr>
                <w:sz w:val="18"/>
              </w:rPr>
              <w:t>Compatibility, forecast, pair effects, penalties, chemistry and risk interactions</w:t>
            </w:r>
          </w:p>
        </w:tc>
        <w:tc>
          <w:tcPr>
            <w:tcW w:type="dxa" w:w="2736"/>
            <w:vAlign w:val="center"/>
            <w:tcMar>
              <w:top w:w="65" w:type="dxa"/>
              <w:start w:w="85" w:type="dxa"/>
              <w:bottom w:w="65" w:type="dxa"/>
              <w:end w:w="85" w:type="dxa"/>
            </w:tcMar>
          </w:tcPr>
          <w:p>
            <w:pPr>
              <w:spacing w:after="20"/>
              <w:jc w:val="left"/>
            </w:pPr>
            <w:r>
              <w:rPr>
                <w:sz w:val="18"/>
              </w:rPr>
              <w:t>Deterministic pair scoring only</w:t>
            </w:r>
          </w:p>
        </w:tc>
      </w:tr>
      <w:tr>
        <w:tc>
          <w:tcPr>
            <w:tcW w:type="dxa" w:w="792"/>
            <w:vAlign w:val="center"/>
            <w:tcMar>
              <w:top w:w="65" w:type="dxa"/>
              <w:start w:w="85" w:type="dxa"/>
              <w:bottom w:w="65" w:type="dxa"/>
              <w:end w:w="85" w:type="dxa"/>
            </w:tcMar>
            <w:shd w:fill="F3F6FA"/>
          </w:tcPr>
          <w:p>
            <w:pPr>
              <w:spacing w:after="20"/>
              <w:jc w:val="left"/>
            </w:pPr>
            <w:r>
              <w:rPr>
                <w:sz w:val="18"/>
              </w:rPr>
              <w:t>3</w:t>
            </w:r>
          </w:p>
        </w:tc>
        <w:tc>
          <w:tcPr>
            <w:tcW w:type="dxa" w:w="2952"/>
            <w:vAlign w:val="center"/>
            <w:tcMar>
              <w:top w:w="65" w:type="dxa"/>
              <w:start w:w="85" w:type="dxa"/>
              <w:bottom w:w="65" w:type="dxa"/>
              <w:end w:w="85" w:type="dxa"/>
            </w:tcMar>
          </w:tcPr>
          <w:p>
            <w:pPr>
              <w:spacing w:after="20"/>
              <w:jc w:val="left"/>
            </w:pPr>
            <w:r>
              <w:rPr>
                <w:sz w:val="18"/>
              </w:rPr>
              <w:t>Quantum Mirror structured extraction</w:t>
            </w:r>
          </w:p>
        </w:tc>
        <w:tc>
          <w:tcPr>
            <w:tcW w:type="dxa" w:w="3960"/>
            <w:vAlign w:val="center"/>
            <w:tcMar>
              <w:top w:w="65" w:type="dxa"/>
              <w:start w:w="85" w:type="dxa"/>
              <w:bottom w:w="65" w:type="dxa"/>
              <w:end w:w="85" w:type="dxa"/>
            </w:tcMar>
          </w:tcPr>
          <w:p>
            <w:pPr>
              <w:spacing w:after="20"/>
              <w:jc w:val="left"/>
            </w:pPr>
            <w:r>
              <w:rPr>
                <w:sz w:val="18"/>
              </w:rPr>
              <w:t>Narrative enrichment, taxonomy labels, medium-pattern evidence, session memory</w:t>
            </w:r>
          </w:p>
        </w:tc>
        <w:tc>
          <w:tcPr>
            <w:tcW w:type="dxa" w:w="2736"/>
            <w:vAlign w:val="center"/>
            <w:tcMar>
              <w:top w:w="65" w:type="dxa"/>
              <w:start w:w="85" w:type="dxa"/>
              <w:bottom w:w="65" w:type="dxa"/>
              <w:end w:w="85" w:type="dxa"/>
            </w:tcMar>
          </w:tcPr>
          <w:p>
            <w:pPr>
              <w:spacing w:after="20"/>
              <w:jc w:val="left"/>
            </w:pPr>
            <w:r>
              <w:rPr>
                <w:sz w:val="18"/>
              </w:rPr>
              <w:t>Medium-pattern enrichment with provenance</w:t>
            </w:r>
          </w:p>
        </w:tc>
      </w:tr>
      <w:tr>
        <w:tc>
          <w:tcPr>
            <w:tcW w:type="dxa" w:w="792"/>
            <w:vAlign w:val="center"/>
            <w:tcMar>
              <w:top w:w="65" w:type="dxa"/>
              <w:start w:w="85" w:type="dxa"/>
              <w:bottom w:w="65" w:type="dxa"/>
              <w:end w:w="85" w:type="dxa"/>
            </w:tcMar>
            <w:shd w:fill="F3F6FA"/>
          </w:tcPr>
          <w:p>
            <w:pPr>
              <w:spacing w:after="20"/>
              <w:jc w:val="left"/>
            </w:pPr>
            <w:r>
              <w:rPr>
                <w:sz w:val="18"/>
              </w:rPr>
              <w:t>4</w:t>
            </w:r>
          </w:p>
        </w:tc>
        <w:tc>
          <w:tcPr>
            <w:tcW w:type="dxa" w:w="2952"/>
            <w:vAlign w:val="center"/>
            <w:tcMar>
              <w:top w:w="65" w:type="dxa"/>
              <w:start w:w="85" w:type="dxa"/>
              <w:bottom w:w="65" w:type="dxa"/>
              <w:end w:w="85" w:type="dxa"/>
            </w:tcMar>
          </w:tcPr>
          <w:p>
            <w:pPr>
              <w:spacing w:after="20"/>
              <w:jc w:val="left"/>
            </w:pPr>
            <w:r>
              <w:rPr>
                <w:sz w:val="18"/>
              </w:rPr>
              <w:t>Sanctuary, Emotional Hex, Anger Hex, reflections</w:t>
            </w:r>
          </w:p>
        </w:tc>
        <w:tc>
          <w:tcPr>
            <w:tcW w:type="dxa" w:w="3960"/>
            <w:vAlign w:val="center"/>
            <w:tcMar>
              <w:top w:w="65" w:type="dxa"/>
              <w:start w:w="85" w:type="dxa"/>
              <w:bottom w:w="65" w:type="dxa"/>
              <w:end w:w="85" w:type="dxa"/>
            </w:tcMar>
          </w:tcPr>
          <w:p>
            <w:pPr>
              <w:spacing w:after="20"/>
              <w:jc w:val="left"/>
            </w:pPr>
            <w:r>
              <w:rPr>
                <w:sz w:val="18"/>
              </w:rPr>
              <w:t>Fast state, activation, grief, drift, recovery, ritual usage</w:t>
            </w:r>
          </w:p>
        </w:tc>
        <w:tc>
          <w:tcPr>
            <w:tcW w:type="dxa" w:w="2736"/>
            <w:vAlign w:val="center"/>
            <w:tcMar>
              <w:top w:w="65" w:type="dxa"/>
              <w:start w:w="85" w:type="dxa"/>
              <w:bottom w:w="65" w:type="dxa"/>
              <w:end w:w="85" w:type="dxa"/>
            </w:tcMar>
          </w:tcPr>
          <w:p>
            <w:pPr>
              <w:spacing w:after="20"/>
              <w:jc w:val="left"/>
            </w:pPr>
            <w:r>
              <w:rPr>
                <w:sz w:val="18"/>
              </w:rPr>
              <w:t>Fast state and medium-pattern evidence</w:t>
            </w:r>
          </w:p>
        </w:tc>
      </w:tr>
      <w:tr>
        <w:tc>
          <w:tcPr>
            <w:tcW w:type="dxa" w:w="792"/>
            <w:vAlign w:val="center"/>
            <w:tcMar>
              <w:top w:w="65" w:type="dxa"/>
              <w:start w:w="85" w:type="dxa"/>
              <w:bottom w:w="65" w:type="dxa"/>
              <w:end w:w="85" w:type="dxa"/>
            </w:tcMar>
            <w:shd w:fill="F3F6FA"/>
          </w:tcPr>
          <w:p>
            <w:pPr>
              <w:spacing w:after="20"/>
              <w:jc w:val="left"/>
            </w:pPr>
            <w:r>
              <w:rPr>
                <w:sz w:val="18"/>
              </w:rPr>
              <w:t>5</w:t>
            </w:r>
          </w:p>
        </w:tc>
        <w:tc>
          <w:tcPr>
            <w:tcW w:type="dxa" w:w="2952"/>
            <w:vAlign w:val="center"/>
            <w:tcMar>
              <w:top w:w="65" w:type="dxa"/>
              <w:start w:w="85" w:type="dxa"/>
              <w:bottom w:w="65" w:type="dxa"/>
              <w:end w:w="85" w:type="dxa"/>
            </w:tcMar>
          </w:tcPr>
          <w:p>
            <w:pPr>
              <w:spacing w:after="20"/>
              <w:jc w:val="left"/>
            </w:pPr>
            <w:r>
              <w:rPr>
                <w:sz w:val="18"/>
              </w:rPr>
              <w:t>Messaging telemetry and couple runtime events</w:t>
            </w:r>
          </w:p>
        </w:tc>
        <w:tc>
          <w:tcPr>
            <w:tcW w:type="dxa" w:w="3960"/>
            <w:vAlign w:val="center"/>
            <w:tcMar>
              <w:top w:w="65" w:type="dxa"/>
              <w:start w:w="85" w:type="dxa"/>
              <w:bottom w:w="65" w:type="dxa"/>
              <w:end w:w="85" w:type="dxa"/>
            </w:tcMar>
          </w:tcPr>
          <w:p>
            <w:pPr>
              <w:spacing w:after="20"/>
              <w:jc w:val="left"/>
            </w:pPr>
            <w:r>
              <w:rPr>
                <w:sz w:val="18"/>
              </w:rPr>
              <w:t>Reciprocity, latency, follow-through, rupture/repair evidence</w:t>
            </w:r>
          </w:p>
        </w:tc>
        <w:tc>
          <w:tcPr>
            <w:tcW w:type="dxa" w:w="2736"/>
            <w:vAlign w:val="center"/>
            <w:tcMar>
              <w:top w:w="65" w:type="dxa"/>
              <w:start w:w="85" w:type="dxa"/>
              <w:bottom w:w="65" w:type="dxa"/>
              <w:end w:w="85" w:type="dxa"/>
            </w:tcMar>
          </w:tcPr>
          <w:p>
            <w:pPr>
              <w:spacing w:after="20"/>
              <w:jc w:val="left"/>
            </w:pPr>
            <w:r>
              <w:rPr>
                <w:sz w:val="18"/>
              </w:rPr>
              <w:t>Behavior telemetry when consent allows</w:t>
            </w:r>
          </w:p>
        </w:tc>
      </w:tr>
      <w:tr>
        <w:tc>
          <w:tcPr>
            <w:tcW w:type="dxa" w:w="792"/>
            <w:vAlign w:val="center"/>
            <w:tcMar>
              <w:top w:w="65" w:type="dxa"/>
              <w:start w:w="85" w:type="dxa"/>
              <w:bottom w:w="65" w:type="dxa"/>
              <w:end w:w="85" w:type="dxa"/>
            </w:tcMar>
            <w:shd w:fill="F3F6FA"/>
          </w:tcPr>
          <w:p>
            <w:pPr>
              <w:spacing w:after="20"/>
              <w:jc w:val="left"/>
            </w:pPr>
            <w:r>
              <w:rPr>
                <w:sz w:val="18"/>
              </w:rPr>
              <w:t>6</w:t>
            </w:r>
          </w:p>
        </w:tc>
        <w:tc>
          <w:tcPr>
            <w:tcW w:type="dxa" w:w="2952"/>
            <w:vAlign w:val="center"/>
            <w:tcMar>
              <w:top w:w="65" w:type="dxa"/>
              <w:start w:w="85" w:type="dxa"/>
              <w:bottom w:w="65" w:type="dxa"/>
              <w:end w:w="85" w:type="dxa"/>
            </w:tcMar>
          </w:tcPr>
          <w:p>
            <w:pPr>
              <w:spacing w:after="20"/>
              <w:jc w:val="left"/>
            </w:pPr>
            <w:r>
              <w:rPr>
                <w:sz w:val="18"/>
              </w:rPr>
              <w:t>Calibration outcomes / learning labels</w:t>
            </w:r>
          </w:p>
        </w:tc>
        <w:tc>
          <w:tcPr>
            <w:tcW w:type="dxa" w:w="3960"/>
            <w:vAlign w:val="center"/>
            <w:tcMar>
              <w:top w:w="65" w:type="dxa"/>
              <w:start w:w="85" w:type="dxa"/>
              <w:bottom w:w="65" w:type="dxa"/>
              <w:end w:w="85" w:type="dxa"/>
            </w:tcMar>
          </w:tcPr>
          <w:p>
            <w:pPr>
              <w:spacing w:after="20"/>
              <w:jc w:val="left"/>
            </w:pPr>
            <w:r>
              <w:rPr>
                <w:sz w:val="18"/>
              </w:rPr>
              <w:t>Outcome learning, score tuning, ranking validation</w:t>
            </w:r>
          </w:p>
        </w:tc>
        <w:tc>
          <w:tcPr>
            <w:tcW w:type="dxa" w:w="2736"/>
            <w:vAlign w:val="center"/>
            <w:tcMar>
              <w:top w:w="65" w:type="dxa"/>
              <w:start w:w="85" w:type="dxa"/>
              <w:bottom w:w="65" w:type="dxa"/>
              <w:end w:w="85" w:type="dxa"/>
            </w:tcMar>
          </w:tcPr>
          <w:p>
            <w:pPr>
              <w:spacing w:after="20"/>
              <w:jc w:val="left"/>
            </w:pPr>
            <w:r>
              <w:rPr>
                <w:sz w:val="18"/>
              </w:rPr>
              <w:t>Offline model training and later rule tuning</w:t>
            </w:r>
          </w:p>
        </w:tc>
      </w:tr>
    </w:tbl>
    <w:p/>
    <w:p>
      <w:pPr>
        <w:pStyle w:val="Heading1"/>
      </w:pPr>
      <w:r>
        <w:t>3. Quantum calculations and official score stack</w:t>
      </w:r>
    </w:p>
    <w:p>
      <w:r>
        <w:t>The feature layer must preserve every major calculation path already locked in Genesis OS. These calculations are canonical unless a later versioned contract replaces them.</w:t>
      </w:r>
    </w:p>
    <w:p>
      <w:pPr>
        <w:pStyle w:val="Heading2"/>
      </w:pPr>
      <w:r>
        <w:t>3.1 Compatibility score (350-850)</w:t>
      </w:r>
    </w:p>
    <w:p>
      <w:r>
        <w:t>Canonical production formula:</w:t>
        <w:br/>
        <w:t>CompatibilityScore = clamp(350, 850, 350 + 500 * (0.30*B + 0.22*A + 0.18*(1 - S_risk) + 0.12*P + 0.08*Astro + 0.05*Num) - IntegrityPenalty - ClusterPenaltyPair + InteractionCompatModifier)</w:t>
      </w:r>
    </w:p>
    <w:tbl>
      <w:tblPr>
        <w:tblStyle w:val="TableGrid"/>
        <w:tblW w:type="auto" w:w="0"/>
        <w:jc w:val="center"/>
        <w:tblLayout w:type="fixed"/>
        <w:tblLook w:firstColumn="1" w:firstRow="1" w:lastColumn="0" w:lastRow="0" w:noHBand="0" w:noVBand="1" w:val="04A0"/>
        <w:tblBorders>
          <w:top w:val="single" w:sz="6" w:space="0" w:color="C8D1DD"/>
          <w:left w:val="single" w:sz="6" w:space="0" w:color="C8D1DD"/>
          <w:bottom w:val="single" w:sz="6" w:space="0" w:color="C8D1DD"/>
          <w:right w:val="single" w:sz="6" w:space="0" w:color="C8D1DD"/>
          <w:insideH w:val="single" w:sz="6" w:space="0" w:color="C8D1DD"/>
          <w:insideV w:val="single" w:sz="6" w:space="0" w:color="C8D1DD"/>
        </w:tblBorders>
      </w:tblPr>
      <w:tblGrid>
        <w:gridCol w:w="3312"/>
        <w:gridCol w:w="3312"/>
        <w:gridCol w:w="3312"/>
      </w:tblGrid>
      <w:tr>
        <w:trPr>
          <w:tblHeader w:val="true"/>
        </w:trPr>
        <w:tc>
          <w:tcPr>
            <w:tcW w:type="dxa" w:w="1152"/>
            <w:vAlign w:val="center"/>
            <w:shd w:fill="DCE6F2"/>
            <w:tcMar>
              <w:top w:w="70" w:type="dxa"/>
              <w:start w:w="90" w:type="dxa"/>
              <w:bottom w:w="70" w:type="dxa"/>
              <w:end w:w="90" w:type="dxa"/>
            </w:tcMar>
          </w:tcPr>
          <w:p>
            <w:pPr>
              <w:jc w:val="center"/>
            </w:pPr>
            <w:r>
              <w:rPr>
                <w:b/>
                <w:color w:val="18365D"/>
                <w:sz w:val="19"/>
              </w:rPr>
              <w:t>Term</w:t>
            </w:r>
          </w:p>
        </w:tc>
        <w:tc>
          <w:tcPr>
            <w:tcW w:type="dxa" w:w="5472"/>
            <w:vAlign w:val="center"/>
            <w:shd w:fill="DCE6F2"/>
            <w:tcMar>
              <w:top w:w="70" w:type="dxa"/>
              <w:start w:w="90" w:type="dxa"/>
              <w:bottom w:w="70" w:type="dxa"/>
              <w:end w:w="90" w:type="dxa"/>
            </w:tcMar>
          </w:tcPr>
          <w:p>
            <w:pPr>
              <w:jc w:val="center"/>
            </w:pPr>
            <w:r>
              <w:rPr>
                <w:b/>
                <w:color w:val="18365D"/>
                <w:sz w:val="19"/>
              </w:rPr>
              <w:t>Meaning</w:t>
            </w:r>
          </w:p>
        </w:tc>
        <w:tc>
          <w:tcPr>
            <w:tcW w:type="dxa" w:w="3168"/>
            <w:vAlign w:val="center"/>
            <w:shd w:fill="DCE6F2"/>
            <w:tcMar>
              <w:top w:w="70" w:type="dxa"/>
              <w:start w:w="90" w:type="dxa"/>
              <w:bottom w:w="70" w:type="dxa"/>
              <w:end w:w="90" w:type="dxa"/>
            </w:tcMar>
          </w:tcPr>
          <w:p>
            <w:pPr>
              <w:jc w:val="center"/>
            </w:pPr>
            <w:r>
              <w:rPr>
                <w:b/>
                <w:color w:val="18365D"/>
                <w:sz w:val="19"/>
              </w:rPr>
              <w:t>Primary source</w:t>
            </w:r>
          </w:p>
        </w:tc>
      </w:tr>
      <w:tr>
        <w:tc>
          <w:tcPr>
            <w:tcW w:type="dxa" w:w="1152"/>
            <w:vAlign w:val="center"/>
            <w:tcMar>
              <w:top w:w="65" w:type="dxa"/>
              <w:start w:w="85" w:type="dxa"/>
              <w:bottom w:w="65" w:type="dxa"/>
              <w:end w:w="85" w:type="dxa"/>
            </w:tcMar>
            <w:shd w:fill="F3F6FA"/>
          </w:tcPr>
          <w:p>
            <w:pPr>
              <w:spacing w:after="20"/>
              <w:jc w:val="left"/>
            </w:pPr>
            <w:r>
              <w:rPr>
                <w:sz w:val="18"/>
              </w:rPr>
              <w:t>B</w:t>
            </w:r>
          </w:p>
        </w:tc>
        <w:tc>
          <w:tcPr>
            <w:tcW w:type="dxa" w:w="5472"/>
            <w:vAlign w:val="center"/>
            <w:tcMar>
              <w:top w:w="65" w:type="dxa"/>
              <w:start w:w="85" w:type="dxa"/>
              <w:bottom w:w="65" w:type="dxa"/>
              <w:end w:w="85" w:type="dxa"/>
            </w:tcMar>
          </w:tcPr>
          <w:p>
            <w:pPr>
              <w:spacing w:after="20"/>
              <w:jc w:val="left"/>
            </w:pPr>
            <w:r>
              <w:rPr>
                <w:sz w:val="18"/>
              </w:rPr>
              <w:t>Behavioral core aggregate; answer-pair fit layer</w:t>
            </w:r>
          </w:p>
        </w:tc>
        <w:tc>
          <w:tcPr>
            <w:tcW w:type="dxa" w:w="3168"/>
            <w:vAlign w:val="center"/>
            <w:tcMar>
              <w:top w:w="65" w:type="dxa"/>
              <w:start w:w="85" w:type="dxa"/>
              <w:bottom w:w="65" w:type="dxa"/>
              <w:end w:w="85" w:type="dxa"/>
            </w:tcMar>
          </w:tcPr>
          <w:p>
            <w:pPr>
              <w:spacing w:after="20"/>
              <w:jc w:val="left"/>
            </w:pPr>
            <w:r>
              <w:rPr>
                <w:sz w:val="18"/>
              </w:rPr>
              <w:t>AnswerPairQuantum + MatchHarness</w:t>
            </w:r>
          </w:p>
        </w:tc>
      </w:tr>
      <w:tr>
        <w:tc>
          <w:tcPr>
            <w:tcW w:type="dxa" w:w="1152"/>
            <w:vAlign w:val="center"/>
            <w:tcMar>
              <w:top w:w="65" w:type="dxa"/>
              <w:start w:w="85" w:type="dxa"/>
              <w:bottom w:w="65" w:type="dxa"/>
              <w:end w:w="85" w:type="dxa"/>
            </w:tcMar>
            <w:shd w:fill="F3F6FA"/>
          </w:tcPr>
          <w:p>
            <w:pPr>
              <w:spacing w:after="20"/>
              <w:jc w:val="left"/>
            </w:pPr>
            <w:r>
              <w:rPr>
                <w:sz w:val="18"/>
              </w:rPr>
              <w:t>A</w:t>
            </w:r>
          </w:p>
        </w:tc>
        <w:tc>
          <w:tcPr>
            <w:tcW w:type="dxa" w:w="5472"/>
            <w:vAlign w:val="center"/>
            <w:tcMar>
              <w:top w:w="65" w:type="dxa"/>
              <w:start w:w="85" w:type="dxa"/>
              <w:bottom w:w="65" w:type="dxa"/>
              <w:end w:w="85" w:type="dxa"/>
            </w:tcMar>
          </w:tcPr>
          <w:p>
            <w:pPr>
              <w:spacing w:after="20"/>
              <w:jc w:val="left"/>
            </w:pPr>
            <w:r>
              <w:rPr>
                <w:sz w:val="18"/>
              </w:rPr>
              <w:t>Alignment core; communication, regulation, love, readiness cohesion</w:t>
            </w:r>
          </w:p>
        </w:tc>
        <w:tc>
          <w:tcPr>
            <w:tcW w:type="dxa" w:w="3168"/>
            <w:vAlign w:val="center"/>
            <w:tcMar>
              <w:top w:w="65" w:type="dxa"/>
              <w:start w:w="85" w:type="dxa"/>
              <w:bottom w:w="65" w:type="dxa"/>
              <w:end w:w="85" w:type="dxa"/>
            </w:tcMar>
          </w:tcPr>
          <w:p>
            <w:pPr>
              <w:spacing w:after="20"/>
              <w:jc w:val="center"/>
            </w:pPr>
            <w:r>
              <w:rPr>
                <w:sz w:val="18"/>
              </w:rPr>
              <w:t>AnswerPairQuantum</w:t>
            </w:r>
          </w:p>
        </w:tc>
      </w:tr>
      <w:tr>
        <w:tc>
          <w:tcPr>
            <w:tcW w:type="dxa" w:w="1152"/>
            <w:vAlign w:val="center"/>
            <w:tcMar>
              <w:top w:w="65" w:type="dxa"/>
              <w:start w:w="85" w:type="dxa"/>
              <w:bottom w:w="65" w:type="dxa"/>
              <w:end w:w="85" w:type="dxa"/>
            </w:tcMar>
            <w:shd w:fill="F3F6FA"/>
          </w:tcPr>
          <w:p>
            <w:pPr>
              <w:spacing w:after="20"/>
              <w:jc w:val="left"/>
            </w:pPr>
            <w:r>
              <w:rPr>
                <w:sz w:val="18"/>
              </w:rPr>
              <w:t>S_risk</w:t>
            </w:r>
          </w:p>
        </w:tc>
        <w:tc>
          <w:tcPr>
            <w:tcW w:type="dxa" w:w="5472"/>
            <w:vAlign w:val="center"/>
            <w:tcMar>
              <w:top w:w="65" w:type="dxa"/>
              <w:start w:w="85" w:type="dxa"/>
              <w:bottom w:w="65" w:type="dxa"/>
              <w:end w:w="85" w:type="dxa"/>
            </w:tcMar>
          </w:tcPr>
          <w:p>
            <w:pPr>
              <w:spacing w:after="20"/>
              <w:jc w:val="left"/>
            </w:pPr>
            <w:r>
              <w:rPr>
                <w:sz w:val="18"/>
              </w:rPr>
              <w:t>Shadow and stability burden</w:t>
            </w:r>
          </w:p>
        </w:tc>
        <w:tc>
          <w:tcPr>
            <w:tcW w:type="dxa" w:w="3168"/>
            <w:vAlign w:val="center"/>
            <w:tcMar>
              <w:top w:w="65" w:type="dxa"/>
              <w:start w:w="85" w:type="dxa"/>
              <w:bottom w:w="65" w:type="dxa"/>
              <w:end w:w="85" w:type="dxa"/>
            </w:tcMar>
          </w:tcPr>
          <w:p>
            <w:pPr>
              <w:spacing w:after="20"/>
              <w:jc w:val="left"/>
            </w:pPr>
            <w:r>
              <w:rPr>
                <w:sz w:val="18"/>
              </w:rPr>
              <w:t>ShadowMatrix + cluster / pace features</w:t>
            </w:r>
          </w:p>
        </w:tc>
      </w:tr>
      <w:tr>
        <w:tc>
          <w:tcPr>
            <w:tcW w:type="dxa" w:w="1152"/>
            <w:vAlign w:val="center"/>
            <w:tcMar>
              <w:top w:w="65" w:type="dxa"/>
              <w:start w:w="85" w:type="dxa"/>
              <w:bottom w:w="65" w:type="dxa"/>
              <w:end w:w="85" w:type="dxa"/>
            </w:tcMar>
            <w:shd w:fill="F3F6FA"/>
          </w:tcPr>
          <w:p>
            <w:pPr>
              <w:spacing w:after="20"/>
              <w:jc w:val="left"/>
            </w:pPr>
            <w:r>
              <w:rPr>
                <w:sz w:val="18"/>
              </w:rPr>
              <w:t>P</w:t>
            </w:r>
          </w:p>
        </w:tc>
        <w:tc>
          <w:tcPr>
            <w:tcW w:type="dxa" w:w="5472"/>
            <w:vAlign w:val="center"/>
            <w:tcMar>
              <w:top w:w="65" w:type="dxa"/>
              <w:start w:w="85" w:type="dxa"/>
              <w:bottom w:w="65" w:type="dxa"/>
              <w:end w:w="85" w:type="dxa"/>
            </w:tcMar>
          </w:tcPr>
          <w:p>
            <w:pPr>
              <w:spacing w:after="20"/>
              <w:jc w:val="left"/>
            </w:pPr>
            <w:r>
              <w:rPr>
                <w:sz w:val="18"/>
              </w:rPr>
              <w:t>Polarity / chemistry contribution</w:t>
            </w:r>
          </w:p>
        </w:tc>
        <w:tc>
          <w:tcPr>
            <w:tcW w:type="dxa" w:w="3168"/>
            <w:vAlign w:val="center"/>
            <w:tcMar>
              <w:top w:w="65" w:type="dxa"/>
              <w:start w:w="85" w:type="dxa"/>
              <w:bottom w:w="65" w:type="dxa"/>
              <w:end w:w="85" w:type="dxa"/>
            </w:tcMar>
          </w:tcPr>
          <w:p>
            <w:pPr>
              <w:spacing w:after="20"/>
              <w:jc w:val="left"/>
            </w:pPr>
            <w:r>
              <w:rPr>
                <w:sz w:val="18"/>
              </w:rPr>
              <w:t>PolarityDimensionScore_0_100 + AttractionPatternNorm</w:t>
            </w:r>
          </w:p>
        </w:tc>
      </w:tr>
      <w:tr>
        <w:tc>
          <w:tcPr>
            <w:tcW w:type="dxa" w:w="1152"/>
            <w:vAlign w:val="center"/>
            <w:tcMar>
              <w:top w:w="65" w:type="dxa"/>
              <w:start w:w="85" w:type="dxa"/>
              <w:bottom w:w="65" w:type="dxa"/>
              <w:end w:w="85" w:type="dxa"/>
            </w:tcMar>
            <w:shd w:fill="F3F6FA"/>
          </w:tcPr>
          <w:p>
            <w:pPr>
              <w:spacing w:after="20"/>
              <w:jc w:val="left"/>
            </w:pPr>
            <w:r>
              <w:rPr>
                <w:sz w:val="18"/>
              </w:rPr>
              <w:t>Astro</w:t>
            </w:r>
          </w:p>
        </w:tc>
        <w:tc>
          <w:tcPr>
            <w:tcW w:type="dxa" w:w="5472"/>
            <w:vAlign w:val="center"/>
            <w:tcMar>
              <w:top w:w="65" w:type="dxa"/>
              <w:start w:w="85" w:type="dxa"/>
              <w:bottom w:w="65" w:type="dxa"/>
              <w:end w:w="85" w:type="dxa"/>
            </w:tcMar>
          </w:tcPr>
          <w:p>
            <w:pPr>
              <w:spacing w:after="20"/>
              <w:jc w:val="center"/>
            </w:pPr>
            <w:r>
              <w:rPr>
                <w:sz w:val="18"/>
              </w:rPr>
              <w:t>Zodiac overlay</w:t>
            </w:r>
          </w:p>
        </w:tc>
        <w:tc>
          <w:tcPr>
            <w:tcW w:type="dxa" w:w="3168"/>
            <w:vAlign w:val="center"/>
            <w:tcMar>
              <w:top w:w="65" w:type="dxa"/>
              <w:start w:w="85" w:type="dxa"/>
              <w:bottom w:w="65" w:type="dxa"/>
              <w:end w:w="85" w:type="dxa"/>
            </w:tcMar>
          </w:tcPr>
          <w:p>
            <w:pPr>
              <w:spacing w:after="20"/>
              <w:jc w:val="center"/>
            </w:pPr>
            <w:r>
              <w:rPr>
                <w:sz w:val="18"/>
              </w:rPr>
              <w:t>ZodiacLookup</w:t>
            </w:r>
          </w:p>
        </w:tc>
      </w:tr>
      <w:tr>
        <w:tc>
          <w:tcPr>
            <w:tcW w:type="dxa" w:w="1152"/>
            <w:vAlign w:val="center"/>
            <w:tcMar>
              <w:top w:w="65" w:type="dxa"/>
              <w:start w:w="85" w:type="dxa"/>
              <w:bottom w:w="65" w:type="dxa"/>
              <w:end w:w="85" w:type="dxa"/>
            </w:tcMar>
            <w:shd w:fill="F3F6FA"/>
          </w:tcPr>
          <w:p>
            <w:pPr>
              <w:spacing w:after="20"/>
              <w:jc w:val="left"/>
            </w:pPr>
            <w:r>
              <w:rPr>
                <w:sz w:val="18"/>
              </w:rPr>
              <w:t>Num</w:t>
            </w:r>
          </w:p>
        </w:tc>
        <w:tc>
          <w:tcPr>
            <w:tcW w:type="dxa" w:w="5472"/>
            <w:vAlign w:val="center"/>
            <w:tcMar>
              <w:top w:w="65" w:type="dxa"/>
              <w:start w:w="85" w:type="dxa"/>
              <w:bottom w:w="65" w:type="dxa"/>
              <w:end w:w="85" w:type="dxa"/>
            </w:tcMar>
          </w:tcPr>
          <w:p>
            <w:pPr>
              <w:spacing w:after="20"/>
              <w:jc w:val="left"/>
            </w:pPr>
            <w:r>
              <w:rPr>
                <w:sz w:val="18"/>
              </w:rPr>
              <w:t>Numerology overlay</w:t>
            </w:r>
          </w:p>
        </w:tc>
        <w:tc>
          <w:tcPr>
            <w:tcW w:type="dxa" w:w="3168"/>
            <w:vAlign w:val="center"/>
            <w:tcMar>
              <w:top w:w="65" w:type="dxa"/>
              <w:start w:w="85" w:type="dxa"/>
              <w:bottom w:w="65" w:type="dxa"/>
              <w:end w:w="85" w:type="dxa"/>
            </w:tcMar>
          </w:tcPr>
          <w:p>
            <w:pPr>
              <w:spacing w:after="20"/>
              <w:jc w:val="center"/>
            </w:pPr>
            <w:r>
              <w:rPr>
                <w:sz w:val="18"/>
              </w:rPr>
              <w:t>NumerologyLookup</w:t>
            </w:r>
          </w:p>
        </w:tc>
      </w:tr>
    </w:tbl>
    <w:p/>
    <w:p>
      <w:pPr>
        <w:pStyle w:val="Heading2"/>
      </w:pPr>
      <w:r>
        <w:t>3.2 Relationship forecast (0-100)</w:t>
      </w:r>
    </w:p>
    <w:p>
      <w:r>
        <w:t>Canonical production formula:</w:t>
        <w:br/>
        <w:t>RelationshipForecast = clamp(0, 100, 100 * (0.30*EmotionalRegulationCompat + 0.25*ConflictRepairAlign + 0.20*CommunicationHealth + 0.15*CommitmentPaceAlign + 0.10*PatternStability) - ShadowPenalty - LoopPenalty)</w:t>
      </w:r>
    </w:p>
    <w:p>
      <w:pPr>
        <w:pStyle w:val="Heading2"/>
      </w:pPr>
      <w:r>
        <w:t>3.3 Workbook layer distribution</w:t>
      </w:r>
    </w:p>
    <w:tbl>
      <w:tblPr>
        <w:tblStyle w:val="TableGrid"/>
        <w:tblW w:type="auto" w:w="0"/>
        <w:jc w:val="center"/>
        <w:tblLayout w:type="fixed"/>
        <w:tblLook w:firstColumn="1" w:firstRow="1" w:lastColumn="0" w:lastRow="0" w:noHBand="0" w:noVBand="1" w:val="04A0"/>
        <w:tblBorders>
          <w:top w:val="single" w:sz="6" w:space="0" w:color="C8D1DD"/>
          <w:left w:val="single" w:sz="6" w:space="0" w:color="C8D1DD"/>
          <w:bottom w:val="single" w:sz="6" w:space="0" w:color="C8D1DD"/>
          <w:right w:val="single" w:sz="6" w:space="0" w:color="C8D1DD"/>
          <w:insideH w:val="single" w:sz="6" w:space="0" w:color="C8D1DD"/>
          <w:insideV w:val="single" w:sz="6" w:space="0" w:color="C8D1DD"/>
        </w:tblBorders>
      </w:tblPr>
      <w:tblGrid>
        <w:gridCol w:w="3312"/>
        <w:gridCol w:w="3312"/>
        <w:gridCol w:w="3312"/>
      </w:tblGrid>
      <w:tr>
        <w:trPr>
          <w:tblHeader w:val="true"/>
        </w:trPr>
        <w:tc>
          <w:tcPr>
            <w:tcW w:type="dxa" w:w="2160"/>
            <w:vAlign w:val="center"/>
            <w:shd w:fill="DCE6F2"/>
            <w:tcMar>
              <w:top w:w="70" w:type="dxa"/>
              <w:start w:w="90" w:type="dxa"/>
              <w:bottom w:w="70" w:type="dxa"/>
              <w:end w:w="90" w:type="dxa"/>
            </w:tcMar>
          </w:tcPr>
          <w:p>
            <w:pPr>
              <w:jc w:val="center"/>
            </w:pPr>
            <w:r>
              <w:rPr>
                <w:b/>
                <w:color w:val="18365D"/>
                <w:sz w:val="19"/>
              </w:rPr>
              <w:t>Layer</w:t>
            </w:r>
          </w:p>
        </w:tc>
        <w:tc>
          <w:tcPr>
            <w:tcW w:type="dxa" w:w="1584"/>
            <w:vAlign w:val="center"/>
            <w:shd w:fill="DCE6F2"/>
            <w:tcMar>
              <w:top w:w="70" w:type="dxa"/>
              <w:start w:w="90" w:type="dxa"/>
              <w:bottom w:w="70" w:type="dxa"/>
              <w:end w:w="90" w:type="dxa"/>
            </w:tcMar>
          </w:tcPr>
          <w:p>
            <w:pPr>
              <w:jc w:val="center"/>
            </w:pPr>
            <w:r>
              <w:rPr>
                <w:b/>
                <w:color w:val="18365D"/>
                <w:sz w:val="19"/>
              </w:rPr>
              <w:t>Locked weight</w:t>
            </w:r>
          </w:p>
        </w:tc>
        <w:tc>
          <w:tcPr>
            <w:tcW w:type="dxa" w:w="6408"/>
            <w:vAlign w:val="center"/>
            <w:shd w:fill="DCE6F2"/>
            <w:tcMar>
              <w:top w:w="70" w:type="dxa"/>
              <w:start w:w="90" w:type="dxa"/>
              <w:bottom w:w="70" w:type="dxa"/>
              <w:end w:w="90" w:type="dxa"/>
            </w:tcMar>
          </w:tcPr>
          <w:p>
            <w:pPr>
              <w:jc w:val="center"/>
            </w:pPr>
            <w:r>
              <w:rPr>
                <w:b/>
                <w:color w:val="18365D"/>
                <w:sz w:val="19"/>
              </w:rPr>
              <w:t>What lives inside</w:t>
            </w:r>
          </w:p>
        </w:tc>
      </w:tr>
      <w:tr>
        <w:tc>
          <w:tcPr>
            <w:tcW w:type="dxa" w:w="2160"/>
            <w:vAlign w:val="center"/>
            <w:tcMar>
              <w:top w:w="65" w:type="dxa"/>
              <w:start w:w="85" w:type="dxa"/>
              <w:bottom w:w="65" w:type="dxa"/>
              <w:end w:w="85" w:type="dxa"/>
            </w:tcMar>
            <w:shd w:fill="F3F6FA"/>
          </w:tcPr>
          <w:p>
            <w:pPr>
              <w:spacing w:after="20"/>
              <w:jc w:val="left"/>
            </w:pPr>
            <w:r>
              <w:rPr>
                <w:sz w:val="18"/>
              </w:rPr>
              <w:t>Behavioral core</w:t>
            </w:r>
          </w:p>
        </w:tc>
        <w:tc>
          <w:tcPr>
            <w:tcW w:type="dxa" w:w="1584"/>
            <w:vAlign w:val="center"/>
            <w:tcMar>
              <w:top w:w="65" w:type="dxa"/>
              <w:start w:w="85" w:type="dxa"/>
              <w:bottom w:w="65" w:type="dxa"/>
              <w:end w:w="85" w:type="dxa"/>
            </w:tcMar>
          </w:tcPr>
          <w:p>
            <w:pPr>
              <w:spacing w:after="20"/>
              <w:jc w:val="center"/>
            </w:pPr>
            <w:r>
              <w:rPr>
                <w:sz w:val="18"/>
              </w:rPr>
              <w:t>52%</w:t>
            </w:r>
          </w:p>
        </w:tc>
        <w:tc>
          <w:tcPr>
            <w:tcW w:type="dxa" w:w="6408"/>
            <w:vAlign w:val="center"/>
            <w:tcMar>
              <w:top w:w="65" w:type="dxa"/>
              <w:start w:w="85" w:type="dxa"/>
              <w:bottom w:w="65" w:type="dxa"/>
              <w:end w:w="85" w:type="dxa"/>
            </w:tcMar>
          </w:tcPr>
          <w:p>
            <w:pPr>
              <w:spacing w:after="20"/>
              <w:jc w:val="left"/>
            </w:pPr>
            <w:r>
              <w:rPr>
                <w:sz w:val="18"/>
              </w:rPr>
              <w:t>Archetype interaction, communication fit, regulation fit, love-language fit, readiness alignment</w:t>
            </w:r>
          </w:p>
        </w:tc>
      </w:tr>
      <w:tr>
        <w:tc>
          <w:tcPr>
            <w:tcW w:type="dxa" w:w="2160"/>
            <w:vAlign w:val="center"/>
            <w:tcMar>
              <w:top w:w="65" w:type="dxa"/>
              <w:start w:w="85" w:type="dxa"/>
              <w:bottom w:w="65" w:type="dxa"/>
              <w:end w:w="85" w:type="dxa"/>
            </w:tcMar>
            <w:shd w:fill="F3F6FA"/>
          </w:tcPr>
          <w:p>
            <w:pPr>
              <w:spacing w:after="20"/>
              <w:jc w:val="left"/>
            </w:pPr>
            <w:r>
              <w:rPr>
                <w:sz w:val="18"/>
              </w:rPr>
              <w:t>Friction / stability</w:t>
            </w:r>
          </w:p>
        </w:tc>
        <w:tc>
          <w:tcPr>
            <w:tcW w:type="dxa" w:w="1584"/>
            <w:vAlign w:val="center"/>
            <w:tcMar>
              <w:top w:w="65" w:type="dxa"/>
              <w:start w:w="85" w:type="dxa"/>
              <w:bottom w:w="65" w:type="dxa"/>
              <w:end w:w="85" w:type="dxa"/>
            </w:tcMar>
          </w:tcPr>
          <w:p>
            <w:pPr>
              <w:spacing w:after="20"/>
              <w:jc w:val="center"/>
            </w:pPr>
            <w:r>
              <w:rPr>
                <w:sz w:val="18"/>
              </w:rPr>
              <w:t>23%</w:t>
            </w:r>
          </w:p>
        </w:tc>
        <w:tc>
          <w:tcPr>
            <w:tcW w:type="dxa" w:w="6408"/>
            <w:vAlign w:val="center"/>
            <w:tcMar>
              <w:top w:w="65" w:type="dxa"/>
              <w:start w:w="85" w:type="dxa"/>
              <w:bottom w:w="65" w:type="dxa"/>
              <w:end w:w="85" w:type="dxa"/>
            </w:tcMar>
          </w:tcPr>
          <w:p>
            <w:pPr>
              <w:spacing w:after="20"/>
              <w:jc w:val="left"/>
            </w:pPr>
            <w:r>
              <w:rPr>
                <w:sz w:val="18"/>
              </w:rPr>
              <w:t>Shadow interaction, integrity burden inverse, contradiction inverse, pace / attachment mismatch inverse</w:t>
            </w:r>
          </w:p>
        </w:tc>
      </w:tr>
      <w:tr>
        <w:tc>
          <w:tcPr>
            <w:tcW w:type="dxa" w:w="2160"/>
            <w:vAlign w:val="center"/>
            <w:tcMar>
              <w:top w:w="65" w:type="dxa"/>
              <w:start w:w="85" w:type="dxa"/>
              <w:bottom w:w="65" w:type="dxa"/>
              <w:end w:w="85" w:type="dxa"/>
            </w:tcMar>
            <w:shd w:fill="F3F6FA"/>
          </w:tcPr>
          <w:p>
            <w:pPr>
              <w:spacing w:after="20"/>
              <w:jc w:val="left"/>
            </w:pPr>
            <w:r>
              <w:rPr>
                <w:sz w:val="18"/>
              </w:rPr>
              <w:t>Polarity / chemistry</w:t>
            </w:r>
          </w:p>
        </w:tc>
        <w:tc>
          <w:tcPr>
            <w:tcW w:type="dxa" w:w="1584"/>
            <w:vAlign w:val="center"/>
            <w:tcMar>
              <w:top w:w="65" w:type="dxa"/>
              <w:start w:w="85" w:type="dxa"/>
              <w:bottom w:w="65" w:type="dxa"/>
              <w:end w:w="85" w:type="dxa"/>
            </w:tcMar>
          </w:tcPr>
          <w:p>
            <w:pPr>
              <w:spacing w:after="20"/>
              <w:jc w:val="center"/>
            </w:pPr>
            <w:r>
              <w:rPr>
                <w:sz w:val="18"/>
              </w:rPr>
              <w:t>13%</w:t>
            </w:r>
          </w:p>
        </w:tc>
        <w:tc>
          <w:tcPr>
            <w:tcW w:type="dxa" w:w="6408"/>
            <w:vAlign w:val="center"/>
            <w:tcMar>
              <w:top w:w="65" w:type="dxa"/>
              <w:start w:w="85" w:type="dxa"/>
              <w:bottom w:w="65" w:type="dxa"/>
              <w:end w:w="85" w:type="dxa"/>
            </w:tcMar>
          </w:tcPr>
          <w:p>
            <w:pPr>
              <w:spacing w:after="20"/>
              <w:jc w:val="left"/>
            </w:pPr>
            <w:r>
              <w:rPr>
                <w:sz w:val="18"/>
              </w:rPr>
              <w:t>Polarity fit plus pursuit / receptivity fit</w:t>
            </w:r>
          </w:p>
        </w:tc>
      </w:tr>
      <w:tr>
        <w:tc>
          <w:tcPr>
            <w:tcW w:type="dxa" w:w="2160"/>
            <w:vAlign w:val="center"/>
            <w:tcMar>
              <w:top w:w="65" w:type="dxa"/>
              <w:start w:w="85" w:type="dxa"/>
              <w:bottom w:w="65" w:type="dxa"/>
              <w:end w:w="85" w:type="dxa"/>
            </w:tcMar>
            <w:shd w:fill="F3F6FA"/>
          </w:tcPr>
          <w:p>
            <w:pPr>
              <w:spacing w:after="20"/>
              <w:jc w:val="left"/>
            </w:pPr>
            <w:r>
              <w:rPr>
                <w:sz w:val="18"/>
              </w:rPr>
              <w:t>Cosmic overlay</w:t>
            </w:r>
          </w:p>
        </w:tc>
        <w:tc>
          <w:tcPr>
            <w:tcW w:type="dxa" w:w="1584"/>
            <w:vAlign w:val="center"/>
            <w:tcMar>
              <w:top w:w="65" w:type="dxa"/>
              <w:start w:w="85" w:type="dxa"/>
              <w:bottom w:w="65" w:type="dxa"/>
              <w:end w:w="85" w:type="dxa"/>
            </w:tcMar>
          </w:tcPr>
          <w:p>
            <w:pPr>
              <w:spacing w:after="20"/>
              <w:jc w:val="center"/>
            </w:pPr>
            <w:r>
              <w:rPr>
                <w:sz w:val="18"/>
              </w:rPr>
              <w:t>12%</w:t>
            </w:r>
          </w:p>
        </w:tc>
        <w:tc>
          <w:tcPr>
            <w:tcW w:type="dxa" w:w="6408"/>
            <w:vAlign w:val="center"/>
            <w:tcMar>
              <w:top w:w="65" w:type="dxa"/>
              <w:start w:w="85" w:type="dxa"/>
              <w:bottom w:w="65" w:type="dxa"/>
              <w:end w:w="85" w:type="dxa"/>
            </w:tcMar>
          </w:tcPr>
          <w:p>
            <w:pPr>
              <w:spacing w:after="20"/>
              <w:jc w:val="left"/>
            </w:pPr>
            <w:r>
              <w:rPr>
                <w:sz w:val="18"/>
              </w:rPr>
              <w:t>Zodiac and numerology overlays</w:t>
            </w:r>
          </w:p>
        </w:tc>
      </w:tr>
    </w:tbl>
    <w:p/>
    <w:p>
      <w:pPr>
        <w:pStyle w:val="Heading2"/>
      </w:pPr>
      <w:r>
        <w:t>3.4 Polarity calculation path</w:t>
      </w:r>
    </w:p>
    <w:p>
      <w:r>
        <w:t>ChemistryLayerContribution = (0.08 * PolarityNorm) + (0.05 * AttractionPatternNorm), where PolarityNorm = PolarityDimensionScore_0_100 / 100.</w:t>
      </w:r>
    </w:p>
    <w:p>
      <w:r>
        <w:t>Inside PolarityDimensionScore_0_100, each axis uses one of three fit formulas:</w:t>
      </w:r>
    </w:p>
    <w:tbl>
      <w:tblPr>
        <w:tblStyle w:val="TableGrid"/>
        <w:tblW w:type="auto" w:w="0"/>
        <w:jc w:val="center"/>
        <w:tblLayout w:type="fixed"/>
        <w:tblLook w:firstColumn="1" w:firstRow="1" w:lastColumn="0" w:lastRow="0" w:noHBand="0" w:noVBand="1" w:val="04A0"/>
        <w:tblBorders>
          <w:top w:val="single" w:sz="6" w:space="0" w:color="C8D1DD"/>
          <w:left w:val="single" w:sz="6" w:space="0" w:color="C8D1DD"/>
          <w:bottom w:val="single" w:sz="6" w:space="0" w:color="C8D1DD"/>
          <w:right w:val="single" w:sz="6" w:space="0" w:color="C8D1DD"/>
          <w:insideH w:val="single" w:sz="6" w:space="0" w:color="C8D1DD"/>
          <w:insideV w:val="single" w:sz="6" w:space="0" w:color="C8D1DD"/>
        </w:tblBorders>
      </w:tblPr>
      <w:tblGrid>
        <w:gridCol w:w="3312"/>
        <w:gridCol w:w="3312"/>
        <w:gridCol w:w="3312"/>
      </w:tblGrid>
      <w:tr>
        <w:trPr>
          <w:tblHeader w:val="true"/>
        </w:trPr>
        <w:tc>
          <w:tcPr>
            <w:tcW w:type="dxa" w:w="1584"/>
            <w:vAlign w:val="center"/>
            <w:shd w:fill="DCE6F2"/>
            <w:tcMar>
              <w:top w:w="70" w:type="dxa"/>
              <w:start w:w="90" w:type="dxa"/>
              <w:bottom w:w="70" w:type="dxa"/>
              <w:end w:w="90" w:type="dxa"/>
            </w:tcMar>
          </w:tcPr>
          <w:p>
            <w:pPr>
              <w:jc w:val="center"/>
            </w:pPr>
            <w:r>
              <w:rPr>
                <w:b/>
                <w:color w:val="18365D"/>
                <w:sz w:val="19"/>
              </w:rPr>
              <w:t>Fit type</w:t>
            </w:r>
          </w:p>
        </w:tc>
        <w:tc>
          <w:tcPr>
            <w:tcW w:type="dxa" w:w="3168"/>
            <w:vAlign w:val="center"/>
            <w:shd w:fill="DCE6F2"/>
            <w:tcMar>
              <w:top w:w="70" w:type="dxa"/>
              <w:start w:w="90" w:type="dxa"/>
              <w:bottom w:w="70" w:type="dxa"/>
              <w:end w:w="90" w:type="dxa"/>
            </w:tcMar>
          </w:tcPr>
          <w:p>
            <w:pPr>
              <w:jc w:val="center"/>
            </w:pPr>
            <w:r>
              <w:rPr>
                <w:b/>
                <w:color w:val="18365D"/>
                <w:sz w:val="19"/>
              </w:rPr>
              <w:t>Formula</w:t>
            </w:r>
          </w:p>
        </w:tc>
        <w:tc>
          <w:tcPr>
            <w:tcW w:type="dxa" w:w="5760"/>
            <w:vAlign w:val="center"/>
            <w:shd w:fill="DCE6F2"/>
            <w:tcMar>
              <w:top w:w="70" w:type="dxa"/>
              <w:start w:w="90" w:type="dxa"/>
              <w:bottom w:w="70" w:type="dxa"/>
              <w:end w:w="90" w:type="dxa"/>
            </w:tcMar>
          </w:tcPr>
          <w:p>
            <w:pPr>
              <w:jc w:val="center"/>
            </w:pPr>
            <w:r>
              <w:rPr>
                <w:b/>
                <w:color w:val="18365D"/>
                <w:sz w:val="19"/>
              </w:rPr>
              <w:t>Interpretation</w:t>
            </w:r>
          </w:p>
        </w:tc>
      </w:tr>
      <w:tr>
        <w:tc>
          <w:tcPr>
            <w:tcW w:type="dxa" w:w="1584"/>
            <w:vAlign w:val="center"/>
            <w:tcMar>
              <w:top w:w="65" w:type="dxa"/>
              <w:start w:w="85" w:type="dxa"/>
              <w:bottom w:w="65" w:type="dxa"/>
              <w:end w:w="85" w:type="dxa"/>
            </w:tcMar>
            <w:shd w:fill="F3F6FA"/>
          </w:tcPr>
          <w:p>
            <w:pPr>
              <w:spacing w:after="20"/>
              <w:jc w:val="left"/>
            </w:pPr>
            <w:r>
              <w:rPr>
                <w:sz w:val="18"/>
              </w:rPr>
              <w:t>Similarity</w:t>
            </w:r>
          </w:p>
        </w:tc>
        <w:tc>
          <w:tcPr>
            <w:tcW w:type="dxa" w:w="3168"/>
            <w:vAlign w:val="center"/>
            <w:tcMar>
              <w:top w:w="65" w:type="dxa"/>
              <w:start w:w="85" w:type="dxa"/>
              <w:bottom w:w="65" w:type="dxa"/>
              <w:end w:w="85" w:type="dxa"/>
            </w:tcMar>
          </w:tcPr>
          <w:p>
            <w:pPr>
              <w:spacing w:after="20"/>
              <w:jc w:val="left"/>
            </w:pPr>
            <w:r>
              <w:rPr>
                <w:sz w:val="18"/>
              </w:rPr>
              <w:t>max(0, 1 - abs(a - b))</w:t>
            </w:r>
          </w:p>
        </w:tc>
        <w:tc>
          <w:tcPr>
            <w:tcW w:type="dxa" w:w="5760"/>
            <w:vAlign w:val="center"/>
            <w:tcMar>
              <w:top w:w="65" w:type="dxa"/>
              <w:start w:w="85" w:type="dxa"/>
              <w:bottom w:w="65" w:type="dxa"/>
              <w:end w:w="85" w:type="dxa"/>
            </w:tcMar>
          </w:tcPr>
          <w:p>
            <w:pPr>
              <w:spacing w:after="20"/>
              <w:jc w:val="left"/>
            </w:pPr>
            <w:r>
              <w:rPr>
                <w:sz w:val="18"/>
              </w:rPr>
              <w:t>Closer values score higher; used when both people need a comparable style or capacity</w:t>
            </w:r>
          </w:p>
        </w:tc>
      </w:tr>
      <w:tr>
        <w:tc>
          <w:tcPr>
            <w:tcW w:type="dxa" w:w="1584"/>
            <w:vAlign w:val="center"/>
            <w:tcMar>
              <w:top w:w="65" w:type="dxa"/>
              <w:start w:w="85" w:type="dxa"/>
              <w:bottom w:w="65" w:type="dxa"/>
              <w:end w:w="85" w:type="dxa"/>
            </w:tcMar>
            <w:shd w:fill="F3F6FA"/>
          </w:tcPr>
          <w:p>
            <w:pPr>
              <w:spacing w:after="20"/>
              <w:jc w:val="left"/>
            </w:pPr>
            <w:r>
              <w:rPr>
                <w:sz w:val="18"/>
              </w:rPr>
              <w:t>Complement</w:t>
            </w:r>
          </w:p>
        </w:tc>
        <w:tc>
          <w:tcPr>
            <w:tcW w:type="dxa" w:w="3168"/>
            <w:vAlign w:val="center"/>
            <w:tcMar>
              <w:top w:w="65" w:type="dxa"/>
              <w:start w:w="85" w:type="dxa"/>
              <w:bottom w:w="65" w:type="dxa"/>
              <w:end w:w="85" w:type="dxa"/>
            </w:tcMar>
          </w:tcPr>
          <w:p>
            <w:pPr>
              <w:spacing w:after="20"/>
              <w:jc w:val="left"/>
            </w:pPr>
            <w:r>
              <w:rPr>
                <w:sz w:val="18"/>
              </w:rPr>
              <w:t>max(0, 1 - abs(a - (1 - b)))</w:t>
            </w:r>
          </w:p>
        </w:tc>
        <w:tc>
          <w:tcPr>
            <w:tcW w:type="dxa" w:w="5760"/>
            <w:vAlign w:val="center"/>
            <w:tcMar>
              <w:top w:w="65" w:type="dxa"/>
              <w:start w:w="85" w:type="dxa"/>
              <w:bottom w:w="65" w:type="dxa"/>
              <w:end w:w="85" w:type="dxa"/>
            </w:tcMar>
          </w:tcPr>
          <w:p>
            <w:pPr>
              <w:spacing w:after="20"/>
              <w:jc w:val="left"/>
            </w:pPr>
            <w:r>
              <w:rPr>
                <w:sz w:val="18"/>
              </w:rPr>
              <w:t>Inverse values score higher; used when lead/receive asymmetry can help the bond move</w:t>
            </w:r>
          </w:p>
        </w:tc>
      </w:tr>
      <w:tr>
        <w:tc>
          <w:tcPr>
            <w:tcW w:type="dxa" w:w="1584"/>
            <w:vAlign w:val="center"/>
            <w:tcMar>
              <w:top w:w="65" w:type="dxa"/>
              <w:start w:w="85" w:type="dxa"/>
              <w:bottom w:w="65" w:type="dxa"/>
              <w:end w:w="85" w:type="dxa"/>
            </w:tcMar>
            <w:shd w:fill="F3F6FA"/>
          </w:tcPr>
          <w:p>
            <w:pPr>
              <w:spacing w:after="20"/>
              <w:jc w:val="left"/>
            </w:pPr>
            <w:r>
              <w:rPr>
                <w:sz w:val="18"/>
              </w:rPr>
              <w:t>Balance@t</w:t>
            </w:r>
          </w:p>
        </w:tc>
        <w:tc>
          <w:tcPr>
            <w:tcW w:type="dxa" w:w="3168"/>
            <w:vAlign w:val="center"/>
            <w:tcMar>
              <w:top w:w="65" w:type="dxa"/>
              <w:start w:w="85" w:type="dxa"/>
              <w:bottom w:w="65" w:type="dxa"/>
              <w:end w:w="85" w:type="dxa"/>
            </w:tcMar>
          </w:tcPr>
          <w:p>
            <w:pPr>
              <w:spacing w:after="20"/>
              <w:jc w:val="left"/>
            </w:pPr>
            <w:r>
              <w:rPr>
                <w:sz w:val="18"/>
              </w:rPr>
              <w:t>max(0, 1 - abs(((a + b)/2) - t))</w:t>
            </w:r>
          </w:p>
        </w:tc>
        <w:tc>
          <w:tcPr>
            <w:tcW w:type="dxa" w:w="5760"/>
            <w:vAlign w:val="center"/>
            <w:tcMar>
              <w:top w:w="65" w:type="dxa"/>
              <w:start w:w="85" w:type="dxa"/>
              <w:bottom w:w="65" w:type="dxa"/>
              <w:end w:w="85" w:type="dxa"/>
            </w:tcMar>
          </w:tcPr>
          <w:p>
            <w:pPr>
              <w:spacing w:after="20"/>
              <w:jc w:val="left"/>
            </w:pPr>
            <w:r>
              <w:rPr>
                <w:sz w:val="18"/>
              </w:rPr>
              <w:t>The pair average is compared with a target center t to avoid under- or over-activation</w:t>
            </w:r>
          </w:p>
        </w:tc>
      </w:tr>
    </w:tbl>
    <w:p/>
    <w:p>
      <w:pPr>
        <w:pStyle w:val="Heading1"/>
      </w:pPr>
      <w:r>
        <w:t>4. Canonical dimensional schema</w:t>
      </w:r>
    </w:p>
    <w:p>
      <w:r>
        <w:t>Every answer row, pair row, and learned feature packet should map back to one or more canonical dimensions. These dimensions are the real payload.</w:t>
      </w:r>
    </w:p>
    <w:p>
      <w:pPr>
        <w:pStyle w:val="Heading2"/>
      </w:pPr>
      <w:r>
        <w:t>4.1 AnswerBank vector dimensions</w:t>
      </w:r>
    </w:p>
    <w:tbl>
      <w:tblPr>
        <w:tblStyle w:val="TableGrid"/>
        <w:tblW w:type="auto" w:w="0"/>
        <w:jc w:val="center"/>
        <w:tblLayout w:type="fixed"/>
        <w:tblLook w:firstColumn="1" w:firstRow="1" w:lastColumn="0" w:lastRow="0" w:noHBand="0" w:noVBand="1" w:val="04A0"/>
        <w:tblBorders>
          <w:top w:val="single" w:sz="6" w:space="0" w:color="C8D1DD"/>
          <w:left w:val="single" w:sz="6" w:space="0" w:color="C8D1DD"/>
          <w:bottom w:val="single" w:sz="6" w:space="0" w:color="C8D1DD"/>
          <w:right w:val="single" w:sz="6" w:space="0" w:color="C8D1DD"/>
          <w:insideH w:val="single" w:sz="6" w:space="0" w:color="C8D1DD"/>
          <w:insideV w:val="single" w:sz="6" w:space="0" w:color="C8D1DD"/>
        </w:tblBorders>
      </w:tblPr>
      <w:tblGrid>
        <w:gridCol w:w="3312"/>
        <w:gridCol w:w="3312"/>
        <w:gridCol w:w="3312"/>
      </w:tblGrid>
      <w:tr>
        <w:trPr>
          <w:tblHeader w:val="true"/>
        </w:trPr>
        <w:tc>
          <w:tcPr>
            <w:tcW w:type="dxa" w:w="2232"/>
            <w:vAlign w:val="center"/>
            <w:shd w:fill="DCE6F2"/>
            <w:tcMar>
              <w:top w:w="70" w:type="dxa"/>
              <w:start w:w="90" w:type="dxa"/>
              <w:bottom w:w="70" w:type="dxa"/>
              <w:end w:w="90" w:type="dxa"/>
            </w:tcMar>
          </w:tcPr>
          <w:p>
            <w:pPr>
              <w:jc w:val="center"/>
            </w:pPr>
            <w:r>
              <w:rPr>
                <w:b/>
                <w:color w:val="18365D"/>
                <w:sz w:val="19"/>
              </w:rPr>
              <w:t>Dimension</w:t>
            </w:r>
          </w:p>
        </w:tc>
        <w:tc>
          <w:tcPr>
            <w:tcW w:type="dxa" w:w="2880"/>
            <w:vAlign w:val="center"/>
            <w:shd w:fill="DCE6F2"/>
            <w:tcMar>
              <w:top w:w="70" w:type="dxa"/>
              <w:start w:w="90" w:type="dxa"/>
              <w:bottom w:w="70" w:type="dxa"/>
              <w:end w:w="90" w:type="dxa"/>
            </w:tcMar>
          </w:tcPr>
          <w:p>
            <w:pPr>
              <w:jc w:val="center"/>
            </w:pPr>
            <w:r>
              <w:rPr>
                <w:b/>
                <w:color w:val="18365D"/>
                <w:sz w:val="19"/>
              </w:rPr>
              <w:t>Stored field</w:t>
            </w:r>
          </w:p>
        </w:tc>
        <w:tc>
          <w:tcPr>
            <w:tcW w:type="dxa" w:w="5040"/>
            <w:vAlign w:val="center"/>
            <w:shd w:fill="DCE6F2"/>
            <w:tcMar>
              <w:top w:w="70" w:type="dxa"/>
              <w:start w:w="90" w:type="dxa"/>
              <w:bottom w:w="70" w:type="dxa"/>
              <w:end w:w="90" w:type="dxa"/>
            </w:tcMar>
          </w:tcPr>
          <w:p>
            <w:pPr>
              <w:jc w:val="center"/>
            </w:pPr>
            <w:r>
              <w:rPr>
                <w:b/>
                <w:color w:val="18365D"/>
                <w:sz w:val="19"/>
              </w:rPr>
              <w:t>Role in scoring / ML</w:t>
            </w:r>
          </w:p>
        </w:tc>
      </w:tr>
      <w:tr>
        <w:tc>
          <w:tcPr>
            <w:tcW w:type="dxa" w:w="2232"/>
            <w:vAlign w:val="center"/>
            <w:tcMar>
              <w:top w:w="65" w:type="dxa"/>
              <w:start w:w="85" w:type="dxa"/>
              <w:bottom w:w="65" w:type="dxa"/>
              <w:end w:w="85" w:type="dxa"/>
            </w:tcMar>
            <w:shd w:fill="F3F6FA"/>
          </w:tcPr>
          <w:p>
            <w:pPr>
              <w:spacing w:after="20"/>
              <w:jc w:val="left"/>
            </w:pPr>
            <w:r>
              <w:rPr>
                <w:sz w:val="18"/>
              </w:rPr>
              <w:t>Communication health</w:t>
            </w:r>
          </w:p>
        </w:tc>
        <w:tc>
          <w:tcPr>
            <w:tcW w:type="dxa" w:w="2880"/>
            <w:vAlign w:val="center"/>
            <w:tcMar>
              <w:top w:w="65" w:type="dxa"/>
              <w:start w:w="85" w:type="dxa"/>
              <w:bottom w:w="65" w:type="dxa"/>
              <w:end w:w="85" w:type="dxa"/>
            </w:tcMar>
          </w:tcPr>
          <w:p>
            <w:pPr>
              <w:spacing w:after="20"/>
              <w:jc w:val="center"/>
            </w:pPr>
            <w:r>
              <w:rPr>
                <w:sz w:val="18"/>
              </w:rPr>
              <w:t>comm_health_norm</w:t>
            </w:r>
          </w:p>
        </w:tc>
        <w:tc>
          <w:tcPr>
            <w:tcW w:type="dxa" w:w="5040"/>
            <w:vAlign w:val="center"/>
            <w:tcMar>
              <w:top w:w="65" w:type="dxa"/>
              <w:start w:w="85" w:type="dxa"/>
              <w:bottom w:w="65" w:type="dxa"/>
              <w:end w:w="85" w:type="dxa"/>
            </w:tcMar>
          </w:tcPr>
          <w:p>
            <w:pPr>
              <w:spacing w:after="20"/>
              <w:jc w:val="left"/>
            </w:pPr>
            <w:r>
              <w:rPr>
                <w:sz w:val="18"/>
              </w:rPr>
              <w:t>Directness, clarity, and honest conflict approach</w:t>
            </w:r>
          </w:p>
        </w:tc>
      </w:tr>
      <w:tr>
        <w:tc>
          <w:tcPr>
            <w:tcW w:type="dxa" w:w="2232"/>
            <w:vAlign w:val="center"/>
            <w:tcMar>
              <w:top w:w="65" w:type="dxa"/>
              <w:start w:w="85" w:type="dxa"/>
              <w:bottom w:w="65" w:type="dxa"/>
              <w:end w:w="85" w:type="dxa"/>
            </w:tcMar>
            <w:shd w:fill="F3F6FA"/>
          </w:tcPr>
          <w:p>
            <w:pPr>
              <w:spacing w:after="20"/>
              <w:jc w:val="left"/>
            </w:pPr>
            <w:r>
              <w:rPr>
                <w:sz w:val="18"/>
              </w:rPr>
              <w:t>Regulation health</w:t>
            </w:r>
          </w:p>
        </w:tc>
        <w:tc>
          <w:tcPr>
            <w:tcW w:type="dxa" w:w="2880"/>
            <w:vAlign w:val="center"/>
            <w:tcMar>
              <w:top w:w="65" w:type="dxa"/>
              <w:start w:w="85" w:type="dxa"/>
              <w:bottom w:w="65" w:type="dxa"/>
              <w:end w:w="85" w:type="dxa"/>
            </w:tcMar>
          </w:tcPr>
          <w:p>
            <w:pPr>
              <w:spacing w:after="20"/>
              <w:jc w:val="center"/>
            </w:pPr>
            <w:r>
              <w:rPr>
                <w:sz w:val="18"/>
              </w:rPr>
              <w:t>reg_health_norm</w:t>
            </w:r>
          </w:p>
        </w:tc>
        <w:tc>
          <w:tcPr>
            <w:tcW w:type="dxa" w:w="5040"/>
            <w:vAlign w:val="center"/>
            <w:tcMar>
              <w:top w:w="65" w:type="dxa"/>
              <w:start w:w="85" w:type="dxa"/>
              <w:bottom w:w="65" w:type="dxa"/>
              <w:end w:w="85" w:type="dxa"/>
            </w:tcMar>
          </w:tcPr>
          <w:p>
            <w:pPr>
              <w:spacing w:after="20"/>
              <w:jc w:val="left"/>
            </w:pPr>
            <w:r>
              <w:rPr>
                <w:sz w:val="18"/>
              </w:rPr>
              <w:t>Capacity to stay organized under relational stress</w:t>
            </w:r>
          </w:p>
        </w:tc>
      </w:tr>
      <w:tr>
        <w:tc>
          <w:tcPr>
            <w:tcW w:type="dxa" w:w="2232"/>
            <w:vAlign w:val="center"/>
            <w:tcMar>
              <w:top w:w="65" w:type="dxa"/>
              <w:start w:w="85" w:type="dxa"/>
              <w:bottom w:w="65" w:type="dxa"/>
              <w:end w:w="85" w:type="dxa"/>
            </w:tcMar>
            <w:shd w:fill="F3F6FA"/>
          </w:tcPr>
          <w:p>
            <w:pPr>
              <w:spacing w:after="20"/>
              <w:jc w:val="left"/>
            </w:pPr>
            <w:r>
              <w:rPr>
                <w:sz w:val="18"/>
              </w:rPr>
              <w:t>Love / relational quality</w:t>
            </w:r>
          </w:p>
        </w:tc>
        <w:tc>
          <w:tcPr>
            <w:tcW w:type="dxa" w:w="2880"/>
            <w:vAlign w:val="center"/>
            <w:tcMar>
              <w:top w:w="65" w:type="dxa"/>
              <w:start w:w="85" w:type="dxa"/>
              <w:bottom w:w="65" w:type="dxa"/>
              <w:end w:w="85" w:type="dxa"/>
            </w:tcMar>
          </w:tcPr>
          <w:p>
            <w:pPr>
              <w:spacing w:after="20"/>
              <w:jc w:val="left"/>
            </w:pPr>
            <w:r>
              <w:rPr>
                <w:sz w:val="18"/>
              </w:rPr>
              <w:t>love_relational_norm</w:t>
            </w:r>
          </w:p>
        </w:tc>
        <w:tc>
          <w:tcPr>
            <w:tcW w:type="dxa" w:w="5040"/>
            <w:vAlign w:val="center"/>
            <w:tcMar>
              <w:top w:w="65" w:type="dxa"/>
              <w:start w:w="85" w:type="dxa"/>
              <w:bottom w:w="65" w:type="dxa"/>
              <w:end w:w="85" w:type="dxa"/>
            </w:tcMar>
          </w:tcPr>
          <w:p>
            <w:pPr>
              <w:spacing w:after="20"/>
              <w:jc w:val="left"/>
            </w:pPr>
            <w:r>
              <w:rPr>
                <w:sz w:val="18"/>
              </w:rPr>
              <w:t>Warmth, reciprocity, and partner-centered relating</w:t>
            </w:r>
          </w:p>
        </w:tc>
      </w:tr>
      <w:tr>
        <w:tc>
          <w:tcPr>
            <w:tcW w:type="dxa" w:w="2232"/>
            <w:vAlign w:val="center"/>
            <w:tcMar>
              <w:top w:w="65" w:type="dxa"/>
              <w:start w:w="85" w:type="dxa"/>
              <w:bottom w:w="65" w:type="dxa"/>
              <w:end w:w="85" w:type="dxa"/>
            </w:tcMar>
            <w:shd w:fill="F3F6FA"/>
          </w:tcPr>
          <w:p>
            <w:pPr>
              <w:spacing w:after="20"/>
              <w:jc w:val="left"/>
            </w:pPr>
            <w:r>
              <w:rPr>
                <w:sz w:val="18"/>
              </w:rPr>
              <w:t>Readiness</w:t>
            </w:r>
          </w:p>
        </w:tc>
        <w:tc>
          <w:tcPr>
            <w:tcW w:type="dxa" w:w="2880"/>
            <w:vAlign w:val="center"/>
            <w:tcMar>
              <w:top w:w="65" w:type="dxa"/>
              <w:start w:w="85" w:type="dxa"/>
              <w:bottom w:w="65" w:type="dxa"/>
              <w:end w:w="85" w:type="dxa"/>
            </w:tcMar>
          </w:tcPr>
          <w:p>
            <w:pPr>
              <w:spacing w:after="20"/>
              <w:jc w:val="center"/>
            </w:pPr>
            <w:r>
              <w:rPr>
                <w:sz w:val="18"/>
              </w:rPr>
              <w:t>readiness_norm</w:t>
            </w:r>
          </w:p>
        </w:tc>
        <w:tc>
          <w:tcPr>
            <w:tcW w:type="dxa" w:w="5040"/>
            <w:vAlign w:val="center"/>
            <w:tcMar>
              <w:top w:w="65" w:type="dxa"/>
              <w:start w:w="85" w:type="dxa"/>
              <w:bottom w:w="65" w:type="dxa"/>
              <w:end w:w="85" w:type="dxa"/>
            </w:tcMar>
          </w:tcPr>
          <w:p>
            <w:pPr>
              <w:spacing w:after="20"/>
              <w:jc w:val="left"/>
            </w:pPr>
            <w:r>
              <w:rPr>
                <w:sz w:val="18"/>
              </w:rPr>
              <w:t>Personal preparedness for mutual partnership</w:t>
            </w:r>
          </w:p>
        </w:tc>
      </w:tr>
      <w:tr>
        <w:tc>
          <w:tcPr>
            <w:tcW w:type="dxa" w:w="2232"/>
            <w:vAlign w:val="center"/>
            <w:tcMar>
              <w:top w:w="65" w:type="dxa"/>
              <w:start w:w="85" w:type="dxa"/>
              <w:bottom w:w="65" w:type="dxa"/>
              <w:end w:w="85" w:type="dxa"/>
            </w:tcMar>
            <w:shd w:fill="F3F6FA"/>
          </w:tcPr>
          <w:p>
            <w:pPr>
              <w:spacing w:after="20"/>
              <w:jc w:val="left"/>
            </w:pPr>
            <w:r>
              <w:rPr>
                <w:sz w:val="18"/>
              </w:rPr>
              <w:t>Pacing</w:t>
            </w:r>
          </w:p>
        </w:tc>
        <w:tc>
          <w:tcPr>
            <w:tcW w:type="dxa" w:w="2880"/>
            <w:vAlign w:val="center"/>
            <w:tcMar>
              <w:top w:w="65" w:type="dxa"/>
              <w:start w:w="85" w:type="dxa"/>
              <w:bottom w:w="65" w:type="dxa"/>
              <w:end w:w="85" w:type="dxa"/>
            </w:tcMar>
          </w:tcPr>
          <w:p>
            <w:pPr>
              <w:spacing w:after="20"/>
              <w:jc w:val="center"/>
            </w:pPr>
            <w:r>
              <w:rPr>
                <w:sz w:val="18"/>
              </w:rPr>
              <w:t>pacing_norm</w:t>
            </w:r>
          </w:p>
        </w:tc>
        <w:tc>
          <w:tcPr>
            <w:tcW w:type="dxa" w:w="5040"/>
            <w:vAlign w:val="center"/>
            <w:tcMar>
              <w:top w:w="65" w:type="dxa"/>
              <w:start w:w="85" w:type="dxa"/>
              <w:bottom w:w="65" w:type="dxa"/>
              <w:end w:w="85" w:type="dxa"/>
            </w:tcMar>
          </w:tcPr>
          <w:p>
            <w:pPr>
              <w:spacing w:after="20"/>
              <w:jc w:val="left"/>
            </w:pPr>
            <w:r>
              <w:rPr>
                <w:sz w:val="18"/>
              </w:rPr>
              <w:t>How fast or slow the person naturally wants commitment and disclosure</w:t>
            </w:r>
          </w:p>
        </w:tc>
      </w:tr>
      <w:tr>
        <w:tc>
          <w:tcPr>
            <w:tcW w:type="dxa" w:w="2232"/>
            <w:vAlign w:val="center"/>
            <w:tcMar>
              <w:top w:w="65" w:type="dxa"/>
              <w:start w:w="85" w:type="dxa"/>
              <w:bottom w:w="65" w:type="dxa"/>
              <w:end w:w="85" w:type="dxa"/>
            </w:tcMar>
            <w:shd w:fill="F3F6FA"/>
          </w:tcPr>
          <w:p>
            <w:pPr>
              <w:spacing w:after="20"/>
              <w:jc w:val="left"/>
            </w:pPr>
            <w:r>
              <w:rPr>
                <w:sz w:val="18"/>
              </w:rPr>
              <w:t>Attachment risk</w:t>
            </w:r>
          </w:p>
        </w:tc>
        <w:tc>
          <w:tcPr>
            <w:tcW w:type="dxa" w:w="2880"/>
            <w:vAlign w:val="center"/>
            <w:tcMar>
              <w:top w:w="65" w:type="dxa"/>
              <w:start w:w="85" w:type="dxa"/>
              <w:bottom w:w="65" w:type="dxa"/>
              <w:end w:w="85" w:type="dxa"/>
            </w:tcMar>
          </w:tcPr>
          <w:p>
            <w:pPr>
              <w:spacing w:after="20"/>
              <w:jc w:val="left"/>
            </w:pPr>
            <w:r>
              <w:rPr>
                <w:sz w:val="18"/>
              </w:rPr>
              <w:t>attachment_risk_norm</w:t>
            </w:r>
          </w:p>
        </w:tc>
        <w:tc>
          <w:tcPr>
            <w:tcW w:type="dxa" w:w="5040"/>
            <w:vAlign w:val="center"/>
            <w:tcMar>
              <w:top w:w="65" w:type="dxa"/>
              <w:start w:w="85" w:type="dxa"/>
              <w:bottom w:w="65" w:type="dxa"/>
              <w:end w:w="85" w:type="dxa"/>
            </w:tcMar>
          </w:tcPr>
          <w:p>
            <w:pPr>
              <w:spacing w:after="20"/>
              <w:jc w:val="left"/>
            </w:pPr>
            <w:r>
              <w:rPr>
                <w:sz w:val="18"/>
              </w:rPr>
              <w:t>Risk proxy for anxious / avoidant destabilization</w:t>
            </w:r>
          </w:p>
        </w:tc>
      </w:tr>
      <w:tr>
        <w:tc>
          <w:tcPr>
            <w:tcW w:type="dxa" w:w="2232"/>
            <w:vAlign w:val="center"/>
            <w:tcMar>
              <w:top w:w="65" w:type="dxa"/>
              <w:start w:w="85" w:type="dxa"/>
              <w:bottom w:w="65" w:type="dxa"/>
              <w:end w:w="85" w:type="dxa"/>
            </w:tcMar>
            <w:shd w:fill="F3F6FA"/>
          </w:tcPr>
          <w:p>
            <w:pPr>
              <w:spacing w:after="20"/>
              <w:jc w:val="left"/>
            </w:pPr>
            <w:r>
              <w:rPr>
                <w:sz w:val="18"/>
              </w:rPr>
              <w:t>Centered polarity</w:t>
            </w:r>
          </w:p>
        </w:tc>
        <w:tc>
          <w:tcPr>
            <w:tcW w:type="dxa" w:w="2880"/>
            <w:vAlign w:val="center"/>
            <w:tcMar>
              <w:top w:w="65" w:type="dxa"/>
              <w:start w:w="85" w:type="dxa"/>
              <w:bottom w:w="65" w:type="dxa"/>
              <w:end w:w="85" w:type="dxa"/>
            </w:tcMar>
          </w:tcPr>
          <w:p>
            <w:pPr>
              <w:spacing w:after="20"/>
              <w:jc w:val="left"/>
            </w:pPr>
            <w:r>
              <w:rPr>
                <w:sz w:val="18"/>
              </w:rPr>
              <w:t>centered_polarity_norm</w:t>
            </w:r>
          </w:p>
        </w:tc>
        <w:tc>
          <w:tcPr>
            <w:tcW w:type="dxa" w:w="5040"/>
            <w:vAlign w:val="center"/>
            <w:tcMar>
              <w:top w:w="65" w:type="dxa"/>
              <w:start w:w="85" w:type="dxa"/>
              <w:bottom w:w="65" w:type="dxa"/>
              <w:end w:w="85" w:type="dxa"/>
            </w:tcMar>
          </w:tcPr>
          <w:p>
            <w:pPr>
              <w:spacing w:after="20"/>
              <w:jc w:val="left"/>
            </w:pPr>
            <w:r>
              <w:rPr>
                <w:sz w:val="18"/>
              </w:rPr>
              <w:t>Pre-v10 chemistry signal kept for backward compatibility</w:t>
            </w:r>
          </w:p>
        </w:tc>
      </w:tr>
      <w:tr>
        <w:tc>
          <w:tcPr>
            <w:tcW w:type="dxa" w:w="2232"/>
            <w:vAlign w:val="center"/>
            <w:tcMar>
              <w:top w:w="65" w:type="dxa"/>
              <w:start w:w="85" w:type="dxa"/>
              <w:bottom w:w="65" w:type="dxa"/>
              <w:end w:w="85" w:type="dxa"/>
            </w:tcMar>
            <w:shd w:fill="F3F6FA"/>
          </w:tcPr>
          <w:p>
            <w:pPr>
              <w:spacing w:after="20"/>
              <w:jc w:val="left"/>
            </w:pPr>
            <w:r>
              <w:rPr>
                <w:sz w:val="18"/>
              </w:rPr>
              <w:t>Reciprocity signal</w:t>
            </w:r>
          </w:p>
        </w:tc>
        <w:tc>
          <w:tcPr>
            <w:tcW w:type="dxa" w:w="2880"/>
            <w:vAlign w:val="center"/>
            <w:tcMar>
              <w:top w:w="65" w:type="dxa"/>
              <w:start w:w="85" w:type="dxa"/>
              <w:bottom w:w="65" w:type="dxa"/>
              <w:end w:w="85" w:type="dxa"/>
            </w:tcMar>
          </w:tcPr>
          <w:p>
            <w:pPr>
              <w:spacing w:after="20"/>
              <w:jc w:val="left"/>
            </w:pPr>
            <w:r>
              <w:rPr>
                <w:sz w:val="18"/>
              </w:rPr>
              <w:t>reciprocity_signal_norm</w:t>
            </w:r>
          </w:p>
        </w:tc>
        <w:tc>
          <w:tcPr>
            <w:tcW w:type="dxa" w:w="5040"/>
            <w:vAlign w:val="center"/>
            <w:tcMar>
              <w:top w:w="65" w:type="dxa"/>
              <w:start w:w="85" w:type="dxa"/>
              <w:bottom w:w="65" w:type="dxa"/>
              <w:end w:w="85" w:type="dxa"/>
            </w:tcMar>
          </w:tcPr>
          <w:p>
            <w:pPr>
              <w:spacing w:after="20"/>
              <w:jc w:val="left"/>
            </w:pPr>
            <w:r>
              <w:rPr>
                <w:sz w:val="18"/>
              </w:rPr>
              <w:t>Mutuality and bidirectional effort</w:t>
            </w:r>
          </w:p>
        </w:tc>
      </w:tr>
      <w:tr>
        <w:tc>
          <w:tcPr>
            <w:tcW w:type="dxa" w:w="2232"/>
            <w:vAlign w:val="center"/>
            <w:tcMar>
              <w:top w:w="65" w:type="dxa"/>
              <w:start w:w="85" w:type="dxa"/>
              <w:bottom w:w="65" w:type="dxa"/>
              <w:end w:w="85" w:type="dxa"/>
            </w:tcMar>
            <w:shd w:fill="F3F6FA"/>
          </w:tcPr>
          <w:p>
            <w:pPr>
              <w:spacing w:after="20"/>
              <w:jc w:val="left"/>
            </w:pPr>
            <w:r>
              <w:rPr>
                <w:sz w:val="18"/>
              </w:rPr>
              <w:t>Integrity penalty</w:t>
            </w:r>
          </w:p>
        </w:tc>
        <w:tc>
          <w:tcPr>
            <w:tcW w:type="dxa" w:w="2880"/>
            <w:vAlign w:val="center"/>
            <w:tcMar>
              <w:top w:w="65" w:type="dxa"/>
              <w:start w:w="85" w:type="dxa"/>
              <w:bottom w:w="65" w:type="dxa"/>
              <w:end w:w="85" w:type="dxa"/>
            </w:tcMar>
          </w:tcPr>
          <w:p>
            <w:pPr>
              <w:spacing w:after="20"/>
              <w:jc w:val="left"/>
            </w:pPr>
            <w:r>
              <w:rPr>
                <w:sz w:val="18"/>
              </w:rPr>
              <w:t>integrity_penalty_norm</w:t>
            </w:r>
          </w:p>
        </w:tc>
        <w:tc>
          <w:tcPr>
            <w:tcW w:type="dxa" w:w="5040"/>
            <w:vAlign w:val="center"/>
            <w:tcMar>
              <w:top w:w="65" w:type="dxa"/>
              <w:start w:w="85" w:type="dxa"/>
              <w:bottom w:w="65" w:type="dxa"/>
              <w:end w:w="85" w:type="dxa"/>
            </w:tcMar>
          </w:tcPr>
          <w:p>
            <w:pPr>
              <w:spacing w:after="20"/>
              <w:jc w:val="left"/>
            </w:pPr>
            <w:r>
              <w:rPr>
                <w:sz w:val="18"/>
              </w:rPr>
              <w:t>Self-protective or misleading posture that reduces trust</w:t>
            </w:r>
          </w:p>
        </w:tc>
      </w:tr>
      <w:tr>
        <w:tc>
          <w:tcPr>
            <w:tcW w:type="dxa" w:w="2232"/>
            <w:vAlign w:val="center"/>
            <w:tcMar>
              <w:top w:w="65" w:type="dxa"/>
              <w:start w:w="85" w:type="dxa"/>
              <w:bottom w:w="65" w:type="dxa"/>
              <w:end w:w="85" w:type="dxa"/>
            </w:tcMar>
            <w:shd w:fill="F3F6FA"/>
          </w:tcPr>
          <w:p>
            <w:pPr>
              <w:spacing w:after="20"/>
              <w:jc w:val="left"/>
            </w:pPr>
            <w:r>
              <w:rPr>
                <w:sz w:val="18"/>
              </w:rPr>
              <w:t>Cluster penalty</w:t>
            </w:r>
          </w:p>
        </w:tc>
        <w:tc>
          <w:tcPr>
            <w:tcW w:type="dxa" w:w="2880"/>
            <w:vAlign w:val="center"/>
            <w:tcMar>
              <w:top w:w="65" w:type="dxa"/>
              <w:start w:w="85" w:type="dxa"/>
              <w:bottom w:w="65" w:type="dxa"/>
              <w:end w:w="85" w:type="dxa"/>
            </w:tcMar>
          </w:tcPr>
          <w:p>
            <w:pPr>
              <w:spacing w:after="20"/>
              <w:jc w:val="left"/>
            </w:pPr>
            <w:r>
              <w:rPr>
                <w:sz w:val="18"/>
              </w:rPr>
              <w:t>cluster_penalty_norm</w:t>
            </w:r>
          </w:p>
        </w:tc>
        <w:tc>
          <w:tcPr>
            <w:tcW w:type="dxa" w:w="5040"/>
            <w:vAlign w:val="center"/>
            <w:tcMar>
              <w:top w:w="65" w:type="dxa"/>
              <w:start w:w="85" w:type="dxa"/>
              <w:bottom w:w="65" w:type="dxa"/>
              <w:end w:w="85" w:type="dxa"/>
            </w:tcMar>
          </w:tcPr>
          <w:p>
            <w:pPr>
              <w:spacing w:after="20"/>
              <w:jc w:val="left"/>
            </w:pPr>
            <w:r>
              <w:rPr>
                <w:sz w:val="18"/>
              </w:rPr>
              <w:t>Question-local contradiction burden</w:t>
            </w:r>
          </w:p>
        </w:tc>
      </w:tr>
      <w:tr>
        <w:tc>
          <w:tcPr>
            <w:tcW w:type="dxa" w:w="2232"/>
            <w:vAlign w:val="center"/>
            <w:tcMar>
              <w:top w:w="65" w:type="dxa"/>
              <w:start w:w="85" w:type="dxa"/>
              <w:bottom w:w="65" w:type="dxa"/>
              <w:end w:w="85" w:type="dxa"/>
            </w:tcMar>
            <w:shd w:fill="F3F6FA"/>
          </w:tcPr>
          <w:p>
            <w:pPr>
              <w:spacing w:after="20"/>
              <w:jc w:val="left"/>
            </w:pPr>
            <w:r>
              <w:rPr>
                <w:sz w:val="18"/>
              </w:rPr>
              <w:t>Pattern risk</w:t>
            </w:r>
          </w:p>
        </w:tc>
        <w:tc>
          <w:tcPr>
            <w:tcW w:type="dxa" w:w="2880"/>
            <w:vAlign w:val="center"/>
            <w:tcMar>
              <w:top w:w="65" w:type="dxa"/>
              <w:start w:w="85" w:type="dxa"/>
              <w:bottom w:w="65" w:type="dxa"/>
              <w:end w:w="85" w:type="dxa"/>
            </w:tcMar>
          </w:tcPr>
          <w:p>
            <w:pPr>
              <w:spacing w:after="20"/>
              <w:jc w:val="center"/>
            </w:pPr>
            <w:r>
              <w:rPr>
                <w:sz w:val="18"/>
              </w:rPr>
              <w:t>pattern_risk_norm</w:t>
            </w:r>
          </w:p>
        </w:tc>
        <w:tc>
          <w:tcPr>
            <w:tcW w:type="dxa" w:w="5040"/>
            <w:vAlign w:val="center"/>
            <w:tcMar>
              <w:top w:w="65" w:type="dxa"/>
              <w:start w:w="85" w:type="dxa"/>
              <w:bottom w:w="65" w:type="dxa"/>
              <w:end w:w="85" w:type="dxa"/>
            </w:tcMar>
          </w:tcPr>
          <w:p>
            <w:pPr>
              <w:spacing w:after="20"/>
              <w:jc w:val="left"/>
            </w:pPr>
            <w:r>
              <w:rPr>
                <w:sz w:val="18"/>
              </w:rPr>
              <w:t>Generalized recurrence-risk weight</w:t>
            </w:r>
          </w:p>
        </w:tc>
      </w:tr>
      <w:tr>
        <w:tc>
          <w:tcPr>
            <w:tcW w:type="dxa" w:w="2232"/>
            <w:vAlign w:val="center"/>
            <w:tcMar>
              <w:top w:w="65" w:type="dxa"/>
              <w:start w:w="85" w:type="dxa"/>
              <w:bottom w:w="65" w:type="dxa"/>
              <w:end w:w="85" w:type="dxa"/>
            </w:tcMar>
            <w:shd w:fill="F3F6FA"/>
          </w:tcPr>
          <w:p>
            <w:pPr>
              <w:spacing w:after="20"/>
              <w:jc w:val="left"/>
            </w:pPr>
            <w:r>
              <w:rPr>
                <w:sz w:val="18"/>
              </w:rPr>
              <w:t>Forecast</w:t>
            </w:r>
          </w:p>
        </w:tc>
        <w:tc>
          <w:tcPr>
            <w:tcW w:type="dxa" w:w="2880"/>
            <w:vAlign w:val="center"/>
            <w:tcMar>
              <w:top w:w="65" w:type="dxa"/>
              <w:start w:w="85" w:type="dxa"/>
              <w:bottom w:w="65" w:type="dxa"/>
              <w:end w:w="85" w:type="dxa"/>
            </w:tcMar>
          </w:tcPr>
          <w:p>
            <w:pPr>
              <w:spacing w:after="20"/>
              <w:jc w:val="center"/>
            </w:pPr>
            <w:r>
              <w:rPr>
                <w:sz w:val="18"/>
              </w:rPr>
              <w:t>forecast_norm</w:t>
            </w:r>
          </w:p>
        </w:tc>
        <w:tc>
          <w:tcPr>
            <w:tcW w:type="dxa" w:w="5040"/>
            <w:vAlign w:val="center"/>
            <w:tcMar>
              <w:top w:w="65" w:type="dxa"/>
              <w:start w:w="85" w:type="dxa"/>
              <w:bottom w:w="65" w:type="dxa"/>
              <w:end w:w="85" w:type="dxa"/>
            </w:tcMar>
          </w:tcPr>
          <w:p>
            <w:pPr>
              <w:spacing w:after="20"/>
              <w:jc w:val="left"/>
            </w:pPr>
            <w:r>
              <w:rPr>
                <w:sz w:val="18"/>
              </w:rPr>
              <w:t>Question-level contribution to pair forecast</w:t>
            </w:r>
          </w:p>
        </w:tc>
      </w:tr>
    </w:tbl>
    <w:p/>
    <w:p>
      <w:r>
        <w:t>Additional answer-level labels to preserve as categorical features: archetype, shadow_type, risk_band, pos_band, chem_band, access_style_label_v8, conflict_style_label_v8, repair_style_label_v8, attachment_style_label_v8, nervous_system_bias_label_v8, and selection_gap_flag_v8.</w:t>
      </w:r>
    </w:p>
    <w:p>
      <w:pPr>
        <w:pStyle w:val="Heading2"/>
      </w:pPr>
      <w:r>
        <w:t>4.2 Pair quantum dimensions</w:t>
      </w:r>
    </w:p>
    <w:tbl>
      <w:tblPr>
        <w:tblStyle w:val="TableGrid"/>
        <w:tblW w:type="auto" w:w="0"/>
        <w:jc w:val="center"/>
        <w:tblLayout w:type="fixed"/>
        <w:tblLook w:firstColumn="1" w:firstRow="1" w:lastColumn="0" w:lastRow="0" w:noHBand="0" w:noVBand="1" w:val="04A0"/>
        <w:tblBorders>
          <w:top w:val="single" w:sz="6" w:space="0" w:color="C8D1DD"/>
          <w:left w:val="single" w:sz="6" w:space="0" w:color="C8D1DD"/>
          <w:bottom w:val="single" w:sz="6" w:space="0" w:color="C8D1DD"/>
          <w:right w:val="single" w:sz="6" w:space="0" w:color="C8D1DD"/>
          <w:insideH w:val="single" w:sz="6" w:space="0" w:color="C8D1DD"/>
          <w:insideV w:val="single" w:sz="6" w:space="0" w:color="C8D1DD"/>
        </w:tblBorders>
      </w:tblPr>
      <w:tblGrid>
        <w:gridCol w:w="3312"/>
        <w:gridCol w:w="3312"/>
        <w:gridCol w:w="3312"/>
      </w:tblGrid>
      <w:tr>
        <w:trPr>
          <w:tblHeader w:val="true"/>
        </w:trPr>
        <w:tc>
          <w:tcPr>
            <w:tcW w:type="dxa" w:w="1944"/>
            <w:vAlign w:val="center"/>
            <w:shd w:fill="DCE6F2"/>
            <w:tcMar>
              <w:top w:w="70" w:type="dxa"/>
              <w:start w:w="90" w:type="dxa"/>
              <w:bottom w:w="70" w:type="dxa"/>
              <w:end w:w="90" w:type="dxa"/>
            </w:tcMar>
          </w:tcPr>
          <w:p>
            <w:pPr>
              <w:jc w:val="center"/>
            </w:pPr>
            <w:r>
              <w:rPr>
                <w:b/>
                <w:color w:val="18365D"/>
                <w:sz w:val="19"/>
              </w:rPr>
              <w:t>Pair metric</w:t>
            </w:r>
          </w:p>
        </w:tc>
        <w:tc>
          <w:tcPr>
            <w:tcW w:type="dxa" w:w="2376"/>
            <w:vAlign w:val="center"/>
            <w:shd w:fill="DCE6F2"/>
            <w:tcMar>
              <w:top w:w="70" w:type="dxa"/>
              <w:start w:w="90" w:type="dxa"/>
              <w:bottom w:w="70" w:type="dxa"/>
              <w:end w:w="90" w:type="dxa"/>
            </w:tcMar>
          </w:tcPr>
          <w:p>
            <w:pPr>
              <w:jc w:val="center"/>
            </w:pPr>
            <w:r>
              <w:rPr>
                <w:b/>
                <w:color w:val="18365D"/>
                <w:sz w:val="19"/>
              </w:rPr>
              <w:t>Source field</w:t>
            </w:r>
          </w:p>
        </w:tc>
        <w:tc>
          <w:tcPr>
            <w:tcW w:type="dxa" w:w="5832"/>
            <w:vAlign w:val="center"/>
            <w:shd w:fill="DCE6F2"/>
            <w:tcMar>
              <w:top w:w="70" w:type="dxa"/>
              <w:start w:w="90" w:type="dxa"/>
              <w:bottom w:w="70" w:type="dxa"/>
              <w:end w:w="90" w:type="dxa"/>
            </w:tcMar>
          </w:tcPr>
          <w:p>
            <w:pPr>
              <w:jc w:val="center"/>
            </w:pPr>
            <w:r>
              <w:rPr>
                <w:b/>
                <w:color w:val="18365D"/>
                <w:sz w:val="19"/>
              </w:rPr>
              <w:t>Use</w:t>
            </w:r>
          </w:p>
        </w:tc>
      </w:tr>
      <w:tr>
        <w:tc>
          <w:tcPr>
            <w:tcW w:type="dxa" w:w="1944"/>
            <w:vAlign w:val="center"/>
            <w:tcMar>
              <w:top w:w="65" w:type="dxa"/>
              <w:start w:w="85" w:type="dxa"/>
              <w:bottom w:w="65" w:type="dxa"/>
              <w:end w:w="85" w:type="dxa"/>
            </w:tcMar>
            <w:shd w:fill="F3F6FA"/>
          </w:tcPr>
          <w:p>
            <w:pPr>
              <w:spacing w:after="20"/>
              <w:jc w:val="left"/>
            </w:pPr>
            <w:r>
              <w:rPr>
                <w:sz w:val="18"/>
              </w:rPr>
              <w:t>Archetype fit</w:t>
            </w:r>
          </w:p>
        </w:tc>
        <w:tc>
          <w:tcPr>
            <w:tcW w:type="dxa" w:w="2376"/>
            <w:vAlign w:val="center"/>
            <w:tcMar>
              <w:top w:w="65" w:type="dxa"/>
              <w:start w:w="85" w:type="dxa"/>
              <w:bottom w:w="65" w:type="dxa"/>
              <w:end w:w="85" w:type="dxa"/>
            </w:tcMar>
          </w:tcPr>
          <w:p>
            <w:pPr>
              <w:spacing w:after="20"/>
              <w:jc w:val="center"/>
            </w:pPr>
            <w:r>
              <w:rPr>
                <w:sz w:val="18"/>
              </w:rPr>
              <w:t>archetype_fit</w:t>
            </w:r>
          </w:p>
        </w:tc>
        <w:tc>
          <w:tcPr>
            <w:tcW w:type="dxa" w:w="5832"/>
            <w:vAlign w:val="center"/>
            <w:tcMar>
              <w:top w:w="65" w:type="dxa"/>
              <w:start w:w="85" w:type="dxa"/>
              <w:bottom w:w="65" w:type="dxa"/>
              <w:end w:w="85" w:type="dxa"/>
            </w:tcMar>
          </w:tcPr>
          <w:p>
            <w:pPr>
              <w:spacing w:after="20"/>
              <w:jc w:val="left"/>
            </w:pPr>
            <w:r>
              <w:rPr>
                <w:sz w:val="18"/>
              </w:rPr>
              <w:t>State-to-state compatibility from the archetype matrix and answer interaction</w:t>
            </w:r>
          </w:p>
        </w:tc>
      </w:tr>
      <w:tr>
        <w:tc>
          <w:tcPr>
            <w:tcW w:type="dxa" w:w="1944"/>
            <w:vAlign w:val="center"/>
            <w:tcMar>
              <w:top w:w="65" w:type="dxa"/>
              <w:start w:w="85" w:type="dxa"/>
              <w:bottom w:w="65" w:type="dxa"/>
              <w:end w:w="85" w:type="dxa"/>
            </w:tcMar>
            <w:shd w:fill="F3F6FA"/>
          </w:tcPr>
          <w:p>
            <w:pPr>
              <w:spacing w:after="20"/>
              <w:jc w:val="left"/>
            </w:pPr>
            <w:r>
              <w:rPr>
                <w:sz w:val="18"/>
              </w:rPr>
              <w:t>Communication fit</w:t>
            </w:r>
          </w:p>
        </w:tc>
        <w:tc>
          <w:tcPr>
            <w:tcW w:type="dxa" w:w="2376"/>
            <w:vAlign w:val="center"/>
            <w:tcMar>
              <w:top w:w="65" w:type="dxa"/>
              <w:start w:w="85" w:type="dxa"/>
              <w:bottom w:w="65" w:type="dxa"/>
              <w:end w:w="85" w:type="dxa"/>
            </w:tcMar>
          </w:tcPr>
          <w:p>
            <w:pPr>
              <w:spacing w:after="20"/>
              <w:jc w:val="center"/>
            </w:pPr>
            <w:r>
              <w:rPr>
                <w:sz w:val="18"/>
              </w:rPr>
              <w:t>comm_fit</w:t>
            </w:r>
          </w:p>
        </w:tc>
        <w:tc>
          <w:tcPr>
            <w:tcW w:type="dxa" w:w="5832"/>
            <w:vAlign w:val="center"/>
            <w:tcMar>
              <w:top w:w="65" w:type="dxa"/>
              <w:start w:w="85" w:type="dxa"/>
              <w:bottom w:w="65" w:type="dxa"/>
              <w:end w:w="85" w:type="dxa"/>
            </w:tcMar>
          </w:tcPr>
          <w:p>
            <w:pPr>
              <w:spacing w:after="20"/>
              <w:jc w:val="left"/>
            </w:pPr>
            <w:r>
              <w:rPr>
                <w:sz w:val="18"/>
              </w:rPr>
              <w:t>Pair communication alignment</w:t>
            </w:r>
          </w:p>
        </w:tc>
      </w:tr>
      <w:tr>
        <w:tc>
          <w:tcPr>
            <w:tcW w:type="dxa" w:w="1944"/>
            <w:vAlign w:val="center"/>
            <w:tcMar>
              <w:top w:w="65" w:type="dxa"/>
              <w:start w:w="85" w:type="dxa"/>
              <w:bottom w:w="65" w:type="dxa"/>
              <w:end w:w="85" w:type="dxa"/>
            </w:tcMar>
            <w:shd w:fill="F3F6FA"/>
          </w:tcPr>
          <w:p>
            <w:pPr>
              <w:spacing w:after="20"/>
              <w:jc w:val="left"/>
            </w:pPr>
            <w:r>
              <w:rPr>
                <w:sz w:val="18"/>
              </w:rPr>
              <w:t>Regulation fit</w:t>
            </w:r>
          </w:p>
        </w:tc>
        <w:tc>
          <w:tcPr>
            <w:tcW w:type="dxa" w:w="2376"/>
            <w:vAlign w:val="center"/>
            <w:tcMar>
              <w:top w:w="65" w:type="dxa"/>
              <w:start w:w="85" w:type="dxa"/>
              <w:bottom w:w="65" w:type="dxa"/>
              <w:end w:w="85" w:type="dxa"/>
            </w:tcMar>
          </w:tcPr>
          <w:p>
            <w:pPr>
              <w:spacing w:after="20"/>
              <w:jc w:val="center"/>
            </w:pPr>
            <w:r>
              <w:rPr>
                <w:sz w:val="18"/>
              </w:rPr>
              <w:t>reg_fit</w:t>
            </w:r>
          </w:p>
        </w:tc>
        <w:tc>
          <w:tcPr>
            <w:tcW w:type="dxa" w:w="5832"/>
            <w:vAlign w:val="center"/>
            <w:tcMar>
              <w:top w:w="65" w:type="dxa"/>
              <w:start w:w="85" w:type="dxa"/>
              <w:bottom w:w="65" w:type="dxa"/>
              <w:end w:w="85" w:type="dxa"/>
            </w:tcMar>
          </w:tcPr>
          <w:p>
            <w:pPr>
              <w:spacing w:after="20"/>
              <w:jc w:val="left"/>
            </w:pPr>
            <w:r>
              <w:rPr>
                <w:sz w:val="18"/>
              </w:rPr>
              <w:t>Stress regulation compatibility</w:t>
            </w:r>
          </w:p>
        </w:tc>
      </w:tr>
      <w:tr>
        <w:tc>
          <w:tcPr>
            <w:tcW w:type="dxa" w:w="1944"/>
            <w:vAlign w:val="center"/>
            <w:tcMar>
              <w:top w:w="65" w:type="dxa"/>
              <w:start w:w="85" w:type="dxa"/>
              <w:bottom w:w="65" w:type="dxa"/>
              <w:end w:w="85" w:type="dxa"/>
            </w:tcMar>
            <w:shd w:fill="F3F6FA"/>
          </w:tcPr>
          <w:p>
            <w:pPr>
              <w:spacing w:after="20"/>
              <w:jc w:val="left"/>
            </w:pPr>
            <w:r>
              <w:rPr>
                <w:sz w:val="18"/>
              </w:rPr>
              <w:t>Love fit</w:t>
            </w:r>
          </w:p>
        </w:tc>
        <w:tc>
          <w:tcPr>
            <w:tcW w:type="dxa" w:w="2376"/>
            <w:vAlign w:val="center"/>
            <w:tcMar>
              <w:top w:w="65" w:type="dxa"/>
              <w:start w:w="85" w:type="dxa"/>
              <w:bottom w:w="65" w:type="dxa"/>
              <w:end w:w="85" w:type="dxa"/>
            </w:tcMar>
          </w:tcPr>
          <w:p>
            <w:pPr>
              <w:spacing w:after="20"/>
              <w:jc w:val="center"/>
            </w:pPr>
            <w:r>
              <w:rPr>
                <w:sz w:val="18"/>
              </w:rPr>
              <w:t>love_fit</w:t>
            </w:r>
          </w:p>
        </w:tc>
        <w:tc>
          <w:tcPr>
            <w:tcW w:type="dxa" w:w="5832"/>
            <w:vAlign w:val="center"/>
            <w:tcMar>
              <w:top w:w="65" w:type="dxa"/>
              <w:start w:w="85" w:type="dxa"/>
              <w:bottom w:w="65" w:type="dxa"/>
              <w:end w:w="85" w:type="dxa"/>
            </w:tcMar>
          </w:tcPr>
          <w:p>
            <w:pPr>
              <w:spacing w:after="20"/>
              <w:jc w:val="left"/>
            </w:pPr>
            <w:r>
              <w:rPr>
                <w:sz w:val="18"/>
              </w:rPr>
              <w:t>Relational expression compatibility</w:t>
            </w:r>
          </w:p>
        </w:tc>
      </w:tr>
      <w:tr>
        <w:tc>
          <w:tcPr>
            <w:tcW w:type="dxa" w:w="1944"/>
            <w:vAlign w:val="center"/>
            <w:tcMar>
              <w:top w:w="65" w:type="dxa"/>
              <w:start w:w="85" w:type="dxa"/>
              <w:bottom w:w="65" w:type="dxa"/>
              <w:end w:w="85" w:type="dxa"/>
            </w:tcMar>
            <w:shd w:fill="F3F6FA"/>
          </w:tcPr>
          <w:p>
            <w:pPr>
              <w:spacing w:after="20"/>
              <w:jc w:val="left"/>
            </w:pPr>
            <w:r>
              <w:rPr>
                <w:sz w:val="18"/>
              </w:rPr>
              <w:t>Readiness fit</w:t>
            </w:r>
          </w:p>
        </w:tc>
        <w:tc>
          <w:tcPr>
            <w:tcW w:type="dxa" w:w="2376"/>
            <w:vAlign w:val="center"/>
            <w:tcMar>
              <w:top w:w="65" w:type="dxa"/>
              <w:start w:w="85" w:type="dxa"/>
              <w:bottom w:w="65" w:type="dxa"/>
              <w:end w:w="85" w:type="dxa"/>
            </w:tcMar>
          </w:tcPr>
          <w:p>
            <w:pPr>
              <w:spacing w:after="20"/>
              <w:jc w:val="center"/>
            </w:pPr>
            <w:r>
              <w:rPr>
                <w:sz w:val="18"/>
              </w:rPr>
              <w:t>readiness_fit</w:t>
            </w:r>
          </w:p>
        </w:tc>
        <w:tc>
          <w:tcPr>
            <w:tcW w:type="dxa" w:w="5832"/>
            <w:vAlign w:val="center"/>
            <w:tcMar>
              <w:top w:w="65" w:type="dxa"/>
              <w:start w:w="85" w:type="dxa"/>
              <w:bottom w:w="65" w:type="dxa"/>
              <w:end w:w="85" w:type="dxa"/>
            </w:tcMar>
          </w:tcPr>
          <w:p>
            <w:pPr>
              <w:spacing w:after="20"/>
              <w:jc w:val="left"/>
            </w:pPr>
            <w:r>
              <w:rPr>
                <w:sz w:val="18"/>
              </w:rPr>
              <w:t>Whether both parties are prepared for similar depth</w:t>
            </w:r>
          </w:p>
        </w:tc>
      </w:tr>
      <w:tr>
        <w:tc>
          <w:tcPr>
            <w:tcW w:type="dxa" w:w="1944"/>
            <w:vAlign w:val="center"/>
            <w:tcMar>
              <w:top w:w="65" w:type="dxa"/>
              <w:start w:w="85" w:type="dxa"/>
              <w:bottom w:w="65" w:type="dxa"/>
              <w:end w:w="85" w:type="dxa"/>
            </w:tcMar>
            <w:shd w:fill="F3F6FA"/>
          </w:tcPr>
          <w:p>
            <w:pPr>
              <w:spacing w:after="20"/>
              <w:jc w:val="left"/>
            </w:pPr>
            <w:r>
              <w:rPr>
                <w:sz w:val="18"/>
              </w:rPr>
              <w:t>Shadow fit</w:t>
            </w:r>
          </w:p>
        </w:tc>
        <w:tc>
          <w:tcPr>
            <w:tcW w:type="dxa" w:w="2376"/>
            <w:vAlign w:val="center"/>
            <w:tcMar>
              <w:top w:w="65" w:type="dxa"/>
              <w:start w:w="85" w:type="dxa"/>
              <w:bottom w:w="65" w:type="dxa"/>
              <w:end w:w="85" w:type="dxa"/>
            </w:tcMar>
          </w:tcPr>
          <w:p>
            <w:pPr>
              <w:spacing w:after="20"/>
              <w:jc w:val="center"/>
            </w:pPr>
            <w:r>
              <w:rPr>
                <w:sz w:val="18"/>
              </w:rPr>
              <w:t>shadow_fit</w:t>
            </w:r>
          </w:p>
        </w:tc>
        <w:tc>
          <w:tcPr>
            <w:tcW w:type="dxa" w:w="5832"/>
            <w:vAlign w:val="center"/>
            <w:tcMar>
              <w:top w:w="65" w:type="dxa"/>
              <w:start w:w="85" w:type="dxa"/>
              <w:bottom w:w="65" w:type="dxa"/>
              <w:end w:w="85" w:type="dxa"/>
            </w:tcMar>
          </w:tcPr>
          <w:p>
            <w:pPr>
              <w:spacing w:after="20"/>
              <w:jc w:val="left"/>
            </w:pPr>
            <w:r>
              <w:rPr>
                <w:sz w:val="18"/>
              </w:rPr>
              <w:t>Risk and friction burden across hidden patterns</w:t>
            </w:r>
          </w:p>
        </w:tc>
      </w:tr>
      <w:tr>
        <w:tc>
          <w:tcPr>
            <w:tcW w:type="dxa" w:w="1944"/>
            <w:vAlign w:val="center"/>
            <w:tcMar>
              <w:top w:w="65" w:type="dxa"/>
              <w:start w:w="85" w:type="dxa"/>
              <w:bottom w:w="65" w:type="dxa"/>
              <w:end w:w="85" w:type="dxa"/>
            </w:tcMar>
            <w:shd w:fill="F3F6FA"/>
          </w:tcPr>
          <w:p>
            <w:pPr>
              <w:spacing w:after="20"/>
              <w:jc w:val="left"/>
            </w:pPr>
            <w:r>
              <w:rPr>
                <w:sz w:val="18"/>
              </w:rPr>
              <w:t>Integrity fit</w:t>
            </w:r>
          </w:p>
        </w:tc>
        <w:tc>
          <w:tcPr>
            <w:tcW w:type="dxa" w:w="2376"/>
            <w:vAlign w:val="center"/>
            <w:tcMar>
              <w:top w:w="65" w:type="dxa"/>
              <w:start w:w="85" w:type="dxa"/>
              <w:bottom w:w="65" w:type="dxa"/>
              <w:end w:w="85" w:type="dxa"/>
            </w:tcMar>
          </w:tcPr>
          <w:p>
            <w:pPr>
              <w:spacing w:after="20"/>
              <w:jc w:val="center"/>
            </w:pPr>
            <w:r>
              <w:rPr>
                <w:sz w:val="18"/>
              </w:rPr>
              <w:t>integrity_fit</w:t>
            </w:r>
          </w:p>
        </w:tc>
        <w:tc>
          <w:tcPr>
            <w:tcW w:type="dxa" w:w="5832"/>
            <w:vAlign w:val="center"/>
            <w:tcMar>
              <w:top w:w="65" w:type="dxa"/>
              <w:start w:w="85" w:type="dxa"/>
              <w:bottom w:w="65" w:type="dxa"/>
              <w:end w:w="85" w:type="dxa"/>
            </w:tcMar>
          </w:tcPr>
          <w:p>
            <w:pPr>
              <w:spacing w:after="20"/>
              <w:jc w:val="left"/>
            </w:pPr>
            <w:r>
              <w:rPr>
                <w:sz w:val="18"/>
              </w:rPr>
              <w:t>Inverse burden; protects against false-positive chemistry</w:t>
            </w:r>
          </w:p>
        </w:tc>
      </w:tr>
      <w:tr>
        <w:tc>
          <w:tcPr>
            <w:tcW w:type="dxa" w:w="1944"/>
            <w:vAlign w:val="center"/>
            <w:tcMar>
              <w:top w:w="65" w:type="dxa"/>
              <w:start w:w="85" w:type="dxa"/>
              <w:bottom w:w="65" w:type="dxa"/>
              <w:end w:w="85" w:type="dxa"/>
            </w:tcMar>
            <w:shd w:fill="F3F6FA"/>
          </w:tcPr>
          <w:p>
            <w:pPr>
              <w:spacing w:after="20"/>
              <w:jc w:val="left"/>
            </w:pPr>
            <w:r>
              <w:rPr>
                <w:sz w:val="18"/>
              </w:rPr>
              <w:t>Cluster fit</w:t>
            </w:r>
          </w:p>
        </w:tc>
        <w:tc>
          <w:tcPr>
            <w:tcW w:type="dxa" w:w="2376"/>
            <w:vAlign w:val="center"/>
            <w:tcMar>
              <w:top w:w="65" w:type="dxa"/>
              <w:start w:w="85" w:type="dxa"/>
              <w:bottom w:w="65" w:type="dxa"/>
              <w:end w:w="85" w:type="dxa"/>
            </w:tcMar>
          </w:tcPr>
          <w:p>
            <w:pPr>
              <w:spacing w:after="20"/>
              <w:jc w:val="center"/>
            </w:pPr>
            <w:r>
              <w:rPr>
                <w:sz w:val="18"/>
              </w:rPr>
              <w:t>cluster_fit</w:t>
            </w:r>
          </w:p>
        </w:tc>
        <w:tc>
          <w:tcPr>
            <w:tcW w:type="dxa" w:w="5832"/>
            <w:vAlign w:val="center"/>
            <w:tcMar>
              <w:top w:w="65" w:type="dxa"/>
              <w:start w:w="85" w:type="dxa"/>
              <w:bottom w:w="65" w:type="dxa"/>
              <w:end w:w="85" w:type="dxa"/>
            </w:tcMar>
          </w:tcPr>
          <w:p>
            <w:pPr>
              <w:spacing w:after="20"/>
              <w:jc w:val="left"/>
            </w:pPr>
            <w:r>
              <w:rPr>
                <w:sz w:val="18"/>
              </w:rPr>
              <w:t>Inverse contradiction burden</w:t>
            </w:r>
          </w:p>
        </w:tc>
      </w:tr>
      <w:tr>
        <w:tc>
          <w:tcPr>
            <w:tcW w:type="dxa" w:w="1944"/>
            <w:vAlign w:val="center"/>
            <w:tcMar>
              <w:top w:w="65" w:type="dxa"/>
              <w:start w:w="85" w:type="dxa"/>
              <w:bottom w:w="65" w:type="dxa"/>
              <w:end w:w="85" w:type="dxa"/>
            </w:tcMar>
            <w:shd w:fill="F3F6FA"/>
          </w:tcPr>
          <w:p>
            <w:pPr>
              <w:spacing w:after="20"/>
              <w:jc w:val="left"/>
            </w:pPr>
            <w:r>
              <w:rPr>
                <w:sz w:val="18"/>
              </w:rPr>
              <w:t>Pace fit</w:t>
            </w:r>
          </w:p>
        </w:tc>
        <w:tc>
          <w:tcPr>
            <w:tcW w:type="dxa" w:w="2376"/>
            <w:vAlign w:val="center"/>
            <w:tcMar>
              <w:top w:w="65" w:type="dxa"/>
              <w:start w:w="85" w:type="dxa"/>
              <w:bottom w:w="65" w:type="dxa"/>
              <w:end w:w="85" w:type="dxa"/>
            </w:tcMar>
          </w:tcPr>
          <w:p>
            <w:pPr>
              <w:spacing w:after="20"/>
              <w:jc w:val="center"/>
            </w:pPr>
            <w:r>
              <w:rPr>
                <w:sz w:val="18"/>
              </w:rPr>
              <w:t>pace_fit</w:t>
            </w:r>
          </w:p>
        </w:tc>
        <w:tc>
          <w:tcPr>
            <w:tcW w:type="dxa" w:w="5832"/>
            <w:vAlign w:val="center"/>
            <w:tcMar>
              <w:top w:w="65" w:type="dxa"/>
              <w:start w:w="85" w:type="dxa"/>
              <w:bottom w:w="65" w:type="dxa"/>
              <w:end w:w="85" w:type="dxa"/>
            </w:tcMar>
          </w:tcPr>
          <w:p>
            <w:pPr>
              <w:spacing w:after="20"/>
              <w:jc w:val="left"/>
            </w:pPr>
            <w:r>
              <w:rPr>
                <w:sz w:val="18"/>
              </w:rPr>
              <w:t>Inverse pacing / attachment mismatch</w:t>
            </w:r>
          </w:p>
        </w:tc>
      </w:tr>
      <w:tr>
        <w:tc>
          <w:tcPr>
            <w:tcW w:type="dxa" w:w="1944"/>
            <w:vAlign w:val="center"/>
            <w:tcMar>
              <w:top w:w="65" w:type="dxa"/>
              <w:start w:w="85" w:type="dxa"/>
              <w:bottom w:w="65" w:type="dxa"/>
              <w:end w:w="85" w:type="dxa"/>
            </w:tcMar>
            <w:shd w:fill="F3F6FA"/>
          </w:tcPr>
          <w:p>
            <w:pPr>
              <w:spacing w:after="20"/>
              <w:jc w:val="left"/>
            </w:pPr>
            <w:r>
              <w:rPr>
                <w:sz w:val="18"/>
              </w:rPr>
              <w:t>Polarity fit</w:t>
            </w:r>
          </w:p>
        </w:tc>
        <w:tc>
          <w:tcPr>
            <w:tcW w:type="dxa" w:w="2376"/>
            <w:vAlign w:val="center"/>
            <w:tcMar>
              <w:top w:w="65" w:type="dxa"/>
              <w:start w:w="85" w:type="dxa"/>
              <w:bottom w:w="65" w:type="dxa"/>
              <w:end w:w="85" w:type="dxa"/>
            </w:tcMar>
          </w:tcPr>
          <w:p>
            <w:pPr>
              <w:spacing w:after="20"/>
              <w:jc w:val="center"/>
            </w:pPr>
            <w:r>
              <w:rPr>
                <w:sz w:val="18"/>
              </w:rPr>
              <w:t>polarity_fit</w:t>
            </w:r>
          </w:p>
        </w:tc>
        <w:tc>
          <w:tcPr>
            <w:tcW w:type="dxa" w:w="5832"/>
            <w:vAlign w:val="center"/>
            <w:tcMar>
              <w:top w:w="65" w:type="dxa"/>
              <w:start w:w="85" w:type="dxa"/>
              <w:bottom w:w="65" w:type="dxa"/>
              <w:end w:w="85" w:type="dxa"/>
            </w:tcMar>
          </w:tcPr>
          <w:p>
            <w:pPr>
              <w:spacing w:after="20"/>
              <w:jc w:val="left"/>
            </w:pPr>
            <w:r>
              <w:rPr>
                <w:sz w:val="18"/>
              </w:rPr>
              <w:t>Chemistry dimension fit</w:t>
            </w:r>
          </w:p>
        </w:tc>
      </w:tr>
      <w:tr>
        <w:tc>
          <w:tcPr>
            <w:tcW w:type="dxa" w:w="1944"/>
            <w:vAlign w:val="center"/>
            <w:tcMar>
              <w:top w:w="65" w:type="dxa"/>
              <w:start w:w="85" w:type="dxa"/>
              <w:bottom w:w="65" w:type="dxa"/>
              <w:end w:w="85" w:type="dxa"/>
            </w:tcMar>
            <w:shd w:fill="F3F6FA"/>
          </w:tcPr>
          <w:p>
            <w:pPr>
              <w:spacing w:after="20"/>
              <w:jc w:val="left"/>
            </w:pPr>
            <w:r>
              <w:rPr>
                <w:sz w:val="18"/>
              </w:rPr>
              <w:t>Pursuit fit</w:t>
            </w:r>
          </w:p>
        </w:tc>
        <w:tc>
          <w:tcPr>
            <w:tcW w:type="dxa" w:w="2376"/>
            <w:vAlign w:val="center"/>
            <w:tcMar>
              <w:top w:w="65" w:type="dxa"/>
              <w:start w:w="85" w:type="dxa"/>
              <w:bottom w:w="65" w:type="dxa"/>
              <w:end w:w="85" w:type="dxa"/>
            </w:tcMar>
          </w:tcPr>
          <w:p>
            <w:pPr>
              <w:spacing w:after="20"/>
              <w:jc w:val="center"/>
            </w:pPr>
            <w:r>
              <w:rPr>
                <w:sz w:val="18"/>
              </w:rPr>
              <w:t>pursuit_fit</w:t>
            </w:r>
          </w:p>
        </w:tc>
        <w:tc>
          <w:tcPr>
            <w:tcW w:type="dxa" w:w="5832"/>
            <w:vAlign w:val="center"/>
            <w:tcMar>
              <w:top w:w="65" w:type="dxa"/>
              <w:start w:w="85" w:type="dxa"/>
              <w:bottom w:w="65" w:type="dxa"/>
              <w:end w:w="85" w:type="dxa"/>
            </w:tcMar>
          </w:tcPr>
          <w:p>
            <w:pPr>
              <w:spacing w:after="20"/>
              <w:jc w:val="left"/>
            </w:pPr>
            <w:r>
              <w:rPr>
                <w:sz w:val="18"/>
              </w:rPr>
              <w:t>Pursue / receive rhythm fit</w:t>
            </w:r>
          </w:p>
        </w:tc>
      </w:tr>
      <w:tr>
        <w:tc>
          <w:tcPr>
            <w:tcW w:type="dxa" w:w="1944"/>
            <w:vAlign w:val="center"/>
            <w:tcMar>
              <w:top w:w="65" w:type="dxa"/>
              <w:start w:w="85" w:type="dxa"/>
              <w:bottom w:w="65" w:type="dxa"/>
              <w:end w:w="85" w:type="dxa"/>
            </w:tcMar>
            <w:shd w:fill="F3F6FA"/>
          </w:tcPr>
          <w:p>
            <w:pPr>
              <w:spacing w:after="20"/>
              <w:jc w:val="left"/>
            </w:pPr>
            <w:r>
              <w:rPr>
                <w:sz w:val="18"/>
              </w:rPr>
              <w:t>Forecast fit</w:t>
            </w:r>
          </w:p>
        </w:tc>
        <w:tc>
          <w:tcPr>
            <w:tcW w:type="dxa" w:w="2376"/>
            <w:vAlign w:val="center"/>
            <w:tcMar>
              <w:top w:w="65" w:type="dxa"/>
              <w:start w:w="85" w:type="dxa"/>
              <w:bottom w:w="65" w:type="dxa"/>
              <w:end w:w="85" w:type="dxa"/>
            </w:tcMar>
          </w:tcPr>
          <w:p>
            <w:pPr>
              <w:spacing w:after="20"/>
              <w:jc w:val="center"/>
            </w:pPr>
            <w:r>
              <w:rPr>
                <w:sz w:val="18"/>
              </w:rPr>
              <w:t>forecast_fit</w:t>
            </w:r>
          </w:p>
        </w:tc>
        <w:tc>
          <w:tcPr>
            <w:tcW w:type="dxa" w:w="5832"/>
            <w:vAlign w:val="center"/>
            <w:tcMar>
              <w:top w:w="65" w:type="dxa"/>
              <w:start w:w="85" w:type="dxa"/>
              <w:bottom w:w="65" w:type="dxa"/>
              <w:end w:w="85" w:type="dxa"/>
            </w:tcMar>
          </w:tcPr>
          <w:p>
            <w:pPr>
              <w:spacing w:after="20"/>
              <w:jc w:val="left"/>
            </w:pPr>
            <w:r>
              <w:rPr>
                <w:sz w:val="18"/>
              </w:rPr>
              <w:t>Question-pair contribution to stable outcome</w:t>
            </w:r>
          </w:p>
        </w:tc>
      </w:tr>
      <w:tr>
        <w:tc>
          <w:tcPr>
            <w:tcW w:type="dxa" w:w="1944"/>
            <w:vAlign w:val="center"/>
            <w:tcMar>
              <w:top w:w="65" w:type="dxa"/>
              <w:start w:w="85" w:type="dxa"/>
              <w:bottom w:w="65" w:type="dxa"/>
              <w:end w:w="85" w:type="dxa"/>
            </w:tcMar>
            <w:shd w:fill="F3F6FA"/>
          </w:tcPr>
          <w:p>
            <w:pPr>
              <w:spacing w:after="20"/>
              <w:jc w:val="left"/>
            </w:pPr>
            <w:r>
              <w:rPr>
                <w:sz w:val="18"/>
              </w:rPr>
              <w:t>Risk average</w:t>
            </w:r>
          </w:p>
        </w:tc>
        <w:tc>
          <w:tcPr>
            <w:tcW w:type="dxa" w:w="2376"/>
            <w:vAlign w:val="center"/>
            <w:tcMar>
              <w:top w:w="65" w:type="dxa"/>
              <w:start w:w="85" w:type="dxa"/>
              <w:bottom w:w="65" w:type="dxa"/>
              <w:end w:w="85" w:type="dxa"/>
            </w:tcMar>
          </w:tcPr>
          <w:p>
            <w:pPr>
              <w:spacing w:after="20"/>
              <w:jc w:val="center"/>
            </w:pPr>
            <w:r>
              <w:rPr>
                <w:sz w:val="18"/>
              </w:rPr>
              <w:t>risk_avg</w:t>
            </w:r>
          </w:p>
        </w:tc>
        <w:tc>
          <w:tcPr>
            <w:tcW w:type="dxa" w:w="5832"/>
            <w:vAlign w:val="center"/>
            <w:tcMar>
              <w:top w:w="65" w:type="dxa"/>
              <w:start w:w="85" w:type="dxa"/>
              <w:bottom w:w="65" w:type="dxa"/>
              <w:end w:w="85" w:type="dxa"/>
            </w:tcMar>
          </w:tcPr>
          <w:p>
            <w:pPr>
              <w:spacing w:after="20"/>
              <w:jc w:val="left"/>
            </w:pPr>
            <w:r>
              <w:rPr>
                <w:sz w:val="18"/>
              </w:rPr>
              <w:t>Composite risk signal for ranking and QA</w:t>
            </w:r>
          </w:p>
        </w:tc>
      </w:tr>
    </w:tbl>
    <w:p/>
    <w:p>
      <w:pPr>
        <w:pStyle w:val="Heading2"/>
      </w:pPr>
      <w:r>
        <w:t>4.3 Polarity v10 axes</w:t>
      </w:r>
    </w:p>
    <w:tbl>
      <w:tblPr>
        <w:tblStyle w:val="TableGrid"/>
        <w:tblW w:type="auto" w:w="0"/>
        <w:jc w:val="center"/>
        <w:tblLayout w:type="fixed"/>
        <w:tblLook w:firstColumn="1" w:firstRow="1" w:lastColumn="0" w:lastRow="0" w:noHBand="0" w:noVBand="1" w:val="04A0"/>
        <w:tblBorders>
          <w:top w:val="single" w:sz="6" w:space="0" w:color="C8D1DD"/>
          <w:left w:val="single" w:sz="6" w:space="0" w:color="C8D1DD"/>
          <w:bottom w:val="single" w:sz="6" w:space="0" w:color="C8D1DD"/>
          <w:right w:val="single" w:sz="6" w:space="0" w:color="C8D1DD"/>
          <w:insideH w:val="single" w:sz="6" w:space="0" w:color="C8D1DD"/>
          <w:insideV w:val="single" w:sz="6" w:space="0" w:color="C8D1DD"/>
        </w:tblBorders>
      </w:tblPr>
      <w:tblGrid>
        <w:gridCol w:w="2484"/>
        <w:gridCol w:w="2484"/>
        <w:gridCol w:w="2484"/>
        <w:gridCol w:w="2484"/>
      </w:tblGrid>
      <w:tr>
        <w:trPr>
          <w:tblHeader w:val="true"/>
        </w:trPr>
        <w:tc>
          <w:tcPr>
            <w:tcW w:type="dxa" w:w="2232"/>
            <w:vAlign w:val="center"/>
            <w:shd w:fill="DCE6F2"/>
            <w:tcMar>
              <w:top w:w="70" w:type="dxa"/>
              <w:start w:w="90" w:type="dxa"/>
              <w:bottom w:w="70" w:type="dxa"/>
              <w:end w:w="90" w:type="dxa"/>
            </w:tcMar>
          </w:tcPr>
          <w:p>
            <w:pPr>
              <w:jc w:val="center"/>
            </w:pPr>
            <w:r>
              <w:rPr>
                <w:b/>
                <w:color w:val="18365D"/>
                <w:sz w:val="19"/>
              </w:rPr>
              <w:t>Axis</w:t>
            </w:r>
          </w:p>
        </w:tc>
        <w:tc>
          <w:tcPr>
            <w:tcW w:type="dxa" w:w="1656"/>
            <w:vAlign w:val="center"/>
            <w:shd w:fill="DCE6F2"/>
            <w:tcMar>
              <w:top w:w="70" w:type="dxa"/>
              <w:start w:w="90" w:type="dxa"/>
              <w:bottom w:w="70" w:type="dxa"/>
              <w:end w:w="90" w:type="dxa"/>
            </w:tcMar>
          </w:tcPr>
          <w:p>
            <w:pPr>
              <w:jc w:val="center"/>
            </w:pPr>
            <w:r>
              <w:rPr>
                <w:b/>
                <w:color w:val="18365D"/>
                <w:sz w:val="19"/>
              </w:rPr>
              <w:t>Fit</w:t>
            </w:r>
          </w:p>
        </w:tc>
        <w:tc>
          <w:tcPr>
            <w:tcW w:type="dxa" w:w="1584"/>
            <w:vAlign w:val="center"/>
            <w:shd w:fill="DCE6F2"/>
            <w:tcMar>
              <w:top w:w="70" w:type="dxa"/>
              <w:start w:w="90" w:type="dxa"/>
              <w:bottom w:w="70" w:type="dxa"/>
              <w:end w:w="90" w:type="dxa"/>
            </w:tcMar>
          </w:tcPr>
          <w:p>
            <w:pPr>
              <w:jc w:val="center"/>
            </w:pPr>
            <w:r>
              <w:rPr>
                <w:b/>
                <w:color w:val="18365D"/>
                <w:sz w:val="19"/>
              </w:rPr>
              <w:t>Inside chemistry</w:t>
            </w:r>
          </w:p>
        </w:tc>
        <w:tc>
          <w:tcPr>
            <w:tcW w:type="dxa" w:w="4968"/>
            <w:vAlign w:val="center"/>
            <w:shd w:fill="DCE6F2"/>
            <w:tcMar>
              <w:top w:w="70" w:type="dxa"/>
              <w:start w:w="90" w:type="dxa"/>
              <w:bottom w:w="70" w:type="dxa"/>
              <w:end w:w="90" w:type="dxa"/>
            </w:tcMar>
          </w:tcPr>
          <w:p>
            <w:pPr>
              <w:jc w:val="center"/>
            </w:pPr>
            <w:r>
              <w:rPr>
                <w:b/>
                <w:color w:val="18365D"/>
                <w:sz w:val="19"/>
              </w:rPr>
              <w:t>Why it matters</w:t>
            </w:r>
          </w:p>
        </w:tc>
      </w:tr>
      <w:tr>
        <w:tc>
          <w:tcPr>
            <w:tcW w:type="dxa" w:w="2232"/>
            <w:vAlign w:val="center"/>
            <w:tcMar>
              <w:top w:w="65" w:type="dxa"/>
              <w:start w:w="85" w:type="dxa"/>
              <w:bottom w:w="65" w:type="dxa"/>
              <w:end w:w="85" w:type="dxa"/>
            </w:tcMar>
            <w:shd w:fill="F3F6FA"/>
          </w:tcPr>
          <w:p>
            <w:pPr>
              <w:spacing w:after="20"/>
              <w:jc w:val="left"/>
            </w:pPr>
            <w:r>
              <w:rPr>
                <w:sz w:val="18"/>
              </w:rPr>
              <w:t>Initiation</w:t>
            </w:r>
          </w:p>
        </w:tc>
        <w:tc>
          <w:tcPr>
            <w:tcW w:type="dxa" w:w="1656"/>
            <w:vAlign w:val="center"/>
            <w:tcMar>
              <w:top w:w="65" w:type="dxa"/>
              <w:start w:w="85" w:type="dxa"/>
              <w:bottom w:w="65" w:type="dxa"/>
              <w:end w:w="85" w:type="dxa"/>
            </w:tcMar>
          </w:tcPr>
          <w:p>
            <w:pPr>
              <w:spacing w:after="20"/>
              <w:jc w:val="center"/>
            </w:pPr>
            <w:r>
              <w:rPr>
                <w:sz w:val="18"/>
              </w:rPr>
              <w:t>Complement</w:t>
            </w:r>
          </w:p>
        </w:tc>
        <w:tc>
          <w:tcPr>
            <w:tcW w:type="dxa" w:w="1584"/>
            <w:vAlign w:val="center"/>
            <w:tcMar>
              <w:top w:w="65" w:type="dxa"/>
              <w:start w:w="85" w:type="dxa"/>
              <w:bottom w:w="65" w:type="dxa"/>
              <w:end w:w="85" w:type="dxa"/>
            </w:tcMar>
          </w:tcPr>
          <w:p>
            <w:pPr>
              <w:spacing w:after="20"/>
              <w:jc w:val="center"/>
            </w:pPr>
            <w:r>
              <w:rPr>
                <w:sz w:val="18"/>
              </w:rPr>
              <w:t>18%</w:t>
            </w:r>
          </w:p>
        </w:tc>
        <w:tc>
          <w:tcPr>
            <w:tcW w:type="dxa" w:w="4968"/>
            <w:vAlign w:val="center"/>
            <w:tcMar>
              <w:top w:w="65" w:type="dxa"/>
              <w:start w:w="85" w:type="dxa"/>
              <w:bottom w:w="65" w:type="dxa"/>
              <w:end w:w="85" w:type="dxa"/>
            </w:tcMar>
          </w:tcPr>
          <w:p>
            <w:pPr>
              <w:spacing w:after="20"/>
              <w:jc w:val="left"/>
            </w:pPr>
            <w:r>
              <w:rPr>
                <w:sz w:val="18"/>
              </w:rPr>
              <w:t>Who naturally moves first; predicts stall versus motion</w:t>
            </w:r>
          </w:p>
        </w:tc>
      </w:tr>
      <w:tr>
        <w:tc>
          <w:tcPr>
            <w:tcW w:type="dxa" w:w="2232"/>
            <w:vAlign w:val="center"/>
            <w:tcMar>
              <w:top w:w="65" w:type="dxa"/>
              <w:start w:w="85" w:type="dxa"/>
              <w:bottom w:w="65" w:type="dxa"/>
              <w:end w:w="85" w:type="dxa"/>
            </w:tcMar>
            <w:shd w:fill="F3F6FA"/>
          </w:tcPr>
          <w:p>
            <w:pPr>
              <w:spacing w:after="20"/>
              <w:jc w:val="left"/>
            </w:pPr>
            <w:r>
              <w:rPr>
                <w:sz w:val="18"/>
              </w:rPr>
              <w:t>Pursuit preference</w:t>
            </w:r>
          </w:p>
        </w:tc>
        <w:tc>
          <w:tcPr>
            <w:tcW w:type="dxa" w:w="1656"/>
            <w:vAlign w:val="center"/>
            <w:tcMar>
              <w:top w:w="65" w:type="dxa"/>
              <w:start w:w="85" w:type="dxa"/>
              <w:bottom w:w="65" w:type="dxa"/>
              <w:end w:w="85" w:type="dxa"/>
            </w:tcMar>
          </w:tcPr>
          <w:p>
            <w:pPr>
              <w:spacing w:after="20"/>
              <w:jc w:val="center"/>
            </w:pPr>
            <w:r>
              <w:rPr>
                <w:sz w:val="18"/>
              </w:rPr>
              <w:t>Complement</w:t>
            </w:r>
          </w:p>
        </w:tc>
        <w:tc>
          <w:tcPr>
            <w:tcW w:type="dxa" w:w="1584"/>
            <w:vAlign w:val="center"/>
            <w:tcMar>
              <w:top w:w="65" w:type="dxa"/>
              <w:start w:w="85" w:type="dxa"/>
              <w:bottom w:w="65" w:type="dxa"/>
              <w:end w:w="85" w:type="dxa"/>
            </w:tcMar>
          </w:tcPr>
          <w:p>
            <w:pPr>
              <w:spacing w:after="20"/>
              <w:jc w:val="center"/>
            </w:pPr>
            <w:r>
              <w:rPr>
                <w:sz w:val="18"/>
              </w:rPr>
              <w:t>14%</w:t>
            </w:r>
          </w:p>
        </w:tc>
        <w:tc>
          <w:tcPr>
            <w:tcW w:type="dxa" w:w="4968"/>
            <w:vAlign w:val="center"/>
            <w:tcMar>
              <w:top w:w="65" w:type="dxa"/>
              <w:start w:w="85" w:type="dxa"/>
              <w:bottom w:w="65" w:type="dxa"/>
              <w:end w:w="85" w:type="dxa"/>
            </w:tcMar>
          </w:tcPr>
          <w:p>
            <w:pPr>
              <w:spacing w:after="20"/>
              <w:jc w:val="left"/>
            </w:pPr>
            <w:r>
              <w:rPr>
                <w:sz w:val="18"/>
              </w:rPr>
              <w:t>Separates mutual passivity from magnetic pursuit rhythm</w:t>
            </w:r>
          </w:p>
        </w:tc>
      </w:tr>
      <w:tr>
        <w:tc>
          <w:tcPr>
            <w:tcW w:type="dxa" w:w="2232"/>
            <w:vAlign w:val="center"/>
            <w:tcMar>
              <w:top w:w="65" w:type="dxa"/>
              <w:start w:w="85" w:type="dxa"/>
              <w:bottom w:w="65" w:type="dxa"/>
              <w:end w:w="85" w:type="dxa"/>
            </w:tcMar>
            <w:shd w:fill="F3F6FA"/>
          </w:tcPr>
          <w:p>
            <w:pPr>
              <w:spacing w:after="20"/>
              <w:jc w:val="left"/>
            </w:pPr>
            <w:r>
              <w:rPr>
                <w:sz w:val="18"/>
              </w:rPr>
              <w:t>Leadership comfort</w:t>
            </w:r>
          </w:p>
        </w:tc>
        <w:tc>
          <w:tcPr>
            <w:tcW w:type="dxa" w:w="1656"/>
            <w:vAlign w:val="center"/>
            <w:tcMar>
              <w:top w:w="65" w:type="dxa"/>
              <w:start w:w="85" w:type="dxa"/>
              <w:bottom w:w="65" w:type="dxa"/>
              <w:end w:w="85" w:type="dxa"/>
            </w:tcMar>
          </w:tcPr>
          <w:p>
            <w:pPr>
              <w:spacing w:after="20"/>
              <w:jc w:val="center"/>
            </w:pPr>
            <w:r>
              <w:rPr>
                <w:sz w:val="18"/>
              </w:rPr>
              <w:t>Complement</w:t>
            </w:r>
          </w:p>
        </w:tc>
        <w:tc>
          <w:tcPr>
            <w:tcW w:type="dxa" w:w="1584"/>
            <w:vAlign w:val="center"/>
            <w:tcMar>
              <w:top w:w="65" w:type="dxa"/>
              <w:start w:w="85" w:type="dxa"/>
              <w:bottom w:w="65" w:type="dxa"/>
              <w:end w:w="85" w:type="dxa"/>
            </w:tcMar>
          </w:tcPr>
          <w:p>
            <w:pPr>
              <w:spacing w:after="20"/>
              <w:jc w:val="center"/>
            </w:pPr>
            <w:r>
              <w:rPr>
                <w:sz w:val="18"/>
              </w:rPr>
              <w:t>12%</w:t>
            </w:r>
          </w:p>
        </w:tc>
        <w:tc>
          <w:tcPr>
            <w:tcW w:type="dxa" w:w="4968"/>
            <w:vAlign w:val="center"/>
            <w:tcMar>
              <w:top w:w="65" w:type="dxa"/>
              <w:start w:w="85" w:type="dxa"/>
              <w:bottom w:w="65" w:type="dxa"/>
              <w:end w:w="85" w:type="dxa"/>
            </w:tcMar>
          </w:tcPr>
          <w:p>
            <w:pPr>
              <w:spacing w:after="20"/>
              <w:jc w:val="left"/>
            </w:pPr>
            <w:r>
              <w:rPr>
                <w:sz w:val="18"/>
              </w:rPr>
              <w:t>Comfort holding shape or direction in the dynamic</w:t>
            </w:r>
          </w:p>
        </w:tc>
      </w:tr>
      <w:tr>
        <w:tc>
          <w:tcPr>
            <w:tcW w:type="dxa" w:w="2232"/>
            <w:vAlign w:val="center"/>
            <w:tcMar>
              <w:top w:w="65" w:type="dxa"/>
              <w:start w:w="85" w:type="dxa"/>
              <w:bottom w:w="65" w:type="dxa"/>
              <w:end w:w="85" w:type="dxa"/>
            </w:tcMar>
            <w:shd w:fill="F3F6FA"/>
          </w:tcPr>
          <w:p>
            <w:pPr>
              <w:spacing w:after="20"/>
              <w:jc w:val="left"/>
            </w:pPr>
            <w:r>
              <w:rPr>
                <w:sz w:val="18"/>
              </w:rPr>
              <w:t>Surrender safety</w:t>
            </w:r>
          </w:p>
        </w:tc>
        <w:tc>
          <w:tcPr>
            <w:tcW w:type="dxa" w:w="1656"/>
            <w:vAlign w:val="center"/>
            <w:tcMar>
              <w:top w:w="65" w:type="dxa"/>
              <w:start w:w="85" w:type="dxa"/>
              <w:bottom w:w="65" w:type="dxa"/>
              <w:end w:w="85" w:type="dxa"/>
            </w:tcMar>
          </w:tcPr>
          <w:p>
            <w:pPr>
              <w:spacing w:after="20"/>
              <w:jc w:val="center"/>
            </w:pPr>
            <w:r>
              <w:rPr>
                <w:sz w:val="18"/>
              </w:rPr>
              <w:t>Similarity</w:t>
            </w:r>
          </w:p>
        </w:tc>
        <w:tc>
          <w:tcPr>
            <w:tcW w:type="dxa" w:w="1584"/>
            <w:vAlign w:val="center"/>
            <w:tcMar>
              <w:top w:w="65" w:type="dxa"/>
              <w:start w:w="85" w:type="dxa"/>
              <w:bottom w:w="65" w:type="dxa"/>
              <w:end w:w="85" w:type="dxa"/>
            </w:tcMar>
          </w:tcPr>
          <w:p>
            <w:pPr>
              <w:spacing w:after="20"/>
              <w:jc w:val="center"/>
            </w:pPr>
            <w:r>
              <w:rPr>
                <w:sz w:val="18"/>
              </w:rPr>
              <w:t>12%</w:t>
            </w:r>
          </w:p>
        </w:tc>
        <w:tc>
          <w:tcPr>
            <w:tcW w:type="dxa" w:w="4968"/>
            <w:vAlign w:val="center"/>
            <w:tcMar>
              <w:top w:w="65" w:type="dxa"/>
              <w:start w:w="85" w:type="dxa"/>
              <w:bottom w:w="65" w:type="dxa"/>
              <w:end w:w="85" w:type="dxa"/>
            </w:tcMar>
          </w:tcPr>
          <w:p>
            <w:pPr>
              <w:spacing w:after="20"/>
              <w:jc w:val="left"/>
            </w:pPr>
            <w:r>
              <w:rPr>
                <w:sz w:val="18"/>
              </w:rPr>
              <w:t>Whether closeness feels safe enough to relax into</w:t>
            </w:r>
          </w:p>
        </w:tc>
      </w:tr>
      <w:tr>
        <w:tc>
          <w:tcPr>
            <w:tcW w:type="dxa" w:w="2232"/>
            <w:vAlign w:val="center"/>
            <w:tcMar>
              <w:top w:w="65" w:type="dxa"/>
              <w:start w:w="85" w:type="dxa"/>
              <w:bottom w:w="65" w:type="dxa"/>
              <w:end w:w="85" w:type="dxa"/>
            </w:tcMar>
            <w:shd w:fill="F3F6FA"/>
          </w:tcPr>
          <w:p>
            <w:pPr>
              <w:spacing w:after="20"/>
              <w:jc w:val="left"/>
            </w:pPr>
            <w:r>
              <w:rPr>
                <w:sz w:val="18"/>
              </w:rPr>
              <w:t>Calm receptivity</w:t>
            </w:r>
          </w:p>
        </w:tc>
        <w:tc>
          <w:tcPr>
            <w:tcW w:type="dxa" w:w="1656"/>
            <w:vAlign w:val="center"/>
            <w:tcMar>
              <w:top w:w="65" w:type="dxa"/>
              <w:start w:w="85" w:type="dxa"/>
              <w:bottom w:w="65" w:type="dxa"/>
              <w:end w:w="85" w:type="dxa"/>
            </w:tcMar>
          </w:tcPr>
          <w:p>
            <w:pPr>
              <w:spacing w:after="20"/>
              <w:jc w:val="center"/>
            </w:pPr>
            <w:r>
              <w:rPr>
                <w:sz w:val="18"/>
              </w:rPr>
              <w:t>Similarity</w:t>
            </w:r>
          </w:p>
        </w:tc>
        <w:tc>
          <w:tcPr>
            <w:tcW w:type="dxa" w:w="1584"/>
            <w:vAlign w:val="center"/>
            <w:tcMar>
              <w:top w:w="65" w:type="dxa"/>
              <w:start w:w="85" w:type="dxa"/>
              <w:bottom w:w="65" w:type="dxa"/>
              <w:end w:w="85" w:type="dxa"/>
            </w:tcMar>
          </w:tcPr>
          <w:p>
            <w:pPr>
              <w:spacing w:after="20"/>
              <w:jc w:val="center"/>
            </w:pPr>
            <w:r>
              <w:rPr>
                <w:sz w:val="18"/>
              </w:rPr>
              <w:t>12%</w:t>
            </w:r>
          </w:p>
        </w:tc>
        <w:tc>
          <w:tcPr>
            <w:tcW w:type="dxa" w:w="4968"/>
            <w:vAlign w:val="center"/>
            <w:tcMar>
              <w:top w:w="65" w:type="dxa"/>
              <w:start w:w="85" w:type="dxa"/>
              <w:bottom w:w="65" w:type="dxa"/>
              <w:end w:w="85" w:type="dxa"/>
            </w:tcMar>
          </w:tcPr>
          <w:p>
            <w:pPr>
              <w:spacing w:after="20"/>
              <w:jc w:val="left"/>
            </w:pPr>
            <w:r>
              <w:rPr>
                <w:sz w:val="18"/>
              </w:rPr>
              <w:t>Ability to feel attraction in grounded stability</w:t>
            </w:r>
          </w:p>
        </w:tc>
      </w:tr>
      <w:tr>
        <w:tc>
          <w:tcPr>
            <w:tcW w:type="dxa" w:w="2232"/>
            <w:vAlign w:val="center"/>
            <w:tcMar>
              <w:top w:w="65" w:type="dxa"/>
              <w:start w:w="85" w:type="dxa"/>
              <w:bottom w:w="65" w:type="dxa"/>
              <w:end w:w="85" w:type="dxa"/>
            </w:tcMar>
            <w:shd w:fill="F3F6FA"/>
          </w:tcPr>
          <w:p>
            <w:pPr>
              <w:spacing w:after="20"/>
              <w:jc w:val="left"/>
            </w:pPr>
            <w:r>
              <w:rPr>
                <w:sz w:val="18"/>
              </w:rPr>
              <w:t>Tension attraction</w:t>
            </w:r>
          </w:p>
        </w:tc>
        <w:tc>
          <w:tcPr>
            <w:tcW w:type="dxa" w:w="1656"/>
            <w:vAlign w:val="center"/>
            <w:tcMar>
              <w:top w:w="65" w:type="dxa"/>
              <w:start w:w="85" w:type="dxa"/>
              <w:bottom w:w="65" w:type="dxa"/>
              <w:end w:w="85" w:type="dxa"/>
            </w:tcMar>
          </w:tcPr>
          <w:p>
            <w:pPr>
              <w:spacing w:after="20"/>
              <w:jc w:val="center"/>
            </w:pPr>
            <w:r>
              <w:rPr>
                <w:sz w:val="18"/>
              </w:rPr>
              <w:t>Balance @ 0.45</w:t>
            </w:r>
          </w:p>
        </w:tc>
        <w:tc>
          <w:tcPr>
            <w:tcW w:type="dxa" w:w="1584"/>
            <w:vAlign w:val="center"/>
            <w:tcMar>
              <w:top w:w="65" w:type="dxa"/>
              <w:start w:w="85" w:type="dxa"/>
              <w:bottom w:w="65" w:type="dxa"/>
              <w:end w:w="85" w:type="dxa"/>
            </w:tcMar>
          </w:tcPr>
          <w:p>
            <w:pPr>
              <w:spacing w:after="20"/>
              <w:jc w:val="center"/>
            </w:pPr>
            <w:r>
              <w:rPr>
                <w:sz w:val="18"/>
              </w:rPr>
              <w:t>10%</w:t>
            </w:r>
          </w:p>
        </w:tc>
        <w:tc>
          <w:tcPr>
            <w:tcW w:type="dxa" w:w="4968"/>
            <w:vAlign w:val="center"/>
            <w:tcMar>
              <w:top w:w="65" w:type="dxa"/>
              <w:start w:w="85" w:type="dxa"/>
              <w:bottom w:w="65" w:type="dxa"/>
              <w:end w:w="85" w:type="dxa"/>
            </w:tcMar>
          </w:tcPr>
          <w:p>
            <w:pPr>
              <w:spacing w:after="20"/>
              <w:jc w:val="left"/>
            </w:pPr>
            <w:r>
              <w:rPr>
                <w:sz w:val="18"/>
              </w:rPr>
              <w:t>Prevents both people from confusing drama for chemistry</w:t>
            </w:r>
          </w:p>
        </w:tc>
      </w:tr>
      <w:tr>
        <w:tc>
          <w:tcPr>
            <w:tcW w:type="dxa" w:w="2232"/>
            <w:vAlign w:val="center"/>
            <w:tcMar>
              <w:top w:w="65" w:type="dxa"/>
              <w:start w:w="85" w:type="dxa"/>
              <w:bottom w:w="65" w:type="dxa"/>
              <w:end w:w="85" w:type="dxa"/>
            </w:tcMar>
            <w:shd w:fill="F3F6FA"/>
          </w:tcPr>
          <w:p>
            <w:pPr>
              <w:spacing w:after="20"/>
              <w:jc w:val="left"/>
            </w:pPr>
            <w:r>
              <w:rPr>
                <w:sz w:val="18"/>
              </w:rPr>
              <w:t>Structure preference</w:t>
            </w:r>
          </w:p>
        </w:tc>
        <w:tc>
          <w:tcPr>
            <w:tcW w:type="dxa" w:w="1656"/>
            <w:vAlign w:val="center"/>
            <w:tcMar>
              <w:top w:w="65" w:type="dxa"/>
              <w:start w:w="85" w:type="dxa"/>
              <w:bottom w:w="65" w:type="dxa"/>
              <w:end w:w="85" w:type="dxa"/>
            </w:tcMar>
          </w:tcPr>
          <w:p>
            <w:pPr>
              <w:spacing w:after="20"/>
              <w:jc w:val="center"/>
            </w:pPr>
            <w:r>
              <w:rPr>
                <w:sz w:val="18"/>
              </w:rPr>
              <w:t>Similarity</w:t>
            </w:r>
          </w:p>
        </w:tc>
        <w:tc>
          <w:tcPr>
            <w:tcW w:type="dxa" w:w="1584"/>
            <w:vAlign w:val="center"/>
            <w:tcMar>
              <w:top w:w="65" w:type="dxa"/>
              <w:start w:w="85" w:type="dxa"/>
              <w:bottom w:w="65" w:type="dxa"/>
              <w:end w:w="85" w:type="dxa"/>
            </w:tcMar>
          </w:tcPr>
          <w:p>
            <w:pPr>
              <w:spacing w:after="20"/>
              <w:jc w:val="center"/>
            </w:pPr>
            <w:r>
              <w:rPr>
                <w:sz w:val="18"/>
              </w:rPr>
              <w:t>8%</w:t>
            </w:r>
          </w:p>
        </w:tc>
        <w:tc>
          <w:tcPr>
            <w:tcW w:type="dxa" w:w="4968"/>
            <w:vAlign w:val="center"/>
            <w:tcMar>
              <w:top w:w="65" w:type="dxa"/>
              <w:start w:w="85" w:type="dxa"/>
              <w:bottom w:w="65" w:type="dxa"/>
              <w:end w:w="85" w:type="dxa"/>
            </w:tcMar>
          </w:tcPr>
          <w:p>
            <w:pPr>
              <w:spacing w:after="20"/>
              <w:jc w:val="left"/>
            </w:pPr>
            <w:r>
              <w:rPr>
                <w:sz w:val="18"/>
              </w:rPr>
              <w:t>Whether the pair wants similar relational shape</w:t>
            </w:r>
          </w:p>
        </w:tc>
      </w:tr>
      <w:tr>
        <w:tc>
          <w:tcPr>
            <w:tcW w:type="dxa" w:w="2232"/>
            <w:vAlign w:val="center"/>
            <w:tcMar>
              <w:top w:w="65" w:type="dxa"/>
              <w:start w:w="85" w:type="dxa"/>
              <w:bottom w:w="65" w:type="dxa"/>
              <w:end w:w="85" w:type="dxa"/>
            </w:tcMar>
            <w:shd w:fill="F3F6FA"/>
          </w:tcPr>
          <w:p>
            <w:pPr>
              <w:spacing w:after="20"/>
              <w:jc w:val="left"/>
            </w:pPr>
            <w:r>
              <w:rPr>
                <w:sz w:val="18"/>
              </w:rPr>
              <w:t>Energetic flexibility</w:t>
            </w:r>
          </w:p>
        </w:tc>
        <w:tc>
          <w:tcPr>
            <w:tcW w:type="dxa" w:w="1656"/>
            <w:vAlign w:val="center"/>
            <w:tcMar>
              <w:top w:w="65" w:type="dxa"/>
              <w:start w:w="85" w:type="dxa"/>
              <w:bottom w:w="65" w:type="dxa"/>
              <w:end w:w="85" w:type="dxa"/>
            </w:tcMar>
          </w:tcPr>
          <w:p>
            <w:pPr>
              <w:spacing w:after="20"/>
              <w:jc w:val="center"/>
            </w:pPr>
            <w:r>
              <w:rPr>
                <w:sz w:val="18"/>
              </w:rPr>
              <w:t>Similarity</w:t>
            </w:r>
          </w:p>
        </w:tc>
        <w:tc>
          <w:tcPr>
            <w:tcW w:type="dxa" w:w="1584"/>
            <w:vAlign w:val="center"/>
            <w:tcMar>
              <w:top w:w="65" w:type="dxa"/>
              <w:start w:w="85" w:type="dxa"/>
              <w:bottom w:w="65" w:type="dxa"/>
              <w:end w:w="85" w:type="dxa"/>
            </w:tcMar>
          </w:tcPr>
          <w:p>
            <w:pPr>
              <w:spacing w:after="20"/>
              <w:jc w:val="center"/>
            </w:pPr>
            <w:r>
              <w:rPr>
                <w:sz w:val="18"/>
              </w:rPr>
              <w:t>6%</w:t>
            </w:r>
          </w:p>
        </w:tc>
        <w:tc>
          <w:tcPr>
            <w:tcW w:type="dxa" w:w="4968"/>
            <w:vAlign w:val="center"/>
            <w:tcMar>
              <w:top w:w="65" w:type="dxa"/>
              <w:start w:w="85" w:type="dxa"/>
              <w:bottom w:w="65" w:type="dxa"/>
              <w:end w:w="85" w:type="dxa"/>
            </w:tcMar>
          </w:tcPr>
          <w:p>
            <w:pPr>
              <w:spacing w:after="20"/>
              <w:jc w:val="left"/>
            </w:pPr>
            <w:r>
              <w:rPr>
                <w:sz w:val="18"/>
              </w:rPr>
              <w:t>Ability to move between leading, softening, and receiving</w:t>
            </w:r>
          </w:p>
        </w:tc>
      </w:tr>
      <w:tr>
        <w:tc>
          <w:tcPr>
            <w:tcW w:type="dxa" w:w="2232"/>
            <w:vAlign w:val="center"/>
            <w:tcMar>
              <w:top w:w="65" w:type="dxa"/>
              <w:start w:w="85" w:type="dxa"/>
              <w:bottom w:w="65" w:type="dxa"/>
              <w:end w:w="85" w:type="dxa"/>
            </w:tcMar>
            <w:shd w:fill="F3F6FA"/>
          </w:tcPr>
          <w:p>
            <w:pPr>
              <w:spacing w:after="20"/>
              <w:jc w:val="left"/>
            </w:pPr>
            <w:r>
              <w:rPr>
                <w:sz w:val="18"/>
              </w:rPr>
              <w:t>Validation dependency</w:t>
            </w:r>
          </w:p>
        </w:tc>
        <w:tc>
          <w:tcPr>
            <w:tcW w:type="dxa" w:w="1656"/>
            <w:vAlign w:val="center"/>
            <w:tcMar>
              <w:top w:w="65" w:type="dxa"/>
              <w:start w:w="85" w:type="dxa"/>
              <w:bottom w:w="65" w:type="dxa"/>
              <w:end w:w="85" w:type="dxa"/>
            </w:tcMar>
          </w:tcPr>
          <w:p>
            <w:pPr>
              <w:spacing w:after="20"/>
              <w:jc w:val="center"/>
            </w:pPr>
            <w:r>
              <w:rPr>
                <w:sz w:val="18"/>
              </w:rPr>
              <w:t>Balance @ 0.40</w:t>
            </w:r>
          </w:p>
        </w:tc>
        <w:tc>
          <w:tcPr>
            <w:tcW w:type="dxa" w:w="1584"/>
            <w:vAlign w:val="center"/>
            <w:tcMar>
              <w:top w:w="65" w:type="dxa"/>
              <w:start w:w="85" w:type="dxa"/>
              <w:bottom w:w="65" w:type="dxa"/>
              <w:end w:w="85" w:type="dxa"/>
            </w:tcMar>
          </w:tcPr>
          <w:p>
            <w:pPr>
              <w:spacing w:after="20"/>
              <w:jc w:val="center"/>
            </w:pPr>
            <w:r>
              <w:rPr>
                <w:sz w:val="18"/>
              </w:rPr>
              <w:t>4%</w:t>
            </w:r>
          </w:p>
        </w:tc>
        <w:tc>
          <w:tcPr>
            <w:tcW w:type="dxa" w:w="4968"/>
            <w:vAlign w:val="center"/>
            <w:tcMar>
              <w:top w:w="65" w:type="dxa"/>
              <w:start w:w="85" w:type="dxa"/>
              <w:bottom w:w="65" w:type="dxa"/>
              <w:end w:w="85" w:type="dxa"/>
            </w:tcMar>
          </w:tcPr>
          <w:p>
            <w:pPr>
              <w:spacing w:after="20"/>
              <w:jc w:val="left"/>
            </w:pPr>
            <w:r>
              <w:rPr>
                <w:sz w:val="18"/>
              </w:rPr>
              <w:t>Flags chemistry that depends on being wanted or chased</w:t>
            </w:r>
          </w:p>
        </w:tc>
      </w:tr>
      <w:tr>
        <w:tc>
          <w:tcPr>
            <w:tcW w:type="dxa" w:w="2232"/>
            <w:vAlign w:val="center"/>
            <w:tcMar>
              <w:top w:w="65" w:type="dxa"/>
              <w:start w:w="85" w:type="dxa"/>
              <w:bottom w:w="65" w:type="dxa"/>
              <w:end w:w="85" w:type="dxa"/>
            </w:tcMar>
            <w:shd w:fill="F3F6FA"/>
          </w:tcPr>
          <w:p>
            <w:pPr>
              <w:spacing w:after="20"/>
              <w:jc w:val="left"/>
            </w:pPr>
            <w:r>
              <w:rPr>
                <w:sz w:val="18"/>
              </w:rPr>
              <w:t>Erotic-safety alignment</w:t>
            </w:r>
          </w:p>
        </w:tc>
        <w:tc>
          <w:tcPr>
            <w:tcW w:type="dxa" w:w="1656"/>
            <w:vAlign w:val="center"/>
            <w:tcMar>
              <w:top w:w="65" w:type="dxa"/>
              <w:start w:w="85" w:type="dxa"/>
              <w:bottom w:w="65" w:type="dxa"/>
              <w:end w:w="85" w:type="dxa"/>
            </w:tcMar>
          </w:tcPr>
          <w:p>
            <w:pPr>
              <w:spacing w:after="20"/>
              <w:jc w:val="center"/>
            </w:pPr>
            <w:r>
              <w:rPr>
                <w:sz w:val="18"/>
              </w:rPr>
              <w:t>Similarity</w:t>
            </w:r>
          </w:p>
        </w:tc>
        <w:tc>
          <w:tcPr>
            <w:tcW w:type="dxa" w:w="1584"/>
            <w:vAlign w:val="center"/>
            <w:tcMar>
              <w:top w:w="65" w:type="dxa"/>
              <w:start w:w="85" w:type="dxa"/>
              <w:bottom w:w="65" w:type="dxa"/>
              <w:end w:w="85" w:type="dxa"/>
            </w:tcMar>
          </w:tcPr>
          <w:p>
            <w:pPr>
              <w:spacing w:after="20"/>
              <w:jc w:val="center"/>
            </w:pPr>
            <w:r>
              <w:rPr>
                <w:sz w:val="18"/>
              </w:rPr>
              <w:t>4%</w:t>
            </w:r>
          </w:p>
        </w:tc>
        <w:tc>
          <w:tcPr>
            <w:tcW w:type="dxa" w:w="4968"/>
            <w:vAlign w:val="center"/>
            <w:tcMar>
              <w:top w:w="65" w:type="dxa"/>
              <w:start w:w="85" w:type="dxa"/>
              <w:bottom w:w="65" w:type="dxa"/>
              <w:end w:w="85" w:type="dxa"/>
            </w:tcMar>
          </w:tcPr>
          <w:p>
            <w:pPr>
              <w:spacing w:after="20"/>
              <w:jc w:val="left"/>
            </w:pPr>
            <w:r>
              <w:rPr>
                <w:sz w:val="18"/>
              </w:rPr>
              <w:t>Whether desire and safety reinforce rather than split</w:t>
            </w:r>
          </w:p>
        </w:tc>
      </w:tr>
    </w:tbl>
    <w:p/>
    <w:p>
      <w:pPr>
        <w:pStyle w:val="Heading2"/>
      </w:pPr>
      <w:r>
        <w:t>4.4 Human Emotion Genome families</w:t>
      </w:r>
    </w:p>
    <w:tbl>
      <w:tblPr>
        <w:tblStyle w:val="TableGrid"/>
        <w:tblW w:type="auto" w:w="0"/>
        <w:jc w:val="center"/>
        <w:tblLayout w:type="fixed"/>
        <w:tblLook w:firstColumn="1" w:firstRow="1" w:lastColumn="0" w:lastRow="0" w:noHBand="0" w:noVBand="1" w:val="04A0"/>
        <w:tblBorders>
          <w:top w:val="single" w:sz="6" w:space="0" w:color="C8D1DD"/>
          <w:left w:val="single" w:sz="6" w:space="0" w:color="C8D1DD"/>
          <w:bottom w:val="single" w:sz="6" w:space="0" w:color="C8D1DD"/>
          <w:right w:val="single" w:sz="6" w:space="0" w:color="C8D1DD"/>
          <w:insideH w:val="single" w:sz="6" w:space="0" w:color="C8D1DD"/>
          <w:insideV w:val="single" w:sz="6" w:space="0" w:color="C8D1DD"/>
        </w:tblBorders>
      </w:tblPr>
      <w:tblGrid>
        <w:gridCol w:w="3312"/>
        <w:gridCol w:w="3312"/>
        <w:gridCol w:w="3312"/>
      </w:tblGrid>
      <w:tr>
        <w:trPr>
          <w:tblHeader w:val="true"/>
        </w:trPr>
        <w:tc>
          <w:tcPr>
            <w:tcW w:type="dxa" w:w="1944"/>
            <w:vAlign w:val="center"/>
            <w:shd w:fill="DCE6F2"/>
            <w:tcMar>
              <w:top w:w="70" w:type="dxa"/>
              <w:start w:w="90" w:type="dxa"/>
              <w:bottom w:w="70" w:type="dxa"/>
              <w:end w:w="90" w:type="dxa"/>
            </w:tcMar>
          </w:tcPr>
          <w:p>
            <w:pPr>
              <w:jc w:val="center"/>
            </w:pPr>
            <w:r>
              <w:rPr>
                <w:b/>
                <w:color w:val="18365D"/>
                <w:sz w:val="19"/>
              </w:rPr>
              <w:t>Family</w:t>
            </w:r>
          </w:p>
        </w:tc>
        <w:tc>
          <w:tcPr>
            <w:tcW w:type="dxa" w:w="5472"/>
            <w:vAlign w:val="center"/>
            <w:shd w:fill="DCE6F2"/>
            <w:tcMar>
              <w:top w:w="70" w:type="dxa"/>
              <w:start w:w="90" w:type="dxa"/>
              <w:bottom w:w="70" w:type="dxa"/>
              <w:end w:w="90" w:type="dxa"/>
            </w:tcMar>
          </w:tcPr>
          <w:p>
            <w:pPr>
              <w:jc w:val="center"/>
            </w:pPr>
            <w:r>
              <w:rPr>
                <w:b/>
                <w:color w:val="18365D"/>
                <w:sz w:val="19"/>
              </w:rPr>
              <w:t>Examples</w:t>
            </w:r>
          </w:p>
        </w:tc>
        <w:tc>
          <w:tcPr>
            <w:tcW w:type="dxa" w:w="2304"/>
            <w:vAlign w:val="center"/>
            <w:shd w:fill="DCE6F2"/>
            <w:tcMar>
              <w:top w:w="70" w:type="dxa"/>
              <w:start w:w="90" w:type="dxa"/>
              <w:bottom w:w="70" w:type="dxa"/>
              <w:end w:w="90" w:type="dxa"/>
            </w:tcMar>
          </w:tcPr>
          <w:p>
            <w:pPr>
              <w:jc w:val="center"/>
            </w:pPr>
            <w:r>
              <w:rPr>
                <w:b/>
                <w:color w:val="18365D"/>
                <w:sz w:val="19"/>
              </w:rPr>
              <w:t>Update lane</w:t>
            </w:r>
          </w:p>
        </w:tc>
      </w:tr>
      <w:tr>
        <w:tc>
          <w:tcPr>
            <w:tcW w:type="dxa" w:w="1944"/>
            <w:vAlign w:val="center"/>
            <w:tcMar>
              <w:top w:w="65" w:type="dxa"/>
              <w:start w:w="85" w:type="dxa"/>
              <w:bottom w:w="65" w:type="dxa"/>
              <w:end w:w="85" w:type="dxa"/>
            </w:tcMar>
            <w:shd w:fill="F3F6FA"/>
          </w:tcPr>
          <w:p>
            <w:pPr>
              <w:spacing w:after="20"/>
              <w:jc w:val="left"/>
            </w:pPr>
            <w:r>
              <w:rPr>
                <w:sz w:val="18"/>
              </w:rPr>
              <w:t>Tone profile</w:t>
            </w:r>
          </w:p>
        </w:tc>
        <w:tc>
          <w:tcPr>
            <w:tcW w:type="dxa" w:w="5472"/>
            <w:vAlign w:val="center"/>
            <w:tcMar>
              <w:top w:w="65" w:type="dxa"/>
              <w:start w:w="85" w:type="dxa"/>
              <w:bottom w:w="65" w:type="dxa"/>
              <w:end w:w="85" w:type="dxa"/>
            </w:tcMar>
          </w:tcPr>
          <w:p>
            <w:pPr>
              <w:spacing w:after="20"/>
              <w:jc w:val="left"/>
            </w:pPr>
            <w:r>
              <w:rPr>
                <w:sz w:val="18"/>
              </w:rPr>
              <w:t>warm open, dry detached, qualifier-heavy, self-blaming, accusatory, overexplaining</w:t>
            </w:r>
          </w:p>
        </w:tc>
        <w:tc>
          <w:tcPr>
            <w:tcW w:type="dxa" w:w="2304"/>
            <w:vAlign w:val="center"/>
            <w:tcMar>
              <w:top w:w="65" w:type="dxa"/>
              <w:start w:w="85" w:type="dxa"/>
              <w:bottom w:w="65" w:type="dxa"/>
              <w:end w:w="85" w:type="dxa"/>
            </w:tcMar>
          </w:tcPr>
          <w:p>
            <w:pPr>
              <w:spacing w:after="20"/>
              <w:jc w:val="center"/>
            </w:pPr>
            <w:r>
              <w:rPr>
                <w:sz w:val="18"/>
              </w:rPr>
              <w:t>Medium</w:t>
            </w:r>
          </w:p>
        </w:tc>
      </w:tr>
      <w:tr>
        <w:tc>
          <w:tcPr>
            <w:tcW w:type="dxa" w:w="1944"/>
            <w:vAlign w:val="center"/>
            <w:tcMar>
              <w:top w:w="65" w:type="dxa"/>
              <w:start w:w="85" w:type="dxa"/>
              <w:bottom w:w="65" w:type="dxa"/>
              <w:end w:w="85" w:type="dxa"/>
            </w:tcMar>
            <w:shd w:fill="F3F6FA"/>
          </w:tcPr>
          <w:p>
            <w:pPr>
              <w:spacing w:after="20"/>
              <w:jc w:val="left"/>
            </w:pPr>
            <w:r>
              <w:rPr>
                <w:sz w:val="18"/>
              </w:rPr>
              <w:t>Phrasing / stance</w:t>
            </w:r>
          </w:p>
        </w:tc>
        <w:tc>
          <w:tcPr>
            <w:tcW w:type="dxa" w:w="5472"/>
            <w:vAlign w:val="center"/>
            <w:tcMar>
              <w:top w:w="65" w:type="dxa"/>
              <w:start w:w="85" w:type="dxa"/>
              <w:bottom w:w="65" w:type="dxa"/>
              <w:end w:w="85" w:type="dxa"/>
            </w:tcMar>
          </w:tcPr>
          <w:p>
            <w:pPr>
              <w:spacing w:after="20"/>
              <w:jc w:val="left"/>
            </w:pPr>
            <w:r>
              <w:rPr>
                <w:sz w:val="18"/>
              </w:rPr>
              <w:t>joking deflection, mind-reading, absolute language, peacekeeping, reassurance seeking</w:t>
            </w:r>
          </w:p>
        </w:tc>
        <w:tc>
          <w:tcPr>
            <w:tcW w:type="dxa" w:w="2304"/>
            <w:vAlign w:val="center"/>
            <w:tcMar>
              <w:top w:w="65" w:type="dxa"/>
              <w:start w:w="85" w:type="dxa"/>
              <w:bottom w:w="65" w:type="dxa"/>
              <w:end w:w="85" w:type="dxa"/>
            </w:tcMar>
          </w:tcPr>
          <w:p>
            <w:pPr>
              <w:spacing w:after="20"/>
              <w:jc w:val="center"/>
            </w:pPr>
            <w:r>
              <w:rPr>
                <w:sz w:val="18"/>
              </w:rPr>
              <w:t>Medium</w:t>
            </w:r>
          </w:p>
        </w:tc>
      </w:tr>
      <w:tr>
        <w:tc>
          <w:tcPr>
            <w:tcW w:type="dxa" w:w="1944"/>
            <w:vAlign w:val="center"/>
            <w:tcMar>
              <w:top w:w="65" w:type="dxa"/>
              <w:start w:w="85" w:type="dxa"/>
              <w:bottom w:w="65" w:type="dxa"/>
              <w:end w:w="85" w:type="dxa"/>
            </w:tcMar>
            <w:shd w:fill="F3F6FA"/>
          </w:tcPr>
          <w:p>
            <w:pPr>
              <w:spacing w:after="20"/>
              <w:jc w:val="left"/>
            </w:pPr>
            <w:r>
              <w:rPr>
                <w:sz w:val="18"/>
              </w:rPr>
              <w:t>Behavior patterns</w:t>
            </w:r>
          </w:p>
        </w:tc>
        <w:tc>
          <w:tcPr>
            <w:tcW w:type="dxa" w:w="5472"/>
            <w:vAlign w:val="center"/>
            <w:tcMar>
              <w:top w:w="65" w:type="dxa"/>
              <w:start w:w="85" w:type="dxa"/>
              <w:bottom w:w="65" w:type="dxa"/>
              <w:end w:w="85" w:type="dxa"/>
            </w:tcMar>
          </w:tcPr>
          <w:p>
            <w:pPr>
              <w:spacing w:after="20"/>
              <w:jc w:val="left"/>
            </w:pPr>
            <w:r>
              <w:rPr>
                <w:sz w:val="18"/>
              </w:rPr>
              <w:t>pursuer, distancer, appeaser, scorekeeper, repair oriented, preemptive withdrawal</w:t>
            </w:r>
          </w:p>
        </w:tc>
        <w:tc>
          <w:tcPr>
            <w:tcW w:type="dxa" w:w="2304"/>
            <w:vAlign w:val="center"/>
            <w:tcMar>
              <w:top w:w="65" w:type="dxa"/>
              <w:start w:w="85" w:type="dxa"/>
              <w:bottom w:w="65" w:type="dxa"/>
              <w:end w:w="85" w:type="dxa"/>
            </w:tcMar>
          </w:tcPr>
          <w:p>
            <w:pPr>
              <w:spacing w:after="20"/>
              <w:jc w:val="center"/>
            </w:pPr>
            <w:r>
              <w:rPr>
                <w:sz w:val="18"/>
              </w:rPr>
              <w:t>Medium</w:t>
            </w:r>
          </w:p>
        </w:tc>
      </w:tr>
      <w:tr>
        <w:tc>
          <w:tcPr>
            <w:tcW w:type="dxa" w:w="1944"/>
            <w:vAlign w:val="center"/>
            <w:tcMar>
              <w:top w:w="65" w:type="dxa"/>
              <w:start w:w="85" w:type="dxa"/>
              <w:bottom w:w="65" w:type="dxa"/>
              <w:end w:w="85" w:type="dxa"/>
            </w:tcMar>
            <w:shd w:fill="F3F6FA"/>
          </w:tcPr>
          <w:p>
            <w:pPr>
              <w:spacing w:after="20"/>
              <w:jc w:val="left"/>
            </w:pPr>
            <w:r>
              <w:rPr>
                <w:sz w:val="18"/>
              </w:rPr>
              <w:t>Narrative themes</w:t>
            </w:r>
          </w:p>
        </w:tc>
        <w:tc>
          <w:tcPr>
            <w:tcW w:type="dxa" w:w="5472"/>
            <w:vAlign w:val="center"/>
            <w:tcMar>
              <w:top w:w="65" w:type="dxa"/>
              <w:start w:w="85" w:type="dxa"/>
              <w:bottom w:w="65" w:type="dxa"/>
              <w:end w:w="85" w:type="dxa"/>
            </w:tcMar>
          </w:tcPr>
          <w:p>
            <w:pPr>
              <w:spacing w:after="20"/>
              <w:jc w:val="left"/>
            </w:pPr>
            <w:r>
              <w:rPr>
                <w:sz w:val="18"/>
              </w:rPr>
              <w:t>abandonment fear, self-erasure, trust fracture, control avoidance, safety craving</w:t>
            </w:r>
          </w:p>
        </w:tc>
        <w:tc>
          <w:tcPr>
            <w:tcW w:type="dxa" w:w="2304"/>
            <w:vAlign w:val="center"/>
            <w:tcMar>
              <w:top w:w="65" w:type="dxa"/>
              <w:start w:w="85" w:type="dxa"/>
              <w:bottom w:w="65" w:type="dxa"/>
              <w:end w:w="85" w:type="dxa"/>
            </w:tcMar>
          </w:tcPr>
          <w:p>
            <w:pPr>
              <w:spacing w:after="20"/>
              <w:jc w:val="center"/>
            </w:pPr>
            <w:r>
              <w:rPr>
                <w:sz w:val="18"/>
              </w:rPr>
              <w:t>Medium</w:t>
            </w:r>
          </w:p>
        </w:tc>
      </w:tr>
      <w:tr>
        <w:tc>
          <w:tcPr>
            <w:tcW w:type="dxa" w:w="1944"/>
            <w:vAlign w:val="center"/>
            <w:tcMar>
              <w:top w:w="65" w:type="dxa"/>
              <w:start w:w="85" w:type="dxa"/>
              <w:bottom w:w="65" w:type="dxa"/>
              <w:end w:w="85" w:type="dxa"/>
            </w:tcMar>
            <w:shd w:fill="F3F6FA"/>
          </w:tcPr>
          <w:p>
            <w:pPr>
              <w:spacing w:after="20"/>
              <w:jc w:val="left"/>
            </w:pPr>
            <w:r>
              <w:rPr>
                <w:sz w:val="18"/>
              </w:rPr>
              <w:t>Trigger classes</w:t>
            </w:r>
          </w:p>
        </w:tc>
        <w:tc>
          <w:tcPr>
            <w:tcW w:type="dxa" w:w="5472"/>
            <w:vAlign w:val="center"/>
            <w:tcMar>
              <w:top w:w="65" w:type="dxa"/>
              <w:start w:w="85" w:type="dxa"/>
              <w:bottom w:w="65" w:type="dxa"/>
              <w:end w:w="85" w:type="dxa"/>
            </w:tcMar>
          </w:tcPr>
          <w:p>
            <w:pPr>
              <w:spacing w:after="20"/>
              <w:jc w:val="left"/>
            </w:pPr>
            <w:r>
              <w:rPr>
                <w:sz w:val="18"/>
              </w:rPr>
              <w:t>delay, cold tone, mixed signals, pressure, secrecy, ambiguity</w:t>
            </w:r>
          </w:p>
        </w:tc>
        <w:tc>
          <w:tcPr>
            <w:tcW w:type="dxa" w:w="2304"/>
            <w:vAlign w:val="center"/>
            <w:tcMar>
              <w:top w:w="65" w:type="dxa"/>
              <w:start w:w="85" w:type="dxa"/>
              <w:bottom w:w="65" w:type="dxa"/>
              <w:end w:w="85" w:type="dxa"/>
            </w:tcMar>
          </w:tcPr>
          <w:p>
            <w:pPr>
              <w:spacing w:after="20"/>
              <w:jc w:val="center"/>
            </w:pPr>
            <w:r>
              <w:rPr>
                <w:sz w:val="18"/>
              </w:rPr>
              <w:t>Medium</w:t>
            </w:r>
          </w:p>
        </w:tc>
      </w:tr>
      <w:tr>
        <w:tc>
          <w:tcPr>
            <w:tcW w:type="dxa" w:w="1944"/>
            <w:vAlign w:val="center"/>
            <w:tcMar>
              <w:top w:w="65" w:type="dxa"/>
              <w:start w:w="85" w:type="dxa"/>
              <w:bottom w:w="65" w:type="dxa"/>
              <w:end w:w="85" w:type="dxa"/>
            </w:tcMar>
            <w:shd w:fill="F3F6FA"/>
          </w:tcPr>
          <w:p>
            <w:pPr>
              <w:spacing w:after="20"/>
              <w:jc w:val="left"/>
            </w:pPr>
            <w:r>
              <w:rPr>
                <w:sz w:val="18"/>
              </w:rPr>
              <w:t>Boundary / need signals</w:t>
            </w:r>
          </w:p>
        </w:tc>
        <w:tc>
          <w:tcPr>
            <w:tcW w:type="dxa" w:w="5472"/>
            <w:vAlign w:val="center"/>
            <w:tcMar>
              <w:top w:w="65" w:type="dxa"/>
              <w:start w:w="85" w:type="dxa"/>
              <w:bottom w:w="65" w:type="dxa"/>
              <w:end w:w="85" w:type="dxa"/>
            </w:tcMar>
          </w:tcPr>
          <w:p>
            <w:pPr>
              <w:spacing w:after="20"/>
              <w:jc w:val="left"/>
            </w:pPr>
            <w:r>
              <w:rPr>
                <w:sz w:val="18"/>
              </w:rPr>
              <w:t>pace protection, directness preference, space need, transparency need</w:t>
            </w:r>
          </w:p>
        </w:tc>
        <w:tc>
          <w:tcPr>
            <w:tcW w:type="dxa" w:w="2304"/>
            <w:vAlign w:val="center"/>
            <w:tcMar>
              <w:top w:w="65" w:type="dxa"/>
              <w:start w:w="85" w:type="dxa"/>
              <w:bottom w:w="65" w:type="dxa"/>
              <w:end w:w="85" w:type="dxa"/>
            </w:tcMar>
          </w:tcPr>
          <w:p>
            <w:pPr>
              <w:spacing w:after="20"/>
              <w:jc w:val="center"/>
            </w:pPr>
            <w:r>
              <w:rPr>
                <w:sz w:val="18"/>
              </w:rPr>
              <w:t>Medium</w:t>
            </w:r>
          </w:p>
        </w:tc>
      </w:tr>
      <w:tr>
        <w:tc>
          <w:tcPr>
            <w:tcW w:type="dxa" w:w="1944"/>
            <w:vAlign w:val="center"/>
            <w:tcMar>
              <w:top w:w="65" w:type="dxa"/>
              <w:start w:w="85" w:type="dxa"/>
              <w:bottom w:w="65" w:type="dxa"/>
              <w:end w:w="85" w:type="dxa"/>
            </w:tcMar>
            <w:shd w:fill="F3F6FA"/>
          </w:tcPr>
          <w:p>
            <w:pPr>
              <w:spacing w:after="20"/>
              <w:jc w:val="left"/>
            </w:pPr>
            <w:r>
              <w:rPr>
                <w:sz w:val="18"/>
              </w:rPr>
              <w:t>Regulation markers</w:t>
            </w:r>
          </w:p>
        </w:tc>
        <w:tc>
          <w:tcPr>
            <w:tcW w:type="dxa" w:w="5472"/>
            <w:vAlign w:val="center"/>
            <w:tcMar>
              <w:top w:w="65" w:type="dxa"/>
              <w:start w:w="85" w:type="dxa"/>
              <w:bottom w:w="65" w:type="dxa"/>
              <w:end w:w="85" w:type="dxa"/>
            </w:tcMar>
          </w:tcPr>
          <w:p>
            <w:pPr>
              <w:spacing w:after="20"/>
              <w:jc w:val="left"/>
            </w:pPr>
            <w:r>
              <w:rPr>
                <w:sz w:val="18"/>
              </w:rPr>
              <w:t>shutdown, protest behavior, numbing, self-soothing, restoration ritual</w:t>
            </w:r>
          </w:p>
        </w:tc>
        <w:tc>
          <w:tcPr>
            <w:tcW w:type="dxa" w:w="2304"/>
            <w:vAlign w:val="center"/>
            <w:tcMar>
              <w:top w:w="65" w:type="dxa"/>
              <w:start w:w="85" w:type="dxa"/>
              <w:bottom w:w="65" w:type="dxa"/>
              <w:end w:w="85" w:type="dxa"/>
            </w:tcMar>
          </w:tcPr>
          <w:p>
            <w:pPr>
              <w:spacing w:after="20"/>
              <w:jc w:val="center"/>
            </w:pPr>
            <w:r>
              <w:rPr>
                <w:sz w:val="18"/>
              </w:rPr>
              <w:t>Fast to medium</w:t>
            </w:r>
          </w:p>
        </w:tc>
      </w:tr>
      <w:tr>
        <w:tc>
          <w:tcPr>
            <w:tcW w:type="dxa" w:w="1944"/>
            <w:vAlign w:val="center"/>
            <w:tcMar>
              <w:top w:w="65" w:type="dxa"/>
              <w:start w:w="85" w:type="dxa"/>
              <w:bottom w:w="65" w:type="dxa"/>
              <w:end w:w="85" w:type="dxa"/>
            </w:tcMar>
            <w:shd w:fill="F3F6FA"/>
          </w:tcPr>
          <w:p>
            <w:pPr>
              <w:spacing w:after="20"/>
              <w:jc w:val="left"/>
            </w:pPr>
            <w:r>
              <w:rPr>
                <w:sz w:val="18"/>
              </w:rPr>
              <w:t>Outcome telemetry</w:t>
            </w:r>
          </w:p>
        </w:tc>
        <w:tc>
          <w:tcPr>
            <w:tcW w:type="dxa" w:w="5472"/>
            <w:vAlign w:val="center"/>
            <w:tcMar>
              <w:top w:w="65" w:type="dxa"/>
              <w:start w:w="85" w:type="dxa"/>
              <w:bottom w:w="65" w:type="dxa"/>
              <w:end w:w="85" w:type="dxa"/>
            </w:tcMar>
          </w:tcPr>
          <w:p>
            <w:pPr>
              <w:spacing w:after="20"/>
              <w:jc w:val="left"/>
            </w:pPr>
            <w:r>
              <w:rPr>
                <w:sz w:val="18"/>
              </w:rPr>
              <w:t>follow-through, rupture frequency, repair completion, recovery speed</w:t>
            </w:r>
          </w:p>
        </w:tc>
        <w:tc>
          <w:tcPr>
            <w:tcW w:type="dxa" w:w="2304"/>
            <w:vAlign w:val="center"/>
            <w:tcMar>
              <w:top w:w="65" w:type="dxa"/>
              <w:start w:w="85" w:type="dxa"/>
              <w:bottom w:w="65" w:type="dxa"/>
              <w:end w:w="85" w:type="dxa"/>
            </w:tcMar>
          </w:tcPr>
          <w:p>
            <w:pPr>
              <w:spacing w:after="20"/>
              <w:jc w:val="center"/>
            </w:pPr>
            <w:r>
              <w:rPr>
                <w:sz w:val="18"/>
              </w:rPr>
              <w:t>Fast to medium</w:t>
            </w:r>
          </w:p>
        </w:tc>
      </w:tr>
    </w:tbl>
    <w:p/>
    <w:p>
      <w:pPr>
        <w:pStyle w:val="Heading1"/>
      </w:pPr>
      <w:r>
        <w:t>5. Feature engineering blueprint</w:t>
      </w:r>
    </w:p>
    <w:p>
      <w:r>
        <w:t>The ML feature store should contain governed, versioned features rather than raw prose. Every feature should have a schema key, provenance, freshness window, evidence band, consent scope, and update lane.</w:t>
      </w:r>
    </w:p>
    <w:p>
      <w:pPr>
        <w:pStyle w:val="Heading2"/>
      </w:pPr>
      <w:r>
        <w:t>5.1 Feature classes</w:t>
      </w:r>
    </w:p>
    <w:tbl>
      <w:tblPr>
        <w:tblStyle w:val="TableGrid"/>
        <w:tblW w:type="auto" w:w="0"/>
        <w:jc w:val="center"/>
        <w:tblLayout w:type="fixed"/>
        <w:tblLook w:firstColumn="1" w:firstRow="1" w:lastColumn="0" w:lastRow="0" w:noHBand="0" w:noVBand="1" w:val="04A0"/>
        <w:tblBorders>
          <w:top w:val="single" w:sz="6" w:space="0" w:color="C8D1DD"/>
          <w:left w:val="single" w:sz="6" w:space="0" w:color="C8D1DD"/>
          <w:bottom w:val="single" w:sz="6" w:space="0" w:color="C8D1DD"/>
          <w:right w:val="single" w:sz="6" w:space="0" w:color="C8D1DD"/>
          <w:insideH w:val="single" w:sz="6" w:space="0" w:color="C8D1DD"/>
          <w:insideV w:val="single" w:sz="6" w:space="0" w:color="C8D1DD"/>
        </w:tblBorders>
      </w:tblPr>
      <w:tblGrid>
        <w:gridCol w:w="3312"/>
        <w:gridCol w:w="3312"/>
        <w:gridCol w:w="3312"/>
      </w:tblGrid>
      <w:tr>
        <w:trPr>
          <w:tblHeader w:val="true"/>
        </w:trPr>
        <w:tc>
          <w:tcPr>
            <w:tcW w:type="dxa" w:w="1728"/>
            <w:vAlign w:val="center"/>
            <w:shd w:fill="DCE6F2"/>
            <w:tcMar>
              <w:top w:w="70" w:type="dxa"/>
              <w:start w:w="90" w:type="dxa"/>
              <w:bottom w:w="70" w:type="dxa"/>
              <w:end w:w="90" w:type="dxa"/>
            </w:tcMar>
          </w:tcPr>
          <w:p>
            <w:pPr>
              <w:jc w:val="center"/>
            </w:pPr>
            <w:r>
              <w:rPr>
                <w:b/>
                <w:color w:val="18365D"/>
                <w:sz w:val="19"/>
              </w:rPr>
              <w:t>Class</w:t>
            </w:r>
          </w:p>
        </w:tc>
        <w:tc>
          <w:tcPr>
            <w:tcW w:type="dxa" w:w="5112"/>
            <w:vAlign w:val="center"/>
            <w:shd w:fill="DCE6F2"/>
            <w:tcMar>
              <w:top w:w="70" w:type="dxa"/>
              <w:start w:w="90" w:type="dxa"/>
              <w:bottom w:w="70" w:type="dxa"/>
              <w:end w:w="90" w:type="dxa"/>
            </w:tcMar>
          </w:tcPr>
          <w:p>
            <w:pPr>
              <w:jc w:val="center"/>
            </w:pPr>
            <w:r>
              <w:rPr>
                <w:b/>
                <w:color w:val="18365D"/>
                <w:sz w:val="19"/>
              </w:rPr>
              <w:t>Examples</w:t>
            </w:r>
          </w:p>
        </w:tc>
        <w:tc>
          <w:tcPr>
            <w:tcW w:type="dxa" w:w="2808"/>
            <w:vAlign w:val="center"/>
            <w:shd w:fill="DCE6F2"/>
            <w:tcMar>
              <w:top w:w="70" w:type="dxa"/>
              <w:start w:w="90" w:type="dxa"/>
              <w:bottom w:w="70" w:type="dxa"/>
              <w:end w:w="90" w:type="dxa"/>
            </w:tcMar>
          </w:tcPr>
          <w:p>
            <w:pPr>
              <w:jc w:val="center"/>
            </w:pPr>
            <w:r>
              <w:rPr>
                <w:b/>
                <w:color w:val="18365D"/>
                <w:sz w:val="19"/>
              </w:rPr>
              <w:t>Encoding</w:t>
            </w:r>
          </w:p>
        </w:tc>
      </w:tr>
      <w:tr>
        <w:tc>
          <w:tcPr>
            <w:tcW w:type="dxa" w:w="1728"/>
            <w:vAlign w:val="center"/>
            <w:tcMar>
              <w:top w:w="65" w:type="dxa"/>
              <w:start w:w="85" w:type="dxa"/>
              <w:bottom w:w="65" w:type="dxa"/>
              <w:end w:w="85" w:type="dxa"/>
            </w:tcMar>
            <w:shd w:fill="F3F6FA"/>
          </w:tcPr>
          <w:p>
            <w:pPr>
              <w:spacing w:after="20"/>
              <w:jc w:val="left"/>
            </w:pPr>
            <w:r>
              <w:rPr>
                <w:sz w:val="18"/>
              </w:rPr>
              <w:t>Identity features</w:t>
            </w:r>
          </w:p>
        </w:tc>
        <w:tc>
          <w:tcPr>
            <w:tcW w:type="dxa" w:w="5112"/>
            <w:vAlign w:val="center"/>
            <w:tcMar>
              <w:top w:w="65" w:type="dxa"/>
              <w:start w:w="85" w:type="dxa"/>
              <w:bottom w:w="65" w:type="dxa"/>
              <w:end w:w="85" w:type="dxa"/>
            </w:tcMar>
          </w:tcPr>
          <w:p>
            <w:pPr>
              <w:spacing w:after="20"/>
              <w:jc w:val="left"/>
            </w:pPr>
            <w:r>
              <w:rPr>
                <w:sz w:val="18"/>
              </w:rPr>
              <w:t>archetype distribution, shadow distribution, readiness subscores, polarity axes, attachment-related norms</w:t>
            </w:r>
          </w:p>
        </w:tc>
        <w:tc>
          <w:tcPr>
            <w:tcW w:type="dxa" w:w="2808"/>
            <w:vAlign w:val="center"/>
            <w:tcMar>
              <w:top w:w="65" w:type="dxa"/>
              <w:start w:w="85" w:type="dxa"/>
              <w:bottom w:w="65" w:type="dxa"/>
              <w:end w:w="85" w:type="dxa"/>
            </w:tcMar>
          </w:tcPr>
          <w:p>
            <w:pPr>
              <w:spacing w:after="20"/>
              <w:jc w:val="left"/>
            </w:pPr>
            <w:r>
              <w:rPr>
                <w:sz w:val="18"/>
              </w:rPr>
              <w:t>Float vectors, one-hot or ordinal</w:t>
            </w:r>
          </w:p>
        </w:tc>
      </w:tr>
      <w:tr>
        <w:tc>
          <w:tcPr>
            <w:tcW w:type="dxa" w:w="1728"/>
            <w:vAlign w:val="center"/>
            <w:tcMar>
              <w:top w:w="65" w:type="dxa"/>
              <w:start w:w="85" w:type="dxa"/>
              <w:bottom w:w="65" w:type="dxa"/>
              <w:end w:w="85" w:type="dxa"/>
            </w:tcMar>
            <w:shd w:fill="F3F6FA"/>
          </w:tcPr>
          <w:p>
            <w:pPr>
              <w:spacing w:after="20"/>
              <w:jc w:val="left"/>
            </w:pPr>
            <w:r>
              <w:rPr>
                <w:sz w:val="18"/>
              </w:rPr>
              <w:t>Pair features</w:t>
            </w:r>
          </w:p>
        </w:tc>
        <w:tc>
          <w:tcPr>
            <w:tcW w:type="dxa" w:w="5112"/>
            <w:vAlign w:val="center"/>
            <w:tcMar>
              <w:top w:w="65" w:type="dxa"/>
              <w:start w:w="85" w:type="dxa"/>
              <w:bottom w:w="65" w:type="dxa"/>
              <w:end w:w="85" w:type="dxa"/>
            </w:tcMar>
          </w:tcPr>
          <w:p>
            <w:pPr>
              <w:spacing w:after="20"/>
              <w:jc w:val="left"/>
            </w:pPr>
            <w:r>
              <w:rPr>
                <w:sz w:val="18"/>
              </w:rPr>
              <w:t>compatibility components, pair-rule activations, cluster interactions, zodiac and numerology norms</w:t>
            </w:r>
          </w:p>
        </w:tc>
        <w:tc>
          <w:tcPr>
            <w:tcW w:type="dxa" w:w="2808"/>
            <w:vAlign w:val="center"/>
            <w:tcMar>
              <w:top w:w="65" w:type="dxa"/>
              <w:start w:w="85" w:type="dxa"/>
              <w:bottom w:w="65" w:type="dxa"/>
              <w:end w:w="85" w:type="dxa"/>
            </w:tcMar>
          </w:tcPr>
          <w:p>
            <w:pPr>
              <w:spacing w:after="20"/>
              <w:jc w:val="left"/>
            </w:pPr>
            <w:r>
              <w:rPr>
                <w:sz w:val="18"/>
              </w:rPr>
              <w:t>Float vectors and sparse flags</w:t>
            </w:r>
          </w:p>
        </w:tc>
      </w:tr>
      <w:tr>
        <w:tc>
          <w:tcPr>
            <w:tcW w:type="dxa" w:w="1728"/>
            <w:vAlign w:val="center"/>
            <w:tcMar>
              <w:top w:w="65" w:type="dxa"/>
              <w:start w:w="85" w:type="dxa"/>
              <w:bottom w:w="65" w:type="dxa"/>
              <w:end w:w="85" w:type="dxa"/>
            </w:tcMar>
            <w:shd w:fill="F3F6FA"/>
          </w:tcPr>
          <w:p>
            <w:pPr>
              <w:spacing w:after="20"/>
              <w:jc w:val="left"/>
            </w:pPr>
            <w:r>
              <w:rPr>
                <w:sz w:val="18"/>
              </w:rPr>
              <w:t>Narrative features</w:t>
            </w:r>
          </w:p>
        </w:tc>
        <w:tc>
          <w:tcPr>
            <w:tcW w:type="dxa" w:w="5112"/>
            <w:vAlign w:val="center"/>
            <w:tcMar>
              <w:top w:w="65" w:type="dxa"/>
              <w:start w:w="85" w:type="dxa"/>
              <w:bottom w:w="65" w:type="dxa"/>
              <w:end w:w="85" w:type="dxa"/>
            </w:tcMar>
          </w:tcPr>
          <w:p>
            <w:pPr>
              <w:spacing w:after="20"/>
              <w:jc w:val="left"/>
            </w:pPr>
            <w:r>
              <w:rPr>
                <w:sz w:val="18"/>
              </w:rPr>
              <w:t>theme counts, tone distributions, phrasing signatures, trigger profile</w:t>
            </w:r>
          </w:p>
        </w:tc>
        <w:tc>
          <w:tcPr>
            <w:tcW w:type="dxa" w:w="2808"/>
            <w:vAlign w:val="center"/>
            <w:tcMar>
              <w:top w:w="65" w:type="dxa"/>
              <w:start w:w="85" w:type="dxa"/>
              <w:bottom w:w="65" w:type="dxa"/>
              <w:end w:w="85" w:type="dxa"/>
            </w:tcMar>
          </w:tcPr>
          <w:p>
            <w:pPr>
              <w:spacing w:after="20"/>
              <w:jc w:val="left"/>
            </w:pPr>
            <w:r>
              <w:rPr>
                <w:sz w:val="18"/>
              </w:rPr>
              <w:t>Taxonomy counts + confidence-weighted floats</w:t>
            </w:r>
          </w:p>
        </w:tc>
      </w:tr>
      <w:tr>
        <w:tc>
          <w:tcPr>
            <w:tcW w:type="dxa" w:w="1728"/>
            <w:vAlign w:val="center"/>
            <w:tcMar>
              <w:top w:w="65" w:type="dxa"/>
              <w:start w:w="85" w:type="dxa"/>
              <w:bottom w:w="65" w:type="dxa"/>
              <w:end w:w="85" w:type="dxa"/>
            </w:tcMar>
            <w:shd w:fill="F3F6FA"/>
          </w:tcPr>
          <w:p>
            <w:pPr>
              <w:spacing w:after="20"/>
              <w:jc w:val="left"/>
            </w:pPr>
            <w:r>
              <w:rPr>
                <w:sz w:val="18"/>
              </w:rPr>
              <w:t>State features</w:t>
            </w:r>
          </w:p>
        </w:tc>
        <w:tc>
          <w:tcPr>
            <w:tcW w:type="dxa" w:w="5112"/>
            <w:vAlign w:val="center"/>
            <w:tcMar>
              <w:top w:w="65" w:type="dxa"/>
              <w:start w:w="85" w:type="dxa"/>
              <w:bottom w:w="65" w:type="dxa"/>
              <w:end w:w="85" w:type="dxa"/>
            </w:tcMar>
          </w:tcPr>
          <w:p>
            <w:pPr>
              <w:spacing w:after="20"/>
              <w:jc w:val="left"/>
            </w:pPr>
            <w:r>
              <w:rPr>
                <w:sz w:val="18"/>
              </w:rPr>
              <w:t>activation score, recovery speed, grief load, anger state, Sanctuary usage cadence</w:t>
            </w:r>
          </w:p>
        </w:tc>
        <w:tc>
          <w:tcPr>
            <w:tcW w:type="dxa" w:w="2808"/>
            <w:vAlign w:val="center"/>
            <w:tcMar>
              <w:top w:w="65" w:type="dxa"/>
              <w:start w:w="85" w:type="dxa"/>
              <w:bottom w:w="65" w:type="dxa"/>
              <w:end w:w="85" w:type="dxa"/>
            </w:tcMar>
          </w:tcPr>
          <w:p>
            <w:pPr>
              <w:spacing w:after="20"/>
              <w:jc w:val="left"/>
            </w:pPr>
            <w:r>
              <w:rPr>
                <w:sz w:val="18"/>
              </w:rPr>
              <w:t>Rolling windows and time-series aggregates</w:t>
            </w:r>
          </w:p>
        </w:tc>
      </w:tr>
      <w:tr>
        <w:tc>
          <w:tcPr>
            <w:tcW w:type="dxa" w:w="1728"/>
            <w:vAlign w:val="center"/>
            <w:tcMar>
              <w:top w:w="65" w:type="dxa"/>
              <w:start w:w="85" w:type="dxa"/>
              <w:bottom w:w="65" w:type="dxa"/>
              <w:end w:w="85" w:type="dxa"/>
            </w:tcMar>
            <w:shd w:fill="F3F6FA"/>
          </w:tcPr>
          <w:p>
            <w:pPr>
              <w:spacing w:after="20"/>
              <w:jc w:val="left"/>
            </w:pPr>
            <w:r>
              <w:rPr>
                <w:sz w:val="18"/>
              </w:rPr>
              <w:t>Behavior features</w:t>
            </w:r>
          </w:p>
        </w:tc>
        <w:tc>
          <w:tcPr>
            <w:tcW w:type="dxa" w:w="5112"/>
            <w:vAlign w:val="center"/>
            <w:tcMar>
              <w:top w:w="65" w:type="dxa"/>
              <w:start w:w="85" w:type="dxa"/>
              <w:bottom w:w="65" w:type="dxa"/>
              <w:end w:w="85" w:type="dxa"/>
            </w:tcMar>
          </w:tcPr>
          <w:p>
            <w:pPr>
              <w:spacing w:after="20"/>
              <w:jc w:val="left"/>
            </w:pPr>
            <w:r>
              <w:rPr>
                <w:sz w:val="18"/>
              </w:rPr>
              <w:t>message count, reply latency, reciprocity, ghosting risk, repair latency, follow-through rate</w:t>
            </w:r>
          </w:p>
        </w:tc>
        <w:tc>
          <w:tcPr>
            <w:tcW w:type="dxa" w:w="2808"/>
            <w:vAlign w:val="center"/>
            <w:tcMar>
              <w:top w:w="65" w:type="dxa"/>
              <w:start w:w="85" w:type="dxa"/>
              <w:bottom w:w="65" w:type="dxa"/>
              <w:end w:w="85" w:type="dxa"/>
            </w:tcMar>
          </w:tcPr>
          <w:p>
            <w:pPr>
              <w:spacing w:after="20"/>
              <w:jc w:val="left"/>
            </w:pPr>
            <w:r>
              <w:rPr>
                <w:sz w:val="18"/>
              </w:rPr>
              <w:t>Windowed aggregates and rates</w:t>
            </w:r>
          </w:p>
        </w:tc>
      </w:tr>
      <w:tr>
        <w:tc>
          <w:tcPr>
            <w:tcW w:type="dxa" w:w="1728"/>
            <w:vAlign w:val="center"/>
            <w:tcMar>
              <w:top w:w="65" w:type="dxa"/>
              <w:start w:w="85" w:type="dxa"/>
              <w:bottom w:w="65" w:type="dxa"/>
              <w:end w:w="85" w:type="dxa"/>
            </w:tcMar>
            <w:shd w:fill="F3F6FA"/>
          </w:tcPr>
          <w:p>
            <w:pPr>
              <w:spacing w:after="20"/>
              <w:jc w:val="left"/>
            </w:pPr>
            <w:r>
              <w:rPr>
                <w:sz w:val="18"/>
              </w:rPr>
              <w:t>Governance features</w:t>
            </w:r>
          </w:p>
        </w:tc>
        <w:tc>
          <w:tcPr>
            <w:tcW w:type="dxa" w:w="5112"/>
            <w:vAlign w:val="center"/>
            <w:tcMar>
              <w:top w:w="65" w:type="dxa"/>
              <w:start w:w="85" w:type="dxa"/>
              <w:bottom w:w="65" w:type="dxa"/>
              <w:end w:w="85" w:type="dxa"/>
            </w:tcMar>
          </w:tcPr>
          <w:p>
            <w:pPr>
              <w:spacing w:after="20"/>
              <w:jc w:val="left"/>
            </w:pPr>
            <w:r>
              <w:rPr>
                <w:sz w:val="18"/>
              </w:rPr>
              <w:t>consent scope, evidence density, extraction confidence, deletion history, freshness</w:t>
            </w:r>
          </w:p>
        </w:tc>
        <w:tc>
          <w:tcPr>
            <w:tcW w:type="dxa" w:w="2808"/>
            <w:vAlign w:val="center"/>
            <w:tcMar>
              <w:top w:w="65" w:type="dxa"/>
              <w:start w:w="85" w:type="dxa"/>
              <w:bottom w:w="65" w:type="dxa"/>
              <w:end w:w="85" w:type="dxa"/>
            </w:tcMar>
          </w:tcPr>
          <w:p>
            <w:pPr>
              <w:spacing w:after="20"/>
              <w:jc w:val="left"/>
            </w:pPr>
            <w:r>
              <w:rPr>
                <w:sz w:val="18"/>
              </w:rPr>
              <w:t>Eligibility and confidence gates</w:t>
            </w:r>
          </w:p>
        </w:tc>
      </w:tr>
    </w:tbl>
    <w:p/>
    <w:p>
      <w:pPr>
        <w:pStyle w:val="Heading2"/>
      </w:pPr>
      <w:r>
        <w:t>5.2 Mandatory feature metadata</w:t>
      </w:r>
    </w:p>
    <w:p>
      <w:pPr>
        <w:ind w:left="288" w:hanging="245"/>
      </w:pPr>
      <w:r>
        <w:rPr>
          <w:b/>
        </w:rPr>
        <w:t xml:space="preserve">• </w:t>
      </w:r>
      <w:r>
        <w:t>feature_key, feature_group, schema_version, scoring_version, taxonomy_version, source_system, source_event_ids</w:t>
      </w:r>
    </w:p>
    <w:p>
      <w:pPr>
        <w:ind w:left="288" w:hanging="245"/>
      </w:pPr>
      <w:r>
        <w:rPr>
          <w:b/>
        </w:rPr>
        <w:t xml:space="preserve">• </w:t>
      </w:r>
      <w:r>
        <w:t>user_id or pair_id, time_window_start, time_window_end, freshness_class, evidence_band, confidence_score</w:t>
      </w:r>
    </w:p>
    <w:p>
      <w:pPr>
        <w:ind w:left="288" w:hanging="245"/>
      </w:pPr>
      <w:r>
        <w:rPr>
          <w:b/>
        </w:rPr>
        <w:t xml:space="preserve">• </w:t>
      </w:r>
      <w:r>
        <w:t>consent_scope_required, ai_visible, match_visible, overwrite_policy, aggregation_rule, missing_value_rule</w:t>
      </w:r>
    </w:p>
    <w:p>
      <w:pPr>
        <w:pStyle w:val="Heading2"/>
      </w:pPr>
      <w:r>
        <w:t>5.3 Freshness windows</w:t>
      </w:r>
    </w:p>
    <w:tbl>
      <w:tblPr>
        <w:tblStyle w:val="TableGrid"/>
        <w:tblW w:type="auto" w:w="0"/>
        <w:jc w:val="center"/>
        <w:tblLayout w:type="fixed"/>
        <w:tblLook w:firstColumn="1" w:firstRow="1" w:lastColumn="0" w:lastRow="0" w:noHBand="0" w:noVBand="1" w:val="04A0"/>
        <w:tblBorders>
          <w:top w:val="single" w:sz="6" w:space="0" w:color="C8D1DD"/>
          <w:left w:val="single" w:sz="6" w:space="0" w:color="C8D1DD"/>
          <w:bottom w:val="single" w:sz="6" w:space="0" w:color="C8D1DD"/>
          <w:right w:val="single" w:sz="6" w:space="0" w:color="C8D1DD"/>
          <w:insideH w:val="single" w:sz="6" w:space="0" w:color="C8D1DD"/>
          <w:insideV w:val="single" w:sz="6" w:space="0" w:color="C8D1DD"/>
        </w:tblBorders>
      </w:tblPr>
      <w:tblGrid>
        <w:gridCol w:w="3312"/>
        <w:gridCol w:w="3312"/>
        <w:gridCol w:w="3312"/>
      </w:tblGrid>
      <w:tr>
        <w:trPr>
          <w:tblHeader w:val="true"/>
        </w:trPr>
        <w:tc>
          <w:tcPr>
            <w:tcW w:type="dxa" w:w="1872"/>
            <w:vAlign w:val="center"/>
            <w:shd w:fill="DCE6F2"/>
            <w:tcMar>
              <w:top w:w="70" w:type="dxa"/>
              <w:start w:w="90" w:type="dxa"/>
              <w:bottom w:w="70" w:type="dxa"/>
              <w:end w:w="90" w:type="dxa"/>
            </w:tcMar>
          </w:tcPr>
          <w:p>
            <w:pPr>
              <w:jc w:val="center"/>
            </w:pPr>
            <w:r>
              <w:rPr>
                <w:b/>
                <w:color w:val="18365D"/>
                <w:sz w:val="19"/>
              </w:rPr>
              <w:t>Window class</w:t>
            </w:r>
          </w:p>
        </w:tc>
        <w:tc>
          <w:tcPr>
            <w:tcW w:type="dxa" w:w="2016"/>
            <w:vAlign w:val="center"/>
            <w:shd w:fill="DCE6F2"/>
            <w:tcMar>
              <w:top w:w="70" w:type="dxa"/>
              <w:start w:w="90" w:type="dxa"/>
              <w:bottom w:w="70" w:type="dxa"/>
              <w:end w:w="90" w:type="dxa"/>
            </w:tcMar>
          </w:tcPr>
          <w:p>
            <w:pPr>
              <w:jc w:val="center"/>
            </w:pPr>
            <w:r>
              <w:rPr>
                <w:b/>
                <w:color w:val="18365D"/>
                <w:sz w:val="19"/>
              </w:rPr>
              <w:t>Typical range</w:t>
            </w:r>
          </w:p>
        </w:tc>
        <w:tc>
          <w:tcPr>
            <w:tcW w:type="dxa" w:w="5760"/>
            <w:vAlign w:val="center"/>
            <w:shd w:fill="DCE6F2"/>
            <w:tcMar>
              <w:top w:w="70" w:type="dxa"/>
              <w:start w:w="90" w:type="dxa"/>
              <w:bottom w:w="70" w:type="dxa"/>
              <w:end w:w="90" w:type="dxa"/>
            </w:tcMar>
          </w:tcPr>
          <w:p>
            <w:pPr>
              <w:jc w:val="center"/>
            </w:pPr>
            <w:r>
              <w:rPr>
                <w:b/>
                <w:color w:val="18365D"/>
                <w:sz w:val="19"/>
              </w:rPr>
              <w:t>Used for</w:t>
            </w:r>
          </w:p>
        </w:tc>
      </w:tr>
      <w:tr>
        <w:tc>
          <w:tcPr>
            <w:tcW w:type="dxa" w:w="1872"/>
            <w:vAlign w:val="center"/>
            <w:tcMar>
              <w:top w:w="65" w:type="dxa"/>
              <w:start w:w="85" w:type="dxa"/>
              <w:bottom w:w="65" w:type="dxa"/>
              <w:end w:w="85" w:type="dxa"/>
            </w:tcMar>
            <w:shd w:fill="F3F6FA"/>
          </w:tcPr>
          <w:p>
            <w:pPr>
              <w:spacing w:after="20"/>
              <w:jc w:val="left"/>
            </w:pPr>
            <w:r>
              <w:rPr>
                <w:sz w:val="18"/>
              </w:rPr>
              <w:t>Immediate</w:t>
            </w:r>
          </w:p>
        </w:tc>
        <w:tc>
          <w:tcPr>
            <w:tcW w:type="dxa" w:w="2016"/>
            <w:vAlign w:val="center"/>
            <w:tcMar>
              <w:top w:w="65" w:type="dxa"/>
              <w:start w:w="85" w:type="dxa"/>
              <w:bottom w:w="65" w:type="dxa"/>
              <w:end w:w="85" w:type="dxa"/>
            </w:tcMar>
          </w:tcPr>
          <w:p>
            <w:pPr>
              <w:spacing w:after="20"/>
              <w:jc w:val="left"/>
            </w:pPr>
            <w:r>
              <w:rPr>
                <w:sz w:val="18"/>
              </w:rPr>
              <w:t>single session to 24 hours</w:t>
            </w:r>
          </w:p>
        </w:tc>
        <w:tc>
          <w:tcPr>
            <w:tcW w:type="dxa" w:w="5760"/>
            <w:vAlign w:val="center"/>
            <w:tcMar>
              <w:top w:w="65" w:type="dxa"/>
              <w:start w:w="85" w:type="dxa"/>
              <w:bottom w:w="65" w:type="dxa"/>
              <w:end w:w="85" w:type="dxa"/>
            </w:tcMar>
          </w:tcPr>
          <w:p>
            <w:pPr>
              <w:spacing w:after="20"/>
              <w:jc w:val="left"/>
            </w:pPr>
            <w:r>
              <w:rPr>
                <w:sz w:val="18"/>
              </w:rPr>
              <w:t>Fast emotional state, acute conflict, in-session guidance</w:t>
            </w:r>
          </w:p>
        </w:tc>
      </w:tr>
      <w:tr>
        <w:tc>
          <w:tcPr>
            <w:tcW w:type="dxa" w:w="1872"/>
            <w:vAlign w:val="center"/>
            <w:tcMar>
              <w:top w:w="65" w:type="dxa"/>
              <w:start w:w="85" w:type="dxa"/>
              <w:bottom w:w="65" w:type="dxa"/>
              <w:end w:w="85" w:type="dxa"/>
            </w:tcMar>
            <w:shd w:fill="F3F6FA"/>
          </w:tcPr>
          <w:p>
            <w:pPr>
              <w:spacing w:after="20"/>
              <w:jc w:val="left"/>
            </w:pPr>
            <w:r>
              <w:rPr>
                <w:sz w:val="18"/>
              </w:rPr>
              <w:t>Recent</w:t>
            </w:r>
          </w:p>
        </w:tc>
        <w:tc>
          <w:tcPr>
            <w:tcW w:type="dxa" w:w="2016"/>
            <w:vAlign w:val="center"/>
            <w:tcMar>
              <w:top w:w="65" w:type="dxa"/>
              <w:start w:w="85" w:type="dxa"/>
              <w:bottom w:w="65" w:type="dxa"/>
              <w:end w:w="85" w:type="dxa"/>
            </w:tcMar>
          </w:tcPr>
          <w:p>
            <w:pPr>
              <w:spacing w:after="20"/>
              <w:jc w:val="center"/>
            </w:pPr>
            <w:r>
              <w:rPr>
                <w:sz w:val="18"/>
              </w:rPr>
              <w:t>7 days</w:t>
            </w:r>
          </w:p>
        </w:tc>
        <w:tc>
          <w:tcPr>
            <w:tcW w:type="dxa" w:w="5760"/>
            <w:vAlign w:val="center"/>
            <w:tcMar>
              <w:top w:w="65" w:type="dxa"/>
              <w:start w:w="85" w:type="dxa"/>
              <w:bottom w:w="65" w:type="dxa"/>
              <w:end w:w="85" w:type="dxa"/>
            </w:tcMar>
          </w:tcPr>
          <w:p>
            <w:pPr>
              <w:spacing w:after="20"/>
              <w:jc w:val="left"/>
            </w:pPr>
            <w:r>
              <w:rPr>
                <w:sz w:val="18"/>
              </w:rPr>
              <w:t>Reply behavior, post-date reflections, activation patterns</w:t>
            </w:r>
          </w:p>
        </w:tc>
      </w:tr>
      <w:tr>
        <w:tc>
          <w:tcPr>
            <w:tcW w:type="dxa" w:w="1872"/>
            <w:vAlign w:val="center"/>
            <w:tcMar>
              <w:top w:w="65" w:type="dxa"/>
              <w:start w:w="85" w:type="dxa"/>
              <w:bottom w:w="65" w:type="dxa"/>
              <w:end w:w="85" w:type="dxa"/>
            </w:tcMar>
            <w:shd w:fill="F3F6FA"/>
          </w:tcPr>
          <w:p>
            <w:pPr>
              <w:spacing w:after="20"/>
              <w:jc w:val="left"/>
            </w:pPr>
            <w:r>
              <w:rPr>
                <w:sz w:val="18"/>
              </w:rPr>
              <w:t>Short-term</w:t>
            </w:r>
          </w:p>
        </w:tc>
        <w:tc>
          <w:tcPr>
            <w:tcW w:type="dxa" w:w="2016"/>
            <w:vAlign w:val="center"/>
            <w:tcMar>
              <w:top w:w="65" w:type="dxa"/>
              <w:start w:w="85" w:type="dxa"/>
              <w:bottom w:w="65" w:type="dxa"/>
              <w:end w:w="85" w:type="dxa"/>
            </w:tcMar>
          </w:tcPr>
          <w:p>
            <w:pPr>
              <w:spacing w:after="20"/>
              <w:jc w:val="center"/>
            </w:pPr>
            <w:r>
              <w:rPr>
                <w:sz w:val="18"/>
              </w:rPr>
              <w:t>30 days</w:t>
            </w:r>
          </w:p>
        </w:tc>
        <w:tc>
          <w:tcPr>
            <w:tcW w:type="dxa" w:w="5760"/>
            <w:vAlign w:val="center"/>
            <w:tcMar>
              <w:top w:w="65" w:type="dxa"/>
              <w:start w:w="85" w:type="dxa"/>
              <w:bottom w:w="65" w:type="dxa"/>
              <w:end w:w="85" w:type="dxa"/>
            </w:tcMar>
          </w:tcPr>
          <w:p>
            <w:pPr>
              <w:spacing w:after="20"/>
              <w:jc w:val="left"/>
            </w:pPr>
            <w:r>
              <w:rPr>
                <w:sz w:val="18"/>
              </w:rPr>
              <w:t>Drift watch, stability trend, conflict / repair recurrence</w:t>
            </w:r>
          </w:p>
        </w:tc>
      </w:tr>
      <w:tr>
        <w:tc>
          <w:tcPr>
            <w:tcW w:type="dxa" w:w="1872"/>
            <w:vAlign w:val="center"/>
            <w:tcMar>
              <w:top w:w="65" w:type="dxa"/>
              <w:start w:w="85" w:type="dxa"/>
              <w:bottom w:w="65" w:type="dxa"/>
              <w:end w:w="85" w:type="dxa"/>
            </w:tcMar>
            <w:shd w:fill="F3F6FA"/>
          </w:tcPr>
          <w:p>
            <w:pPr>
              <w:spacing w:after="20"/>
              <w:jc w:val="left"/>
            </w:pPr>
            <w:r>
              <w:rPr>
                <w:sz w:val="18"/>
              </w:rPr>
              <w:t>Medium-term</w:t>
            </w:r>
          </w:p>
        </w:tc>
        <w:tc>
          <w:tcPr>
            <w:tcW w:type="dxa" w:w="2016"/>
            <w:vAlign w:val="center"/>
            <w:tcMar>
              <w:top w:w="65" w:type="dxa"/>
              <w:start w:w="85" w:type="dxa"/>
              <w:bottom w:w="65" w:type="dxa"/>
              <w:end w:w="85" w:type="dxa"/>
            </w:tcMar>
          </w:tcPr>
          <w:p>
            <w:pPr>
              <w:spacing w:after="20"/>
              <w:jc w:val="center"/>
            </w:pPr>
            <w:r>
              <w:rPr>
                <w:sz w:val="18"/>
              </w:rPr>
              <w:t>90 days</w:t>
            </w:r>
          </w:p>
        </w:tc>
        <w:tc>
          <w:tcPr>
            <w:tcW w:type="dxa" w:w="5760"/>
            <w:vAlign w:val="center"/>
            <w:tcMar>
              <w:top w:w="65" w:type="dxa"/>
              <w:start w:w="85" w:type="dxa"/>
              <w:bottom w:w="65" w:type="dxa"/>
              <w:end w:w="85" w:type="dxa"/>
            </w:tcMar>
          </w:tcPr>
          <w:p>
            <w:pPr>
              <w:spacing w:after="20"/>
              <w:jc w:val="left"/>
            </w:pPr>
            <w:r>
              <w:rPr>
                <w:sz w:val="18"/>
              </w:rPr>
              <w:t>Relationship progression, pattern persistence, calibration labels</w:t>
            </w:r>
          </w:p>
        </w:tc>
      </w:tr>
      <w:tr>
        <w:tc>
          <w:tcPr>
            <w:tcW w:type="dxa" w:w="1872"/>
            <w:vAlign w:val="center"/>
            <w:tcMar>
              <w:top w:w="65" w:type="dxa"/>
              <w:start w:w="85" w:type="dxa"/>
              <w:bottom w:w="65" w:type="dxa"/>
              <w:end w:w="85" w:type="dxa"/>
            </w:tcMar>
            <w:shd w:fill="F3F6FA"/>
          </w:tcPr>
          <w:p>
            <w:pPr>
              <w:spacing w:after="20"/>
              <w:jc w:val="left"/>
            </w:pPr>
            <w:r>
              <w:rPr>
                <w:sz w:val="18"/>
              </w:rPr>
              <w:t>Long-term</w:t>
            </w:r>
          </w:p>
        </w:tc>
        <w:tc>
          <w:tcPr>
            <w:tcW w:type="dxa" w:w="2016"/>
            <w:vAlign w:val="center"/>
            <w:tcMar>
              <w:top w:w="65" w:type="dxa"/>
              <w:start w:w="85" w:type="dxa"/>
              <w:bottom w:w="65" w:type="dxa"/>
              <w:end w:w="85" w:type="dxa"/>
            </w:tcMar>
          </w:tcPr>
          <w:p>
            <w:pPr>
              <w:spacing w:after="20"/>
              <w:jc w:val="center"/>
            </w:pPr>
            <w:r>
              <w:rPr>
                <w:sz w:val="18"/>
              </w:rPr>
              <w:t>180 to 365 days</w:t>
            </w:r>
          </w:p>
        </w:tc>
        <w:tc>
          <w:tcPr>
            <w:tcW w:type="dxa" w:w="5760"/>
            <w:vAlign w:val="center"/>
            <w:tcMar>
              <w:top w:w="65" w:type="dxa"/>
              <w:start w:w="85" w:type="dxa"/>
              <w:bottom w:w="65" w:type="dxa"/>
              <w:end w:w="85" w:type="dxa"/>
            </w:tcMar>
          </w:tcPr>
          <w:p>
            <w:pPr>
              <w:spacing w:after="20"/>
              <w:jc w:val="left"/>
            </w:pPr>
            <w:r>
              <w:rPr>
                <w:sz w:val="18"/>
              </w:rPr>
              <w:t>Identity confidence, seasonality, growth tracking, score recalibration</w:t>
            </w:r>
          </w:p>
        </w:tc>
      </w:tr>
    </w:tbl>
    <w:p/>
    <w:p>
      <w:pPr>
        <w:pStyle w:val="Heading2"/>
      </w:pPr>
      <w:r>
        <w:t>5.4 Derived feature examples</w:t>
      </w:r>
    </w:p>
    <w:tbl>
      <w:tblPr>
        <w:tblStyle w:val="TableGrid"/>
        <w:tblW w:type="auto" w:w="0"/>
        <w:jc w:val="center"/>
        <w:tblLayout w:type="fixed"/>
        <w:tblLook w:firstColumn="1" w:firstRow="1" w:lastColumn="0" w:lastRow="0" w:noHBand="0" w:noVBand="1" w:val="04A0"/>
        <w:tblBorders>
          <w:top w:val="single" w:sz="6" w:space="0" w:color="C8D1DD"/>
          <w:left w:val="single" w:sz="6" w:space="0" w:color="C8D1DD"/>
          <w:bottom w:val="single" w:sz="6" w:space="0" w:color="C8D1DD"/>
          <w:right w:val="single" w:sz="6" w:space="0" w:color="C8D1DD"/>
          <w:insideH w:val="single" w:sz="6" w:space="0" w:color="C8D1DD"/>
          <w:insideV w:val="single" w:sz="6" w:space="0" w:color="C8D1DD"/>
        </w:tblBorders>
      </w:tblPr>
      <w:tblGrid>
        <w:gridCol w:w="3312"/>
        <w:gridCol w:w="3312"/>
        <w:gridCol w:w="3312"/>
      </w:tblGrid>
      <w:tr>
        <w:trPr>
          <w:tblHeader w:val="true"/>
        </w:trPr>
        <w:tc>
          <w:tcPr>
            <w:tcW w:type="dxa" w:w="2592"/>
            <w:vAlign w:val="center"/>
            <w:shd w:fill="DCE6F2"/>
            <w:tcMar>
              <w:top w:w="70" w:type="dxa"/>
              <w:start w:w="90" w:type="dxa"/>
              <w:bottom w:w="70" w:type="dxa"/>
              <w:end w:w="90" w:type="dxa"/>
            </w:tcMar>
          </w:tcPr>
          <w:p>
            <w:pPr>
              <w:jc w:val="center"/>
            </w:pPr>
            <w:r>
              <w:rPr>
                <w:b/>
                <w:color w:val="18365D"/>
                <w:sz w:val="19"/>
              </w:rPr>
              <w:t>Derived feature</w:t>
            </w:r>
          </w:p>
        </w:tc>
        <w:tc>
          <w:tcPr>
            <w:tcW w:type="dxa" w:w="4608"/>
            <w:vAlign w:val="center"/>
            <w:shd w:fill="DCE6F2"/>
            <w:tcMar>
              <w:top w:w="70" w:type="dxa"/>
              <w:start w:w="90" w:type="dxa"/>
              <w:bottom w:w="70" w:type="dxa"/>
              <w:end w:w="90" w:type="dxa"/>
            </w:tcMar>
          </w:tcPr>
          <w:p>
            <w:pPr>
              <w:jc w:val="center"/>
            </w:pPr>
            <w:r>
              <w:rPr>
                <w:b/>
                <w:color w:val="18365D"/>
                <w:sz w:val="19"/>
              </w:rPr>
              <w:t>Calculation sketch</w:t>
            </w:r>
          </w:p>
        </w:tc>
        <w:tc>
          <w:tcPr>
            <w:tcW w:type="dxa" w:w="2448"/>
            <w:vAlign w:val="center"/>
            <w:shd w:fill="DCE6F2"/>
            <w:tcMar>
              <w:top w:w="70" w:type="dxa"/>
              <w:start w:w="90" w:type="dxa"/>
              <w:bottom w:w="70" w:type="dxa"/>
              <w:end w:w="90" w:type="dxa"/>
            </w:tcMar>
          </w:tcPr>
          <w:p>
            <w:pPr>
              <w:jc w:val="center"/>
            </w:pPr>
            <w:r>
              <w:rPr>
                <w:b/>
                <w:color w:val="18365D"/>
                <w:sz w:val="19"/>
              </w:rPr>
              <w:t>Purpose</w:t>
            </w:r>
          </w:p>
        </w:tc>
      </w:tr>
      <w:tr>
        <w:tc>
          <w:tcPr>
            <w:tcW w:type="dxa" w:w="2592"/>
            <w:vAlign w:val="center"/>
            <w:tcMar>
              <w:top w:w="65" w:type="dxa"/>
              <w:start w:w="85" w:type="dxa"/>
              <w:bottom w:w="65" w:type="dxa"/>
              <w:end w:w="85" w:type="dxa"/>
            </w:tcMar>
            <w:shd w:fill="F3F6FA"/>
          </w:tcPr>
          <w:p>
            <w:pPr>
              <w:spacing w:after="20"/>
              <w:jc w:val="left"/>
            </w:pPr>
            <w:r>
              <w:rPr>
                <w:sz w:val="18"/>
              </w:rPr>
              <w:t>Reciprocity imbalance</w:t>
            </w:r>
          </w:p>
        </w:tc>
        <w:tc>
          <w:tcPr>
            <w:tcW w:type="dxa" w:w="4608"/>
            <w:vAlign w:val="center"/>
            <w:tcMar>
              <w:top w:w="65" w:type="dxa"/>
              <w:start w:w="85" w:type="dxa"/>
              <w:bottom w:w="65" w:type="dxa"/>
              <w:end w:w="85" w:type="dxa"/>
            </w:tcMar>
          </w:tcPr>
          <w:p>
            <w:pPr>
              <w:spacing w:after="20"/>
              <w:jc w:val="left"/>
            </w:pPr>
            <w:r>
              <w:rPr>
                <w:sz w:val="18"/>
              </w:rPr>
              <w:t>abs(outbound_initiations - inbound_initiations) / total_interactions</w:t>
            </w:r>
          </w:p>
        </w:tc>
        <w:tc>
          <w:tcPr>
            <w:tcW w:type="dxa" w:w="2448"/>
            <w:vAlign w:val="center"/>
            <w:tcMar>
              <w:top w:w="65" w:type="dxa"/>
              <w:start w:w="85" w:type="dxa"/>
              <w:bottom w:w="65" w:type="dxa"/>
              <w:end w:w="85" w:type="dxa"/>
            </w:tcMar>
          </w:tcPr>
          <w:p>
            <w:pPr>
              <w:spacing w:after="20"/>
              <w:jc w:val="left"/>
            </w:pPr>
            <w:r>
              <w:rPr>
                <w:sz w:val="18"/>
              </w:rPr>
              <w:t>Detect one-sided pursuit</w:t>
            </w:r>
          </w:p>
        </w:tc>
      </w:tr>
      <w:tr>
        <w:tc>
          <w:tcPr>
            <w:tcW w:type="dxa" w:w="2592"/>
            <w:vAlign w:val="center"/>
            <w:tcMar>
              <w:top w:w="65" w:type="dxa"/>
              <w:start w:w="85" w:type="dxa"/>
              <w:bottom w:w="65" w:type="dxa"/>
              <w:end w:w="85" w:type="dxa"/>
            </w:tcMar>
            <w:shd w:fill="F3F6FA"/>
          </w:tcPr>
          <w:p>
            <w:pPr>
              <w:spacing w:after="20"/>
              <w:jc w:val="left"/>
            </w:pPr>
            <w:r>
              <w:rPr>
                <w:sz w:val="18"/>
              </w:rPr>
              <w:t>Repair completion rate</w:t>
            </w:r>
          </w:p>
        </w:tc>
        <w:tc>
          <w:tcPr>
            <w:tcW w:type="dxa" w:w="4608"/>
            <w:vAlign w:val="center"/>
            <w:tcMar>
              <w:top w:w="65" w:type="dxa"/>
              <w:start w:w="85" w:type="dxa"/>
              <w:bottom w:w="65" w:type="dxa"/>
              <w:end w:w="85" w:type="dxa"/>
            </w:tcMar>
          </w:tcPr>
          <w:p>
            <w:pPr>
              <w:spacing w:after="20"/>
              <w:jc w:val="left"/>
            </w:pPr>
            <w:r>
              <w:rPr>
                <w:sz w:val="18"/>
              </w:rPr>
              <w:t>repair_events_completed / repair_events_started</w:t>
            </w:r>
          </w:p>
        </w:tc>
        <w:tc>
          <w:tcPr>
            <w:tcW w:type="dxa" w:w="2448"/>
            <w:vAlign w:val="center"/>
            <w:tcMar>
              <w:top w:w="65" w:type="dxa"/>
              <w:start w:w="85" w:type="dxa"/>
              <w:bottom w:w="65" w:type="dxa"/>
              <w:end w:w="85" w:type="dxa"/>
            </w:tcMar>
          </w:tcPr>
          <w:p>
            <w:pPr>
              <w:spacing w:after="20"/>
              <w:jc w:val="left"/>
            </w:pPr>
            <w:r>
              <w:rPr>
                <w:sz w:val="18"/>
              </w:rPr>
              <w:t>Predict stability and emotional maturity</w:t>
            </w:r>
          </w:p>
        </w:tc>
      </w:tr>
      <w:tr>
        <w:tc>
          <w:tcPr>
            <w:tcW w:type="dxa" w:w="2592"/>
            <w:vAlign w:val="center"/>
            <w:tcMar>
              <w:top w:w="65" w:type="dxa"/>
              <w:start w:w="85" w:type="dxa"/>
              <w:bottom w:w="65" w:type="dxa"/>
              <w:end w:w="85" w:type="dxa"/>
            </w:tcMar>
            <w:shd w:fill="F3F6FA"/>
          </w:tcPr>
          <w:p>
            <w:pPr>
              <w:spacing w:after="20"/>
              <w:jc w:val="left"/>
            </w:pPr>
            <w:r>
              <w:rPr>
                <w:sz w:val="18"/>
              </w:rPr>
              <w:t>Cluster burden rolling 30d</w:t>
            </w:r>
          </w:p>
        </w:tc>
        <w:tc>
          <w:tcPr>
            <w:tcW w:type="dxa" w:w="4608"/>
            <w:vAlign w:val="center"/>
            <w:tcMar>
              <w:top w:w="65" w:type="dxa"/>
              <w:start w:w="85" w:type="dxa"/>
              <w:bottom w:w="65" w:type="dxa"/>
              <w:end w:w="85" w:type="dxa"/>
            </w:tcMar>
          </w:tcPr>
          <w:p>
            <w:pPr>
              <w:spacing w:after="20"/>
              <w:jc w:val="left"/>
            </w:pPr>
            <w:r>
              <w:rPr>
                <w:sz w:val="18"/>
              </w:rPr>
              <w:t>weighted mean of active cluster scores in last 30 days</w:t>
            </w:r>
          </w:p>
        </w:tc>
        <w:tc>
          <w:tcPr>
            <w:tcW w:type="dxa" w:w="2448"/>
            <w:vAlign w:val="center"/>
            <w:tcMar>
              <w:top w:w="65" w:type="dxa"/>
              <w:start w:w="85" w:type="dxa"/>
              <w:bottom w:w="65" w:type="dxa"/>
              <w:end w:w="85" w:type="dxa"/>
            </w:tcMar>
          </w:tcPr>
          <w:p>
            <w:pPr>
              <w:spacing w:after="20"/>
              <w:jc w:val="left"/>
            </w:pPr>
            <w:r>
              <w:rPr>
                <w:sz w:val="18"/>
              </w:rPr>
              <w:t>Surface recurrence, not one-off drama</w:t>
            </w:r>
          </w:p>
        </w:tc>
      </w:tr>
      <w:tr>
        <w:tc>
          <w:tcPr>
            <w:tcW w:type="dxa" w:w="2592"/>
            <w:vAlign w:val="center"/>
            <w:tcMar>
              <w:top w:w="65" w:type="dxa"/>
              <w:start w:w="85" w:type="dxa"/>
              <w:bottom w:w="65" w:type="dxa"/>
              <w:end w:w="85" w:type="dxa"/>
            </w:tcMar>
            <w:shd w:fill="F3F6FA"/>
          </w:tcPr>
          <w:p>
            <w:pPr>
              <w:spacing w:after="20"/>
              <w:jc w:val="left"/>
            </w:pPr>
            <w:r>
              <w:rPr>
                <w:sz w:val="18"/>
              </w:rPr>
              <w:t>Narrative rigidity index</w:t>
            </w:r>
          </w:p>
        </w:tc>
        <w:tc>
          <w:tcPr>
            <w:tcW w:type="dxa" w:w="4608"/>
            <w:vAlign w:val="center"/>
            <w:tcMar>
              <w:top w:w="65" w:type="dxa"/>
              <w:start w:w="85" w:type="dxa"/>
              <w:bottom w:w="65" w:type="dxa"/>
              <w:end w:w="85" w:type="dxa"/>
            </w:tcMar>
          </w:tcPr>
          <w:p>
            <w:pPr>
              <w:spacing w:after="20"/>
              <w:jc w:val="left"/>
            </w:pPr>
            <w:r>
              <w:rPr>
                <w:sz w:val="18"/>
              </w:rPr>
              <w:t>dominant_theme_share + absolute_language_rate - flexibility_markers</w:t>
            </w:r>
          </w:p>
        </w:tc>
        <w:tc>
          <w:tcPr>
            <w:tcW w:type="dxa" w:w="2448"/>
            <w:vAlign w:val="center"/>
            <w:tcMar>
              <w:top w:w="65" w:type="dxa"/>
              <w:start w:w="85" w:type="dxa"/>
              <w:bottom w:w="65" w:type="dxa"/>
              <w:end w:w="85" w:type="dxa"/>
            </w:tcMar>
          </w:tcPr>
          <w:p>
            <w:pPr>
              <w:spacing w:after="20"/>
              <w:jc w:val="left"/>
            </w:pPr>
            <w:r>
              <w:rPr>
                <w:sz w:val="18"/>
              </w:rPr>
              <w:t>Catch stuck stories</w:t>
            </w:r>
          </w:p>
        </w:tc>
      </w:tr>
      <w:tr>
        <w:tc>
          <w:tcPr>
            <w:tcW w:type="dxa" w:w="2592"/>
            <w:vAlign w:val="center"/>
            <w:tcMar>
              <w:top w:w="65" w:type="dxa"/>
              <w:start w:w="85" w:type="dxa"/>
              <w:bottom w:w="65" w:type="dxa"/>
              <w:end w:w="85" w:type="dxa"/>
            </w:tcMar>
            <w:shd w:fill="F3F6FA"/>
          </w:tcPr>
          <w:p>
            <w:pPr>
              <w:spacing w:after="20"/>
              <w:jc w:val="left"/>
            </w:pPr>
            <w:r>
              <w:rPr>
                <w:sz w:val="18"/>
              </w:rPr>
              <w:t>Safety-desire split</w:t>
            </w:r>
          </w:p>
        </w:tc>
        <w:tc>
          <w:tcPr>
            <w:tcW w:type="dxa" w:w="4608"/>
            <w:vAlign w:val="center"/>
            <w:tcMar>
              <w:top w:w="65" w:type="dxa"/>
              <w:start w:w="85" w:type="dxa"/>
              <w:bottom w:w="65" w:type="dxa"/>
              <w:end w:w="85" w:type="dxa"/>
            </w:tcMar>
          </w:tcPr>
          <w:p>
            <w:pPr>
              <w:spacing w:after="20"/>
              <w:jc w:val="left"/>
            </w:pPr>
            <w:r>
              <w:rPr>
                <w:sz w:val="18"/>
              </w:rPr>
              <w:t>tension_attraction_axis high + erotic_safety_alignment_axis low</w:t>
            </w:r>
          </w:p>
        </w:tc>
        <w:tc>
          <w:tcPr>
            <w:tcW w:type="dxa" w:w="2448"/>
            <w:vAlign w:val="center"/>
            <w:tcMar>
              <w:top w:w="65" w:type="dxa"/>
              <w:start w:w="85" w:type="dxa"/>
              <w:bottom w:w="65" w:type="dxa"/>
              <w:end w:w="85" w:type="dxa"/>
            </w:tcMar>
          </w:tcPr>
          <w:p>
            <w:pPr>
              <w:spacing w:after="20"/>
              <w:jc w:val="left"/>
            </w:pPr>
            <w:r>
              <w:rPr>
                <w:sz w:val="18"/>
              </w:rPr>
              <w:t>Flag chemistry that may feel hot but unstable</w:t>
            </w:r>
          </w:p>
        </w:tc>
      </w:tr>
      <w:tr>
        <w:tc>
          <w:tcPr>
            <w:tcW w:type="dxa" w:w="2592"/>
            <w:vAlign w:val="center"/>
            <w:tcMar>
              <w:top w:w="65" w:type="dxa"/>
              <w:start w:w="85" w:type="dxa"/>
              <w:bottom w:w="65" w:type="dxa"/>
              <w:end w:w="85" w:type="dxa"/>
            </w:tcMar>
            <w:shd w:fill="F3F6FA"/>
          </w:tcPr>
          <w:p>
            <w:pPr>
              <w:spacing w:after="20"/>
              <w:jc w:val="left"/>
            </w:pPr>
            <w:r>
              <w:rPr>
                <w:sz w:val="18"/>
              </w:rPr>
              <w:t>Ghosting risk score</w:t>
            </w:r>
          </w:p>
        </w:tc>
        <w:tc>
          <w:tcPr>
            <w:tcW w:type="dxa" w:w="4608"/>
            <w:vAlign w:val="center"/>
            <w:tcMar>
              <w:top w:w="65" w:type="dxa"/>
              <w:start w:w="85" w:type="dxa"/>
              <w:bottom w:w="65" w:type="dxa"/>
              <w:end w:w="85" w:type="dxa"/>
            </w:tcMar>
          </w:tcPr>
          <w:p>
            <w:pPr>
              <w:spacing w:after="20"/>
              <w:jc w:val="left"/>
            </w:pPr>
            <w:r>
              <w:rPr>
                <w:sz w:val="18"/>
              </w:rPr>
              <w:t>long reply gaps + declining reciprocity + unresolved rupture markers</w:t>
            </w:r>
          </w:p>
        </w:tc>
        <w:tc>
          <w:tcPr>
            <w:tcW w:type="dxa" w:w="2448"/>
            <w:vAlign w:val="center"/>
            <w:tcMar>
              <w:top w:w="65" w:type="dxa"/>
              <w:start w:w="85" w:type="dxa"/>
              <w:bottom w:w="65" w:type="dxa"/>
              <w:end w:w="85" w:type="dxa"/>
            </w:tcMar>
          </w:tcPr>
          <w:p>
            <w:pPr>
              <w:spacing w:after="20"/>
              <w:jc w:val="left"/>
            </w:pPr>
            <w:r>
              <w:rPr>
                <w:sz w:val="18"/>
              </w:rPr>
              <w:t>Ranking and intervention support</w:t>
            </w:r>
          </w:p>
        </w:tc>
      </w:tr>
    </w:tbl>
    <w:p/>
    <w:p>
      <w:pPr>
        <w:pStyle w:val="Heading1"/>
      </w:pPr>
      <w:r>
        <w:t>6. Training labels and outcome targets</w:t>
      </w:r>
    </w:p>
    <w:p>
      <w:r>
        <w:t>Genesis OS should train on outcomes that matter operationally, not just on whether people said they liked each other.</w:t>
      </w:r>
    </w:p>
    <w:tbl>
      <w:tblPr>
        <w:tblStyle w:val="TableGrid"/>
        <w:tblW w:type="auto" w:w="0"/>
        <w:jc w:val="center"/>
        <w:tblLayout w:type="fixed"/>
        <w:tblLook w:firstColumn="1" w:firstRow="1" w:lastColumn="0" w:lastRow="0" w:noHBand="0" w:noVBand="1" w:val="04A0"/>
        <w:tblBorders>
          <w:top w:val="single" w:sz="6" w:space="0" w:color="C8D1DD"/>
          <w:left w:val="single" w:sz="6" w:space="0" w:color="C8D1DD"/>
          <w:bottom w:val="single" w:sz="6" w:space="0" w:color="C8D1DD"/>
          <w:right w:val="single" w:sz="6" w:space="0" w:color="C8D1DD"/>
          <w:insideH w:val="single" w:sz="6" w:space="0" w:color="C8D1DD"/>
          <w:insideV w:val="single" w:sz="6" w:space="0" w:color="C8D1DD"/>
        </w:tblBorders>
      </w:tblPr>
      <w:tblGrid>
        <w:gridCol w:w="3312"/>
        <w:gridCol w:w="3312"/>
        <w:gridCol w:w="3312"/>
      </w:tblGrid>
      <w:tr>
        <w:trPr>
          <w:tblHeader w:val="true"/>
        </w:trPr>
        <w:tc>
          <w:tcPr>
            <w:tcW w:type="dxa" w:w="1944"/>
            <w:vAlign w:val="center"/>
            <w:shd w:fill="DCE6F2"/>
            <w:tcMar>
              <w:top w:w="70" w:type="dxa"/>
              <w:start w:w="90" w:type="dxa"/>
              <w:bottom w:w="70" w:type="dxa"/>
              <w:end w:w="90" w:type="dxa"/>
            </w:tcMar>
          </w:tcPr>
          <w:p>
            <w:pPr>
              <w:jc w:val="center"/>
            </w:pPr>
            <w:r>
              <w:rPr>
                <w:b/>
                <w:color w:val="18365D"/>
                <w:sz w:val="19"/>
              </w:rPr>
              <w:t>Label family</w:t>
            </w:r>
          </w:p>
        </w:tc>
        <w:tc>
          <w:tcPr>
            <w:tcW w:type="dxa" w:w="5688"/>
            <w:vAlign w:val="center"/>
            <w:shd w:fill="DCE6F2"/>
            <w:tcMar>
              <w:top w:w="70" w:type="dxa"/>
              <w:start w:w="90" w:type="dxa"/>
              <w:bottom w:w="70" w:type="dxa"/>
              <w:end w:w="90" w:type="dxa"/>
            </w:tcMar>
          </w:tcPr>
          <w:p>
            <w:pPr>
              <w:jc w:val="center"/>
            </w:pPr>
            <w:r>
              <w:rPr>
                <w:b/>
                <w:color w:val="18365D"/>
                <w:sz w:val="19"/>
              </w:rPr>
              <w:t>Target examples</w:t>
            </w:r>
          </w:p>
        </w:tc>
        <w:tc>
          <w:tcPr>
            <w:tcW w:type="dxa" w:w="2016"/>
            <w:vAlign w:val="center"/>
            <w:shd w:fill="DCE6F2"/>
            <w:tcMar>
              <w:top w:w="70" w:type="dxa"/>
              <w:start w:w="90" w:type="dxa"/>
              <w:bottom w:w="70" w:type="dxa"/>
              <w:end w:w="90" w:type="dxa"/>
            </w:tcMar>
          </w:tcPr>
          <w:p>
            <w:pPr>
              <w:jc w:val="center"/>
            </w:pPr>
            <w:r>
              <w:rPr>
                <w:b/>
                <w:color w:val="18365D"/>
                <w:sz w:val="19"/>
              </w:rPr>
              <w:t>Time horizon</w:t>
            </w:r>
          </w:p>
        </w:tc>
      </w:tr>
      <w:tr>
        <w:tc>
          <w:tcPr>
            <w:tcW w:type="dxa" w:w="1944"/>
            <w:vAlign w:val="center"/>
            <w:tcMar>
              <w:top w:w="65" w:type="dxa"/>
              <w:start w:w="85" w:type="dxa"/>
              <w:bottom w:w="65" w:type="dxa"/>
              <w:end w:w="85" w:type="dxa"/>
            </w:tcMar>
            <w:shd w:fill="F3F6FA"/>
          </w:tcPr>
          <w:p>
            <w:pPr>
              <w:spacing w:after="20"/>
              <w:jc w:val="left"/>
            </w:pPr>
            <w:r>
              <w:rPr>
                <w:sz w:val="18"/>
              </w:rPr>
              <w:t>Engagement</w:t>
            </w:r>
          </w:p>
        </w:tc>
        <w:tc>
          <w:tcPr>
            <w:tcW w:type="dxa" w:w="5688"/>
            <w:vAlign w:val="center"/>
            <w:tcMar>
              <w:top w:w="65" w:type="dxa"/>
              <w:start w:w="85" w:type="dxa"/>
              <w:bottom w:w="65" w:type="dxa"/>
              <w:end w:w="85" w:type="dxa"/>
            </w:tcMar>
          </w:tcPr>
          <w:p>
            <w:pPr>
              <w:spacing w:after="20"/>
              <w:jc w:val="left"/>
            </w:pPr>
            <w:r>
              <w:rPr>
                <w:sz w:val="18"/>
              </w:rPr>
              <w:t>message_count_7d, reply_latency_p50, date_first_meet</w:t>
            </w:r>
          </w:p>
        </w:tc>
        <w:tc>
          <w:tcPr>
            <w:tcW w:type="dxa" w:w="2016"/>
            <w:vAlign w:val="center"/>
            <w:tcMar>
              <w:top w:w="65" w:type="dxa"/>
              <w:start w:w="85" w:type="dxa"/>
              <w:bottom w:w="65" w:type="dxa"/>
              <w:end w:w="85" w:type="dxa"/>
            </w:tcMar>
          </w:tcPr>
          <w:p>
            <w:pPr>
              <w:spacing w:after="20"/>
              <w:jc w:val="center"/>
            </w:pPr>
            <w:r>
              <w:rPr>
                <w:sz w:val="18"/>
              </w:rPr>
              <w:t>7 to 30 days</w:t>
            </w:r>
          </w:p>
        </w:tc>
      </w:tr>
      <w:tr>
        <w:tc>
          <w:tcPr>
            <w:tcW w:type="dxa" w:w="1944"/>
            <w:vAlign w:val="center"/>
            <w:tcMar>
              <w:top w:w="65" w:type="dxa"/>
              <w:start w:w="85" w:type="dxa"/>
              <w:bottom w:w="65" w:type="dxa"/>
              <w:end w:w="85" w:type="dxa"/>
            </w:tcMar>
            <w:shd w:fill="F3F6FA"/>
          </w:tcPr>
          <w:p>
            <w:pPr>
              <w:spacing w:after="20"/>
              <w:jc w:val="left"/>
            </w:pPr>
            <w:r>
              <w:rPr>
                <w:sz w:val="18"/>
              </w:rPr>
              <w:t>Progression</w:t>
            </w:r>
          </w:p>
        </w:tc>
        <w:tc>
          <w:tcPr>
            <w:tcW w:type="dxa" w:w="5688"/>
            <w:vAlign w:val="center"/>
            <w:tcMar>
              <w:top w:w="65" w:type="dxa"/>
              <w:start w:w="85" w:type="dxa"/>
              <w:bottom w:w="65" w:type="dxa"/>
              <w:end w:w="85" w:type="dxa"/>
            </w:tcMar>
          </w:tcPr>
          <w:p>
            <w:pPr>
              <w:spacing w:after="20"/>
              <w:jc w:val="left"/>
            </w:pPr>
            <w:r>
              <w:rPr>
                <w:sz w:val="18"/>
              </w:rPr>
              <w:t>relationship_status_30d, relationship_status_90d</w:t>
            </w:r>
          </w:p>
        </w:tc>
        <w:tc>
          <w:tcPr>
            <w:tcW w:type="dxa" w:w="2016"/>
            <w:vAlign w:val="center"/>
            <w:tcMar>
              <w:top w:w="65" w:type="dxa"/>
              <w:start w:w="85" w:type="dxa"/>
              <w:bottom w:w="65" w:type="dxa"/>
              <w:end w:w="85" w:type="dxa"/>
            </w:tcMar>
          </w:tcPr>
          <w:p>
            <w:pPr>
              <w:spacing w:after="20"/>
              <w:jc w:val="center"/>
            </w:pPr>
            <w:r>
              <w:rPr>
                <w:sz w:val="18"/>
              </w:rPr>
              <w:t>30 to 90 days</w:t>
            </w:r>
          </w:p>
        </w:tc>
      </w:tr>
      <w:tr>
        <w:tc>
          <w:tcPr>
            <w:tcW w:type="dxa" w:w="1944"/>
            <w:vAlign w:val="center"/>
            <w:tcMar>
              <w:top w:w="65" w:type="dxa"/>
              <w:start w:w="85" w:type="dxa"/>
              <w:bottom w:w="65" w:type="dxa"/>
              <w:end w:w="85" w:type="dxa"/>
            </w:tcMar>
            <w:shd w:fill="F3F6FA"/>
          </w:tcPr>
          <w:p>
            <w:pPr>
              <w:spacing w:after="20"/>
              <w:jc w:val="left"/>
            </w:pPr>
            <w:r>
              <w:rPr>
                <w:sz w:val="18"/>
              </w:rPr>
              <w:t>Stability</w:t>
            </w:r>
          </w:p>
        </w:tc>
        <w:tc>
          <w:tcPr>
            <w:tcW w:type="dxa" w:w="5688"/>
            <w:vAlign w:val="center"/>
            <w:tcMar>
              <w:top w:w="65" w:type="dxa"/>
              <w:start w:w="85" w:type="dxa"/>
              <w:bottom w:w="65" w:type="dxa"/>
              <w:end w:w="85" w:type="dxa"/>
            </w:tcMar>
          </w:tcPr>
          <w:p>
            <w:pPr>
              <w:spacing w:after="20"/>
              <w:jc w:val="left"/>
            </w:pPr>
            <w:r>
              <w:rPr>
                <w:sz w:val="18"/>
              </w:rPr>
              <w:t>conflict_events_count, repair_events_count, mismatch recurrence, breakup_reason</w:t>
            </w:r>
          </w:p>
        </w:tc>
        <w:tc>
          <w:tcPr>
            <w:tcW w:type="dxa" w:w="2016"/>
            <w:vAlign w:val="center"/>
            <w:tcMar>
              <w:top w:w="65" w:type="dxa"/>
              <w:start w:w="85" w:type="dxa"/>
              <w:bottom w:w="65" w:type="dxa"/>
              <w:end w:w="85" w:type="dxa"/>
            </w:tcMar>
          </w:tcPr>
          <w:p>
            <w:pPr>
              <w:spacing w:after="20"/>
              <w:jc w:val="center"/>
            </w:pPr>
            <w:r>
              <w:rPr>
                <w:sz w:val="18"/>
              </w:rPr>
              <w:t>30 to 180 days</w:t>
            </w:r>
          </w:p>
        </w:tc>
      </w:tr>
      <w:tr>
        <w:tc>
          <w:tcPr>
            <w:tcW w:type="dxa" w:w="1944"/>
            <w:vAlign w:val="center"/>
            <w:tcMar>
              <w:top w:w="65" w:type="dxa"/>
              <w:start w:w="85" w:type="dxa"/>
              <w:bottom w:w="65" w:type="dxa"/>
              <w:end w:w="85" w:type="dxa"/>
            </w:tcMar>
            <w:shd w:fill="F3F6FA"/>
          </w:tcPr>
          <w:p>
            <w:pPr>
              <w:spacing w:after="20"/>
              <w:jc w:val="left"/>
            </w:pPr>
            <w:r>
              <w:rPr>
                <w:sz w:val="18"/>
              </w:rPr>
              <w:t>Score movement</w:t>
            </w:r>
          </w:p>
        </w:tc>
        <w:tc>
          <w:tcPr>
            <w:tcW w:type="dxa" w:w="5688"/>
            <w:vAlign w:val="center"/>
            <w:tcMar>
              <w:top w:w="65" w:type="dxa"/>
              <w:start w:w="85" w:type="dxa"/>
              <w:bottom w:w="65" w:type="dxa"/>
              <w:end w:w="85" w:type="dxa"/>
            </w:tcMar>
          </w:tcPr>
          <w:p>
            <w:pPr>
              <w:spacing w:after="20"/>
              <w:jc w:val="left"/>
            </w:pPr>
            <w:r>
              <w:rPr>
                <w:sz w:val="18"/>
              </w:rPr>
              <w:t>rescore_delta, archetype drift confidence, forecast delta</w:t>
            </w:r>
          </w:p>
        </w:tc>
        <w:tc>
          <w:tcPr>
            <w:tcW w:type="dxa" w:w="2016"/>
            <w:vAlign w:val="center"/>
            <w:tcMar>
              <w:top w:w="65" w:type="dxa"/>
              <w:start w:w="85" w:type="dxa"/>
              <w:bottom w:w="65" w:type="dxa"/>
              <w:end w:w="85" w:type="dxa"/>
            </w:tcMar>
          </w:tcPr>
          <w:p>
            <w:pPr>
              <w:spacing w:after="20"/>
              <w:jc w:val="center"/>
            </w:pPr>
            <w:r>
              <w:rPr>
                <w:sz w:val="18"/>
              </w:rPr>
              <w:t>30 to 180 days</w:t>
            </w:r>
          </w:p>
        </w:tc>
      </w:tr>
      <w:tr>
        <w:tc>
          <w:tcPr>
            <w:tcW w:type="dxa" w:w="1944"/>
            <w:vAlign w:val="center"/>
            <w:tcMar>
              <w:top w:w="65" w:type="dxa"/>
              <w:start w:w="85" w:type="dxa"/>
              <w:bottom w:w="65" w:type="dxa"/>
              <w:end w:w="85" w:type="dxa"/>
            </w:tcMar>
            <w:shd w:fill="F3F6FA"/>
          </w:tcPr>
          <w:p>
            <w:pPr>
              <w:spacing w:after="20"/>
              <w:jc w:val="left"/>
            </w:pPr>
            <w:r>
              <w:rPr>
                <w:sz w:val="18"/>
              </w:rPr>
              <w:t>AI quality</w:t>
            </w:r>
          </w:p>
        </w:tc>
        <w:tc>
          <w:tcPr>
            <w:tcW w:type="dxa" w:w="5688"/>
            <w:vAlign w:val="center"/>
            <w:tcMar>
              <w:top w:w="65" w:type="dxa"/>
              <w:start w:w="85" w:type="dxa"/>
              <w:bottom w:w="65" w:type="dxa"/>
              <w:end w:w="85" w:type="dxa"/>
            </w:tcMar>
          </w:tcPr>
          <w:p>
            <w:pPr>
              <w:spacing w:after="20"/>
              <w:jc w:val="left"/>
            </w:pPr>
            <w:r>
              <w:rPr>
                <w:sz w:val="18"/>
              </w:rPr>
              <w:t>helpfulness score, too-generic flag, too-confident flag, actionability score</w:t>
            </w:r>
          </w:p>
        </w:tc>
        <w:tc>
          <w:tcPr>
            <w:tcW w:type="dxa" w:w="2016"/>
            <w:vAlign w:val="center"/>
            <w:tcMar>
              <w:top w:w="65" w:type="dxa"/>
              <w:start w:w="85" w:type="dxa"/>
              <w:bottom w:w="65" w:type="dxa"/>
              <w:end w:w="85" w:type="dxa"/>
            </w:tcMar>
          </w:tcPr>
          <w:p>
            <w:pPr>
              <w:spacing w:after="20"/>
              <w:jc w:val="left"/>
            </w:pPr>
            <w:r>
              <w:rPr>
                <w:sz w:val="18"/>
              </w:rPr>
              <w:t>per session / rolling</w:t>
            </w:r>
          </w:p>
        </w:tc>
      </w:tr>
      <w:tr>
        <w:tc>
          <w:tcPr>
            <w:tcW w:type="dxa" w:w="1944"/>
            <w:vAlign w:val="center"/>
            <w:tcMar>
              <w:top w:w="65" w:type="dxa"/>
              <w:start w:w="85" w:type="dxa"/>
              <w:bottom w:w="65" w:type="dxa"/>
              <w:end w:w="85" w:type="dxa"/>
            </w:tcMar>
            <w:shd w:fill="F3F6FA"/>
          </w:tcPr>
          <w:p>
            <w:pPr>
              <w:spacing w:after="20"/>
              <w:jc w:val="left"/>
            </w:pPr>
            <w:r>
              <w:rPr>
                <w:sz w:val="18"/>
              </w:rPr>
              <w:t>Safety and moderation</w:t>
            </w:r>
          </w:p>
        </w:tc>
        <w:tc>
          <w:tcPr>
            <w:tcW w:type="dxa" w:w="5688"/>
            <w:vAlign w:val="center"/>
            <w:tcMar>
              <w:top w:w="65" w:type="dxa"/>
              <w:start w:w="85" w:type="dxa"/>
              <w:bottom w:w="65" w:type="dxa"/>
              <w:end w:w="85" w:type="dxa"/>
            </w:tcMar>
          </w:tcPr>
          <w:p>
            <w:pPr>
              <w:spacing w:after="20"/>
              <w:jc w:val="left"/>
            </w:pPr>
            <w:r>
              <w:rPr>
                <w:sz w:val="18"/>
              </w:rPr>
              <w:t>escalation rate, redirection success, harmful-output avoidance</w:t>
            </w:r>
          </w:p>
        </w:tc>
        <w:tc>
          <w:tcPr>
            <w:tcW w:type="dxa" w:w="2016"/>
            <w:vAlign w:val="center"/>
            <w:tcMar>
              <w:top w:w="65" w:type="dxa"/>
              <w:start w:w="85" w:type="dxa"/>
              <w:bottom w:w="65" w:type="dxa"/>
              <w:end w:w="85" w:type="dxa"/>
            </w:tcMar>
          </w:tcPr>
          <w:p>
            <w:pPr>
              <w:spacing w:after="20"/>
              <w:jc w:val="left"/>
            </w:pPr>
            <w:r>
              <w:rPr>
                <w:sz w:val="18"/>
              </w:rPr>
              <w:t>per session / rolling</w:t>
            </w:r>
          </w:p>
        </w:tc>
      </w:tr>
    </w:tbl>
    <w:p/>
    <w:p>
      <w:pPr>
        <w:pStyle w:val="Heading2"/>
      </w:pPr>
      <w:r>
        <w:t>6.1 Labeling rules</w:t>
      </w:r>
    </w:p>
    <w:p>
      <w:pPr>
        <w:ind w:left="288" w:hanging="245"/>
      </w:pPr>
      <w:r>
        <w:rPr>
          <w:b/>
        </w:rPr>
        <w:t xml:space="preserve">• </w:t>
      </w:r>
      <w:r>
        <w:t>Do not use a single date or single conflict as a truth label for durable identity. Labels should prefer repeated patterns or externally confirmed outcomes.</w:t>
      </w:r>
    </w:p>
    <w:p>
      <w:pPr>
        <w:ind w:left="288" w:hanging="245"/>
      </w:pPr>
      <w:r>
        <w:rPr>
          <w:b/>
        </w:rPr>
        <w:t xml:space="preserve">• </w:t>
      </w:r>
      <w:r>
        <w:t>Breakup reason labels should remain coarse enough for reliability: trust, conflict, pace, values, availability, unknown.</w:t>
      </w:r>
    </w:p>
    <w:p>
      <w:pPr>
        <w:ind w:left="288" w:hanging="245"/>
      </w:pPr>
      <w:r>
        <w:rPr>
          <w:b/>
        </w:rPr>
        <w:t xml:space="preserve">• </w:t>
      </w:r>
      <w:r>
        <w:t>When labels are weak or sparse, use confidence-aware training or semi-supervised evaluation rather than pretending certainty exists.</w:t>
      </w:r>
    </w:p>
    <w:p>
      <w:pPr>
        <w:ind w:left="288" w:hanging="245"/>
      </w:pPr>
      <w:r>
        <w:rPr>
          <w:b/>
        </w:rPr>
        <w:t xml:space="preserve">• </w:t>
      </w:r>
      <w:r>
        <w:t>User-confirmed reflections should outrank model-inferred labels when conflicts exist.</w:t>
      </w:r>
    </w:p>
    <w:p>
      <w:pPr>
        <w:pStyle w:val="Heading1"/>
      </w:pPr>
      <w:r>
        <w:t>7. Training architecture</w:t>
      </w:r>
    </w:p>
    <w:p>
      <w:r>
        <w:t>Use a layered modeling strategy so v1 remains explainable and cheap enough to operate.</w:t>
      </w:r>
    </w:p>
    <w:tbl>
      <w:tblPr>
        <w:tblStyle w:val="TableGrid"/>
        <w:tblW w:type="auto" w:w="0"/>
        <w:jc w:val="center"/>
        <w:tblLayout w:type="fixed"/>
        <w:tblLook w:firstColumn="1" w:firstRow="1" w:lastColumn="0" w:lastRow="0" w:noHBand="0" w:noVBand="1" w:val="04A0"/>
        <w:tblBorders>
          <w:top w:val="single" w:sz="6" w:space="0" w:color="C8D1DD"/>
          <w:left w:val="single" w:sz="6" w:space="0" w:color="C8D1DD"/>
          <w:bottom w:val="single" w:sz="6" w:space="0" w:color="C8D1DD"/>
          <w:right w:val="single" w:sz="6" w:space="0" w:color="C8D1DD"/>
          <w:insideH w:val="single" w:sz="6" w:space="0" w:color="C8D1DD"/>
          <w:insideV w:val="single" w:sz="6" w:space="0" w:color="C8D1DD"/>
        </w:tblBorders>
      </w:tblPr>
      <w:tblGrid>
        <w:gridCol w:w="3312"/>
        <w:gridCol w:w="3312"/>
        <w:gridCol w:w="3312"/>
      </w:tblGrid>
      <w:tr>
        <w:trPr>
          <w:tblHeader w:val="true"/>
        </w:trPr>
        <w:tc>
          <w:tcPr>
            <w:tcW w:type="dxa" w:w="2232"/>
            <w:vAlign w:val="center"/>
            <w:shd w:fill="DCE6F2"/>
            <w:tcMar>
              <w:top w:w="70" w:type="dxa"/>
              <w:start w:w="90" w:type="dxa"/>
              <w:bottom w:w="70" w:type="dxa"/>
              <w:end w:w="90" w:type="dxa"/>
            </w:tcMar>
          </w:tcPr>
          <w:p>
            <w:pPr>
              <w:jc w:val="center"/>
            </w:pPr>
            <w:r>
              <w:rPr>
                <w:b/>
                <w:color w:val="18365D"/>
                <w:sz w:val="19"/>
              </w:rPr>
              <w:t>Model layer</w:t>
            </w:r>
          </w:p>
        </w:tc>
        <w:tc>
          <w:tcPr>
            <w:tcW w:type="dxa" w:w="4248"/>
            <w:vAlign w:val="center"/>
            <w:shd w:fill="DCE6F2"/>
            <w:tcMar>
              <w:top w:w="70" w:type="dxa"/>
              <w:start w:w="90" w:type="dxa"/>
              <w:bottom w:w="70" w:type="dxa"/>
              <w:end w:w="90" w:type="dxa"/>
            </w:tcMar>
          </w:tcPr>
          <w:p>
            <w:pPr>
              <w:jc w:val="center"/>
            </w:pPr>
            <w:r>
              <w:rPr>
                <w:b/>
                <w:color w:val="18365D"/>
                <w:sz w:val="19"/>
              </w:rPr>
              <w:t>Recommended approach</w:t>
            </w:r>
          </w:p>
        </w:tc>
        <w:tc>
          <w:tcPr>
            <w:tcW w:type="dxa" w:w="3168"/>
            <w:vAlign w:val="center"/>
            <w:shd w:fill="DCE6F2"/>
            <w:tcMar>
              <w:top w:w="70" w:type="dxa"/>
              <w:start w:w="90" w:type="dxa"/>
              <w:bottom w:w="70" w:type="dxa"/>
              <w:end w:w="90" w:type="dxa"/>
            </w:tcMar>
          </w:tcPr>
          <w:p>
            <w:pPr>
              <w:jc w:val="center"/>
            </w:pPr>
            <w:r>
              <w:rPr>
                <w:b/>
                <w:color w:val="18365D"/>
                <w:sz w:val="19"/>
              </w:rPr>
              <w:t>Why</w:t>
            </w:r>
          </w:p>
        </w:tc>
      </w:tr>
      <w:tr>
        <w:tc>
          <w:tcPr>
            <w:tcW w:type="dxa" w:w="2232"/>
            <w:vAlign w:val="center"/>
            <w:tcMar>
              <w:top w:w="65" w:type="dxa"/>
              <w:start w:w="85" w:type="dxa"/>
              <w:bottom w:w="65" w:type="dxa"/>
              <w:end w:w="85" w:type="dxa"/>
            </w:tcMar>
            <w:shd w:fill="F3F6FA"/>
          </w:tcPr>
          <w:p>
            <w:pPr>
              <w:spacing w:after="20"/>
              <w:jc w:val="left"/>
            </w:pPr>
            <w:r>
              <w:rPr>
                <w:sz w:val="18"/>
              </w:rPr>
              <w:t>Baseline score engine</w:t>
            </w:r>
          </w:p>
        </w:tc>
        <w:tc>
          <w:tcPr>
            <w:tcW w:type="dxa" w:w="4248"/>
            <w:vAlign w:val="center"/>
            <w:tcMar>
              <w:top w:w="65" w:type="dxa"/>
              <w:start w:w="85" w:type="dxa"/>
              <w:bottom w:w="65" w:type="dxa"/>
              <w:end w:w="85" w:type="dxa"/>
            </w:tcMar>
          </w:tcPr>
          <w:p>
            <w:pPr>
              <w:spacing w:after="20"/>
              <w:jc w:val="left"/>
            </w:pPr>
            <w:r>
              <w:rPr>
                <w:sz w:val="18"/>
              </w:rPr>
              <w:t>Deterministic rules + workbook math</w:t>
            </w:r>
          </w:p>
        </w:tc>
        <w:tc>
          <w:tcPr>
            <w:tcW w:type="dxa" w:w="3168"/>
            <w:vAlign w:val="center"/>
            <w:tcMar>
              <w:top w:w="65" w:type="dxa"/>
              <w:start w:w="85" w:type="dxa"/>
              <w:bottom w:w="65" w:type="dxa"/>
              <w:end w:w="85" w:type="dxa"/>
            </w:tcMar>
          </w:tcPr>
          <w:p>
            <w:pPr>
              <w:spacing w:after="20"/>
              <w:jc w:val="left"/>
            </w:pPr>
            <w:r>
              <w:rPr>
                <w:sz w:val="18"/>
              </w:rPr>
              <w:t>Auditable, explainable, founder IP anchor</w:t>
            </w:r>
          </w:p>
        </w:tc>
      </w:tr>
      <w:tr>
        <w:tc>
          <w:tcPr>
            <w:tcW w:type="dxa" w:w="2232"/>
            <w:vAlign w:val="center"/>
            <w:tcMar>
              <w:top w:w="65" w:type="dxa"/>
              <w:start w:w="85" w:type="dxa"/>
              <w:bottom w:w="65" w:type="dxa"/>
              <w:end w:w="85" w:type="dxa"/>
            </w:tcMar>
            <w:shd w:fill="F3F6FA"/>
          </w:tcPr>
          <w:p>
            <w:pPr>
              <w:spacing w:after="20"/>
              <w:jc w:val="left"/>
            </w:pPr>
            <w:r>
              <w:rPr>
                <w:sz w:val="18"/>
              </w:rPr>
              <w:t>Learning-to-rank / match lift</w:t>
            </w:r>
          </w:p>
        </w:tc>
        <w:tc>
          <w:tcPr>
            <w:tcW w:type="dxa" w:w="4248"/>
            <w:vAlign w:val="center"/>
            <w:tcMar>
              <w:top w:w="65" w:type="dxa"/>
              <w:start w:w="85" w:type="dxa"/>
              <w:bottom w:w="65" w:type="dxa"/>
              <w:end w:w="85" w:type="dxa"/>
            </w:tcMar>
          </w:tcPr>
          <w:p>
            <w:pPr>
              <w:spacing w:after="20"/>
              <w:jc w:val="left"/>
            </w:pPr>
            <w:r>
              <w:rPr>
                <w:sz w:val="18"/>
              </w:rPr>
              <w:t>Gradient boosted trees or calibrated linear ranker</w:t>
            </w:r>
          </w:p>
        </w:tc>
        <w:tc>
          <w:tcPr>
            <w:tcW w:type="dxa" w:w="3168"/>
            <w:vAlign w:val="center"/>
            <w:tcMar>
              <w:top w:w="65" w:type="dxa"/>
              <w:start w:w="85" w:type="dxa"/>
              <w:bottom w:w="65" w:type="dxa"/>
              <w:end w:w="85" w:type="dxa"/>
            </w:tcMar>
          </w:tcPr>
          <w:p>
            <w:pPr>
              <w:spacing w:after="20"/>
              <w:jc w:val="left"/>
            </w:pPr>
            <w:r>
              <w:rPr>
                <w:sz w:val="18"/>
              </w:rPr>
              <w:t>Learns which deterministic patterns predict progression better</w:t>
            </w:r>
          </w:p>
        </w:tc>
      </w:tr>
      <w:tr>
        <w:tc>
          <w:tcPr>
            <w:tcW w:type="dxa" w:w="2232"/>
            <w:vAlign w:val="center"/>
            <w:tcMar>
              <w:top w:w="65" w:type="dxa"/>
              <w:start w:w="85" w:type="dxa"/>
              <w:bottom w:w="65" w:type="dxa"/>
              <w:end w:w="85" w:type="dxa"/>
            </w:tcMar>
            <w:shd w:fill="F3F6FA"/>
          </w:tcPr>
          <w:p>
            <w:pPr>
              <w:spacing w:after="20"/>
              <w:jc w:val="left"/>
            </w:pPr>
            <w:r>
              <w:rPr>
                <w:sz w:val="18"/>
              </w:rPr>
              <w:t>Outcome prediction</w:t>
            </w:r>
          </w:p>
        </w:tc>
        <w:tc>
          <w:tcPr>
            <w:tcW w:type="dxa" w:w="4248"/>
            <w:vAlign w:val="center"/>
            <w:tcMar>
              <w:top w:w="65" w:type="dxa"/>
              <w:start w:w="85" w:type="dxa"/>
              <w:bottom w:w="65" w:type="dxa"/>
              <w:end w:w="85" w:type="dxa"/>
            </w:tcMar>
          </w:tcPr>
          <w:p>
            <w:pPr>
              <w:spacing w:after="20"/>
              <w:jc w:val="left"/>
            </w:pPr>
            <w:r>
              <w:rPr>
                <w:sz w:val="18"/>
              </w:rPr>
              <w:t>Gradient boosted classification / survival-style models</w:t>
            </w:r>
          </w:p>
        </w:tc>
        <w:tc>
          <w:tcPr>
            <w:tcW w:type="dxa" w:w="3168"/>
            <w:vAlign w:val="center"/>
            <w:tcMar>
              <w:top w:w="65" w:type="dxa"/>
              <w:start w:w="85" w:type="dxa"/>
              <w:bottom w:w="65" w:type="dxa"/>
              <w:end w:w="85" w:type="dxa"/>
            </w:tcMar>
          </w:tcPr>
          <w:p>
            <w:pPr>
              <w:spacing w:after="20"/>
              <w:jc w:val="left"/>
            </w:pPr>
            <w:r>
              <w:rPr>
                <w:sz w:val="18"/>
              </w:rPr>
              <w:t>Predict date conversion, rupture risk, repair probability</w:t>
            </w:r>
          </w:p>
        </w:tc>
      </w:tr>
      <w:tr>
        <w:tc>
          <w:tcPr>
            <w:tcW w:type="dxa" w:w="2232"/>
            <w:vAlign w:val="center"/>
            <w:tcMar>
              <w:top w:w="65" w:type="dxa"/>
              <w:start w:w="85" w:type="dxa"/>
              <w:bottom w:w="65" w:type="dxa"/>
              <w:end w:w="85" w:type="dxa"/>
            </w:tcMar>
            <w:shd w:fill="F3F6FA"/>
          </w:tcPr>
          <w:p>
            <w:pPr>
              <w:spacing w:after="20"/>
              <w:jc w:val="left"/>
            </w:pPr>
            <w:r>
              <w:rPr>
                <w:sz w:val="18"/>
              </w:rPr>
              <w:t>Narrative extraction</w:t>
            </w:r>
          </w:p>
        </w:tc>
        <w:tc>
          <w:tcPr>
            <w:tcW w:type="dxa" w:w="4248"/>
            <w:vAlign w:val="center"/>
            <w:tcMar>
              <w:top w:w="65" w:type="dxa"/>
              <w:start w:w="85" w:type="dxa"/>
              <w:bottom w:w="65" w:type="dxa"/>
              <w:end w:w="85" w:type="dxa"/>
            </w:tcMar>
          </w:tcPr>
          <w:p>
            <w:pPr>
              <w:spacing w:after="20"/>
              <w:jc w:val="left"/>
            </w:pPr>
            <w:r>
              <w:rPr>
                <w:sz w:val="18"/>
              </w:rPr>
              <w:t>Taxonomy extraction with strict schema mapping and confidence</w:t>
            </w:r>
          </w:p>
        </w:tc>
        <w:tc>
          <w:tcPr>
            <w:tcW w:type="dxa" w:w="3168"/>
            <w:vAlign w:val="center"/>
            <w:tcMar>
              <w:top w:w="65" w:type="dxa"/>
              <w:start w:w="85" w:type="dxa"/>
              <w:bottom w:w="65" w:type="dxa"/>
              <w:end w:w="85" w:type="dxa"/>
            </w:tcMar>
          </w:tcPr>
          <w:p>
            <w:pPr>
              <w:spacing w:after="20"/>
              <w:jc w:val="left"/>
            </w:pPr>
            <w:r>
              <w:rPr>
                <w:sz w:val="18"/>
              </w:rPr>
              <w:t>Turns text into governed features rather than free-form vibes</w:t>
            </w:r>
          </w:p>
        </w:tc>
      </w:tr>
      <w:tr>
        <w:tc>
          <w:tcPr>
            <w:tcW w:type="dxa" w:w="2232"/>
            <w:vAlign w:val="center"/>
            <w:tcMar>
              <w:top w:w="65" w:type="dxa"/>
              <w:start w:w="85" w:type="dxa"/>
              <w:bottom w:w="65" w:type="dxa"/>
              <w:end w:w="85" w:type="dxa"/>
            </w:tcMar>
            <w:shd w:fill="F3F6FA"/>
          </w:tcPr>
          <w:p>
            <w:pPr>
              <w:spacing w:after="20"/>
              <w:jc w:val="left"/>
            </w:pPr>
            <w:r>
              <w:rPr>
                <w:sz w:val="18"/>
              </w:rPr>
              <w:t>Guidance generation</w:t>
            </w:r>
          </w:p>
        </w:tc>
        <w:tc>
          <w:tcPr>
            <w:tcW w:type="dxa" w:w="4248"/>
            <w:vAlign w:val="center"/>
            <w:tcMar>
              <w:top w:w="65" w:type="dxa"/>
              <w:start w:w="85" w:type="dxa"/>
              <w:bottom w:w="65" w:type="dxa"/>
              <w:end w:w="85" w:type="dxa"/>
            </w:tcMar>
          </w:tcPr>
          <w:p>
            <w:pPr>
              <w:spacing w:after="20"/>
              <w:jc w:val="left"/>
            </w:pPr>
            <w:r>
              <w:rPr>
                <w:sz w:val="18"/>
              </w:rPr>
              <w:t>LLM over packetized features</w:t>
            </w:r>
          </w:p>
        </w:tc>
        <w:tc>
          <w:tcPr>
            <w:tcW w:type="dxa" w:w="3168"/>
            <w:vAlign w:val="center"/>
            <w:tcMar>
              <w:top w:w="65" w:type="dxa"/>
              <w:start w:w="85" w:type="dxa"/>
              <w:bottom w:w="65" w:type="dxa"/>
              <w:end w:w="85" w:type="dxa"/>
            </w:tcMar>
          </w:tcPr>
          <w:p>
            <w:pPr>
              <w:spacing w:after="20"/>
              <w:jc w:val="left"/>
            </w:pPr>
            <w:r>
              <w:rPr>
                <w:sz w:val="18"/>
              </w:rPr>
              <w:t>Explains without changing source truth</w:t>
            </w:r>
          </w:p>
        </w:tc>
      </w:tr>
      <w:tr>
        <w:tc>
          <w:tcPr>
            <w:tcW w:type="dxa" w:w="2232"/>
            <w:vAlign w:val="center"/>
            <w:tcMar>
              <w:top w:w="65" w:type="dxa"/>
              <w:start w:w="85" w:type="dxa"/>
              <w:bottom w:w="65" w:type="dxa"/>
              <w:end w:w="85" w:type="dxa"/>
            </w:tcMar>
            <w:shd w:fill="F3F6FA"/>
          </w:tcPr>
          <w:p>
            <w:pPr>
              <w:spacing w:after="20"/>
              <w:jc w:val="left"/>
            </w:pPr>
            <w:r>
              <w:rPr>
                <w:sz w:val="18"/>
              </w:rPr>
              <w:t>Drift detection</w:t>
            </w:r>
          </w:p>
        </w:tc>
        <w:tc>
          <w:tcPr>
            <w:tcW w:type="dxa" w:w="4248"/>
            <w:vAlign w:val="center"/>
            <w:tcMar>
              <w:top w:w="65" w:type="dxa"/>
              <w:start w:w="85" w:type="dxa"/>
              <w:bottom w:w="65" w:type="dxa"/>
              <w:end w:w="85" w:type="dxa"/>
            </w:tcMar>
          </w:tcPr>
          <w:p>
            <w:pPr>
              <w:spacing w:after="20"/>
              <w:jc w:val="left"/>
            </w:pPr>
            <w:r>
              <w:rPr>
                <w:sz w:val="18"/>
              </w:rPr>
              <w:t>Threshold + moving-window evidence rules, then ML later</w:t>
            </w:r>
          </w:p>
        </w:tc>
        <w:tc>
          <w:tcPr>
            <w:tcW w:type="dxa" w:w="3168"/>
            <w:vAlign w:val="center"/>
            <w:tcMar>
              <w:top w:w="65" w:type="dxa"/>
              <w:start w:w="85" w:type="dxa"/>
              <w:bottom w:w="65" w:type="dxa"/>
              <w:end w:w="85" w:type="dxa"/>
            </w:tcMar>
          </w:tcPr>
          <w:p>
            <w:pPr>
              <w:spacing w:after="20"/>
              <w:jc w:val="left"/>
            </w:pPr>
            <w:r>
              <w:rPr>
                <w:sz w:val="18"/>
              </w:rPr>
              <w:t>Prevents overreaction to noisy periods</w:t>
            </w:r>
          </w:p>
        </w:tc>
      </w:tr>
    </w:tbl>
    <w:p/>
    <w:p>
      <w:pPr>
        <w:pStyle w:val="Heading2"/>
      </w:pPr>
      <w:r>
        <w:t>7.1 Recommended training sequence</w:t>
      </w:r>
    </w:p>
    <w:p>
      <w:pPr>
        <w:ind w:left="288" w:hanging="245"/>
      </w:pPr>
      <w:r>
        <w:rPr>
          <w:b/>
        </w:rPr>
        <w:t xml:space="preserve">• </w:t>
      </w:r>
      <w:r>
        <w:t>Start with deterministic score plus offline diagnostics only.</w:t>
      </w:r>
    </w:p>
    <w:p>
      <w:pPr>
        <w:ind w:left="288" w:hanging="245"/>
      </w:pPr>
      <w:r>
        <w:rPr>
          <w:b/>
        </w:rPr>
        <w:t xml:space="preserve">• </w:t>
      </w:r>
      <w:r>
        <w:t>Train a calibration model that predicts 30-day and 90-day progression using deterministic components and telemetry.</w:t>
      </w:r>
    </w:p>
    <w:p>
      <w:pPr>
        <w:ind w:left="288" w:hanging="245"/>
      </w:pPr>
      <w:r>
        <w:rPr>
          <w:b/>
        </w:rPr>
        <w:t xml:space="preserve">• </w:t>
      </w:r>
      <w:r>
        <w:t>Train a rank-lift model that reorders candidates inside a narrow deterministic band rather than overriding the whole board.</w:t>
      </w:r>
    </w:p>
    <w:p>
      <w:pPr>
        <w:ind w:left="288" w:hanging="245"/>
      </w:pPr>
      <w:r>
        <w:rPr>
          <w:b/>
        </w:rPr>
        <w:t xml:space="preserve">• </w:t>
      </w:r>
      <w:r>
        <w:t>Train AI helpfulness and coaching-quality models from user feedback only after packet quality is stable.</w:t>
      </w:r>
    </w:p>
    <w:p>
      <w:pPr>
        <w:ind w:left="288" w:hanging="245"/>
      </w:pPr>
      <w:r>
        <w:rPr>
          <w:b/>
        </w:rPr>
        <w:t xml:space="preserve">• </w:t>
      </w:r>
      <w:r>
        <w:t>Delay full identity-drift learning until evidence density and consent coverage are high.</w:t>
      </w:r>
    </w:p>
    <w:p>
      <w:pPr>
        <w:pStyle w:val="Heading1"/>
      </w:pPr>
      <w:r>
        <w:t>8. Explainability, confidence, and governor rules</w:t>
      </w:r>
    </w:p>
    <w:tbl>
      <w:tblPr>
        <w:tblStyle w:val="TableGrid"/>
        <w:tblW w:type="auto" w:w="0"/>
        <w:jc w:val="center"/>
        <w:tblLayout w:type="fixed"/>
        <w:tblLook w:firstColumn="1" w:firstRow="1" w:lastColumn="0" w:lastRow="0" w:noHBand="0" w:noVBand="1" w:val="04A0"/>
        <w:tblBorders>
          <w:top w:val="single" w:sz="6" w:space="0" w:color="C8D1DD"/>
          <w:left w:val="single" w:sz="6" w:space="0" w:color="C8D1DD"/>
          <w:bottom w:val="single" w:sz="6" w:space="0" w:color="C8D1DD"/>
          <w:right w:val="single" w:sz="6" w:space="0" w:color="C8D1DD"/>
          <w:insideH w:val="single" w:sz="6" w:space="0" w:color="C8D1DD"/>
          <w:insideV w:val="single" w:sz="6" w:space="0" w:color="C8D1DD"/>
        </w:tblBorders>
      </w:tblPr>
      <w:tblGrid>
        <w:gridCol w:w="4968"/>
        <w:gridCol w:w="4968"/>
      </w:tblGrid>
      <w:tr>
        <w:trPr>
          <w:tblHeader w:val="true"/>
        </w:trPr>
        <w:tc>
          <w:tcPr>
            <w:tcW w:type="dxa" w:w="2448"/>
            <w:vAlign w:val="center"/>
            <w:shd w:fill="DCE6F2"/>
            <w:tcMar>
              <w:top w:w="70" w:type="dxa"/>
              <w:start w:w="90" w:type="dxa"/>
              <w:bottom w:w="70" w:type="dxa"/>
              <w:end w:w="90" w:type="dxa"/>
            </w:tcMar>
          </w:tcPr>
          <w:p>
            <w:pPr>
              <w:jc w:val="center"/>
            </w:pPr>
            <w:r>
              <w:rPr>
                <w:b/>
                <w:color w:val="18365D"/>
                <w:sz w:val="19"/>
              </w:rPr>
              <w:t>Rule</w:t>
            </w:r>
          </w:p>
        </w:tc>
        <w:tc>
          <w:tcPr>
            <w:tcW w:type="dxa" w:w="7200"/>
            <w:vAlign w:val="center"/>
            <w:shd w:fill="DCE6F2"/>
            <w:tcMar>
              <w:top w:w="70" w:type="dxa"/>
              <w:start w:w="90" w:type="dxa"/>
              <w:bottom w:w="70" w:type="dxa"/>
              <w:end w:w="90" w:type="dxa"/>
            </w:tcMar>
          </w:tcPr>
          <w:p>
            <w:pPr>
              <w:jc w:val="center"/>
            </w:pPr>
            <w:r>
              <w:rPr>
                <w:b/>
                <w:color w:val="18365D"/>
                <w:sz w:val="19"/>
              </w:rPr>
              <w:t>Requirement</w:t>
            </w:r>
          </w:p>
        </w:tc>
      </w:tr>
      <w:tr>
        <w:tc>
          <w:tcPr>
            <w:tcW w:type="dxa" w:w="2448"/>
            <w:vAlign w:val="center"/>
            <w:tcMar>
              <w:top w:w="65" w:type="dxa"/>
              <w:start w:w="85" w:type="dxa"/>
              <w:bottom w:w="65" w:type="dxa"/>
              <w:end w:w="85" w:type="dxa"/>
            </w:tcMar>
            <w:shd w:fill="F3F6FA"/>
          </w:tcPr>
          <w:p>
            <w:pPr>
              <w:spacing w:after="20"/>
              <w:jc w:val="left"/>
            </w:pPr>
            <w:r>
              <w:rPr>
                <w:sz w:val="18"/>
              </w:rPr>
              <w:t>Evidence banding</w:t>
            </w:r>
          </w:p>
        </w:tc>
        <w:tc>
          <w:tcPr>
            <w:tcW w:type="dxa" w:w="7200"/>
            <w:vAlign w:val="center"/>
            <w:tcMar>
              <w:top w:w="65" w:type="dxa"/>
              <w:start w:w="85" w:type="dxa"/>
              <w:bottom w:w="65" w:type="dxa"/>
              <w:end w:w="85" w:type="dxa"/>
            </w:tcMar>
          </w:tcPr>
          <w:p>
            <w:pPr>
              <w:spacing w:after="20"/>
              <w:jc w:val="left"/>
            </w:pPr>
            <w:r>
              <w:rPr>
                <w:sz w:val="18"/>
              </w:rPr>
              <w:t>Every saved feature and every model claim needs low / medium / high evidence band plus provenance</w:t>
            </w:r>
          </w:p>
        </w:tc>
      </w:tr>
      <w:tr>
        <w:tc>
          <w:tcPr>
            <w:tcW w:type="dxa" w:w="2448"/>
            <w:vAlign w:val="center"/>
            <w:tcMar>
              <w:top w:w="65" w:type="dxa"/>
              <w:start w:w="85" w:type="dxa"/>
              <w:bottom w:w="65" w:type="dxa"/>
              <w:end w:w="85" w:type="dxa"/>
            </w:tcMar>
            <w:shd w:fill="F3F6FA"/>
          </w:tcPr>
          <w:p>
            <w:pPr>
              <w:spacing w:after="20"/>
              <w:jc w:val="left"/>
            </w:pPr>
            <w:r>
              <w:rPr>
                <w:sz w:val="18"/>
              </w:rPr>
              <w:t>Confidence threshold</w:t>
            </w:r>
          </w:p>
        </w:tc>
        <w:tc>
          <w:tcPr>
            <w:tcW w:type="dxa" w:w="7200"/>
            <w:vAlign w:val="center"/>
            <w:tcMar>
              <w:top w:w="65" w:type="dxa"/>
              <w:start w:w="85" w:type="dxa"/>
              <w:bottom w:w="65" w:type="dxa"/>
              <w:end w:w="85" w:type="dxa"/>
            </w:tcMar>
          </w:tcPr>
          <w:p>
            <w:pPr>
              <w:spacing w:after="20"/>
              <w:jc w:val="left"/>
            </w:pPr>
            <w:r>
              <w:rPr>
                <w:sz w:val="18"/>
              </w:rPr>
              <w:t>Low-confidence outputs may shape wording in session but may not write durable profile updates</w:t>
            </w:r>
          </w:p>
        </w:tc>
      </w:tr>
      <w:tr>
        <w:tc>
          <w:tcPr>
            <w:tcW w:type="dxa" w:w="2448"/>
            <w:vAlign w:val="center"/>
            <w:tcMar>
              <w:top w:w="65" w:type="dxa"/>
              <w:start w:w="85" w:type="dxa"/>
              <w:bottom w:w="65" w:type="dxa"/>
              <w:end w:w="85" w:type="dxa"/>
            </w:tcMar>
            <w:shd w:fill="F3F6FA"/>
          </w:tcPr>
          <w:p>
            <w:pPr>
              <w:spacing w:after="20"/>
              <w:jc w:val="left"/>
            </w:pPr>
            <w:r>
              <w:rPr>
                <w:sz w:val="18"/>
              </w:rPr>
              <w:t>Consent gating</w:t>
            </w:r>
          </w:p>
        </w:tc>
        <w:tc>
          <w:tcPr>
            <w:tcW w:type="dxa" w:w="7200"/>
            <w:vAlign w:val="center"/>
            <w:tcMar>
              <w:top w:w="65" w:type="dxa"/>
              <w:start w:w="85" w:type="dxa"/>
              <w:bottom w:w="65" w:type="dxa"/>
              <w:end w:w="85" w:type="dxa"/>
            </w:tcMar>
          </w:tcPr>
          <w:p>
            <w:pPr>
              <w:spacing w:after="20"/>
              <w:jc w:val="left"/>
            </w:pPr>
            <w:r>
              <w:rPr>
                <w:sz w:val="18"/>
              </w:rPr>
              <w:t>Telemetry, chat, and reflections are trainable only when the relevant scope was granted and not revoked</w:t>
            </w:r>
          </w:p>
        </w:tc>
      </w:tr>
      <w:tr>
        <w:tc>
          <w:tcPr>
            <w:tcW w:type="dxa" w:w="2448"/>
            <w:vAlign w:val="center"/>
            <w:tcMar>
              <w:top w:w="65" w:type="dxa"/>
              <w:start w:w="85" w:type="dxa"/>
              <w:bottom w:w="65" w:type="dxa"/>
              <w:end w:w="85" w:type="dxa"/>
            </w:tcMar>
            <w:shd w:fill="F3F6FA"/>
          </w:tcPr>
          <w:p>
            <w:pPr>
              <w:spacing w:after="20"/>
              <w:jc w:val="left"/>
            </w:pPr>
            <w:r>
              <w:rPr>
                <w:sz w:val="18"/>
              </w:rPr>
              <w:t>No silent mutation</w:t>
            </w:r>
          </w:p>
        </w:tc>
        <w:tc>
          <w:tcPr>
            <w:tcW w:type="dxa" w:w="7200"/>
            <w:vAlign w:val="center"/>
            <w:tcMar>
              <w:top w:w="65" w:type="dxa"/>
              <w:start w:w="85" w:type="dxa"/>
              <w:bottom w:w="65" w:type="dxa"/>
              <w:end w:w="85" w:type="dxa"/>
            </w:tcMar>
          </w:tcPr>
          <w:p>
            <w:pPr>
              <w:spacing w:after="20"/>
              <w:jc w:val="left"/>
            </w:pPr>
            <w:r>
              <w:rPr>
                <w:sz w:val="18"/>
              </w:rPr>
              <w:t>Slow identity fields cannot be mutated by an LLM or predictor directly</w:t>
            </w:r>
          </w:p>
        </w:tc>
      </w:tr>
      <w:tr>
        <w:tc>
          <w:tcPr>
            <w:tcW w:type="dxa" w:w="2448"/>
            <w:vAlign w:val="center"/>
            <w:tcMar>
              <w:top w:w="65" w:type="dxa"/>
              <w:start w:w="85" w:type="dxa"/>
              <w:bottom w:w="65" w:type="dxa"/>
              <w:end w:w="85" w:type="dxa"/>
            </w:tcMar>
            <w:shd w:fill="F3F6FA"/>
          </w:tcPr>
          <w:p>
            <w:pPr>
              <w:spacing w:after="20"/>
              <w:jc w:val="left"/>
            </w:pPr>
            <w:r>
              <w:rPr>
                <w:sz w:val="18"/>
              </w:rPr>
              <w:t>Separation of truth and inference</w:t>
            </w:r>
          </w:p>
        </w:tc>
        <w:tc>
          <w:tcPr>
            <w:tcW w:type="dxa" w:w="7200"/>
            <w:vAlign w:val="center"/>
            <w:tcMar>
              <w:top w:w="65" w:type="dxa"/>
              <w:start w:w="85" w:type="dxa"/>
              <w:bottom w:w="65" w:type="dxa"/>
              <w:end w:w="85" w:type="dxa"/>
            </w:tcMar>
          </w:tcPr>
          <w:p>
            <w:pPr>
              <w:spacing w:after="20"/>
              <w:jc w:val="left"/>
            </w:pPr>
            <w:r>
              <w:rPr>
                <w:sz w:val="18"/>
              </w:rPr>
              <w:t>Raw events, extracted features, model outputs, and public-facing explanations stay in separate stores</w:t>
            </w:r>
          </w:p>
        </w:tc>
      </w:tr>
      <w:tr>
        <w:tc>
          <w:tcPr>
            <w:tcW w:type="dxa" w:w="2448"/>
            <w:vAlign w:val="center"/>
            <w:tcMar>
              <w:top w:w="65" w:type="dxa"/>
              <w:start w:w="85" w:type="dxa"/>
              <w:bottom w:w="65" w:type="dxa"/>
              <w:end w:w="85" w:type="dxa"/>
            </w:tcMar>
            <w:shd w:fill="F3F6FA"/>
          </w:tcPr>
          <w:p>
            <w:pPr>
              <w:spacing w:after="20"/>
              <w:jc w:val="left"/>
            </w:pPr>
            <w:r>
              <w:rPr>
                <w:sz w:val="18"/>
              </w:rPr>
              <w:t>Degraded mode</w:t>
            </w:r>
          </w:p>
        </w:tc>
        <w:tc>
          <w:tcPr>
            <w:tcW w:type="dxa" w:w="7200"/>
            <w:vAlign w:val="center"/>
            <w:tcMar>
              <w:top w:w="65" w:type="dxa"/>
              <w:start w:w="85" w:type="dxa"/>
              <w:bottom w:w="65" w:type="dxa"/>
              <w:end w:w="85" w:type="dxa"/>
            </w:tcMar>
          </w:tcPr>
          <w:p>
            <w:pPr>
              <w:spacing w:after="20"/>
              <w:jc w:val="left"/>
            </w:pPr>
            <w:r>
              <w:rPr>
                <w:sz w:val="18"/>
              </w:rPr>
              <w:t>When AI or consent is unavailable, the deterministic score engine still functions cleanly</w:t>
            </w:r>
          </w:p>
        </w:tc>
      </w:tr>
    </w:tbl>
    <w:p/>
    <w:p>
      <w:pPr>
        <w:pStyle w:val="Heading1"/>
      </w:pPr>
      <w:r>
        <w:t>9. Evaluation and QA</w:t>
      </w:r>
    </w:p>
    <w:tbl>
      <w:tblPr>
        <w:tblStyle w:val="TableGrid"/>
        <w:tblW w:type="auto" w:w="0"/>
        <w:jc w:val="center"/>
        <w:tblLayout w:type="fixed"/>
        <w:tblLook w:firstColumn="1" w:firstRow="1" w:lastColumn="0" w:lastRow="0" w:noHBand="0" w:noVBand="1" w:val="04A0"/>
        <w:tblBorders>
          <w:top w:val="single" w:sz="6" w:space="0" w:color="C8D1DD"/>
          <w:left w:val="single" w:sz="6" w:space="0" w:color="C8D1DD"/>
          <w:bottom w:val="single" w:sz="6" w:space="0" w:color="C8D1DD"/>
          <w:right w:val="single" w:sz="6" w:space="0" w:color="C8D1DD"/>
          <w:insideH w:val="single" w:sz="6" w:space="0" w:color="C8D1DD"/>
          <w:insideV w:val="single" w:sz="6" w:space="0" w:color="C8D1DD"/>
        </w:tblBorders>
      </w:tblPr>
      <w:tblGrid>
        <w:gridCol w:w="4968"/>
        <w:gridCol w:w="4968"/>
      </w:tblGrid>
      <w:tr>
        <w:trPr>
          <w:tblHeader w:val="true"/>
        </w:trPr>
        <w:tc>
          <w:tcPr>
            <w:tcW w:type="dxa" w:w="1872"/>
            <w:vAlign w:val="center"/>
            <w:shd w:fill="DCE6F2"/>
            <w:tcMar>
              <w:top w:w="70" w:type="dxa"/>
              <w:start w:w="90" w:type="dxa"/>
              <w:bottom w:w="70" w:type="dxa"/>
              <w:end w:w="90" w:type="dxa"/>
            </w:tcMar>
          </w:tcPr>
          <w:p>
            <w:pPr>
              <w:jc w:val="center"/>
            </w:pPr>
            <w:r>
              <w:rPr>
                <w:b/>
                <w:color w:val="18365D"/>
                <w:sz w:val="19"/>
              </w:rPr>
              <w:t>Area</w:t>
            </w:r>
          </w:p>
        </w:tc>
        <w:tc>
          <w:tcPr>
            <w:tcW w:type="dxa" w:w="7776"/>
            <w:vAlign w:val="center"/>
            <w:shd w:fill="DCE6F2"/>
            <w:tcMar>
              <w:top w:w="70" w:type="dxa"/>
              <w:start w:w="90" w:type="dxa"/>
              <w:bottom w:w="70" w:type="dxa"/>
              <w:end w:w="90" w:type="dxa"/>
            </w:tcMar>
          </w:tcPr>
          <w:p>
            <w:pPr>
              <w:jc w:val="center"/>
            </w:pPr>
            <w:r>
              <w:rPr>
                <w:b/>
                <w:color w:val="18365D"/>
                <w:sz w:val="19"/>
              </w:rPr>
              <w:t>Minimum checks</w:t>
            </w:r>
          </w:p>
        </w:tc>
      </w:tr>
      <w:tr>
        <w:tc>
          <w:tcPr>
            <w:tcW w:type="dxa" w:w="1872"/>
            <w:vAlign w:val="center"/>
            <w:tcMar>
              <w:top w:w="65" w:type="dxa"/>
              <w:start w:w="85" w:type="dxa"/>
              <w:bottom w:w="65" w:type="dxa"/>
              <w:end w:w="85" w:type="dxa"/>
            </w:tcMar>
            <w:shd w:fill="F3F6FA"/>
          </w:tcPr>
          <w:p>
            <w:pPr>
              <w:spacing w:after="20"/>
              <w:jc w:val="left"/>
            </w:pPr>
            <w:r>
              <w:rPr>
                <w:sz w:val="18"/>
              </w:rPr>
              <w:t>Data quality</w:t>
            </w:r>
          </w:p>
        </w:tc>
        <w:tc>
          <w:tcPr>
            <w:tcW w:type="dxa" w:w="7776"/>
            <w:vAlign w:val="center"/>
            <w:tcMar>
              <w:top w:w="65" w:type="dxa"/>
              <w:start w:w="85" w:type="dxa"/>
              <w:bottom w:w="65" w:type="dxa"/>
              <w:end w:w="85" w:type="dxa"/>
            </w:tcMar>
          </w:tcPr>
          <w:p>
            <w:pPr>
              <w:spacing w:after="20"/>
              <w:jc w:val="left"/>
            </w:pPr>
            <w:r>
              <w:rPr>
                <w:sz w:val="18"/>
              </w:rPr>
              <w:t>Schema validity, missingness report, freshness report, leakage checks, taxonomy version consistency</w:t>
            </w:r>
          </w:p>
        </w:tc>
      </w:tr>
      <w:tr>
        <w:tc>
          <w:tcPr>
            <w:tcW w:type="dxa" w:w="1872"/>
            <w:vAlign w:val="center"/>
            <w:tcMar>
              <w:top w:w="65" w:type="dxa"/>
              <w:start w:w="85" w:type="dxa"/>
              <w:bottom w:w="65" w:type="dxa"/>
              <w:end w:w="85" w:type="dxa"/>
            </w:tcMar>
            <w:shd w:fill="F3F6FA"/>
          </w:tcPr>
          <w:p>
            <w:pPr>
              <w:spacing w:after="20"/>
              <w:jc w:val="left"/>
            </w:pPr>
            <w:r>
              <w:rPr>
                <w:sz w:val="18"/>
              </w:rPr>
              <w:t>Model quality</w:t>
            </w:r>
          </w:p>
        </w:tc>
        <w:tc>
          <w:tcPr>
            <w:tcW w:type="dxa" w:w="7776"/>
            <w:vAlign w:val="center"/>
            <w:tcMar>
              <w:top w:w="65" w:type="dxa"/>
              <w:start w:w="85" w:type="dxa"/>
              <w:bottom w:w="65" w:type="dxa"/>
              <w:end w:w="85" w:type="dxa"/>
            </w:tcMar>
          </w:tcPr>
          <w:p>
            <w:pPr>
              <w:spacing w:after="20"/>
              <w:jc w:val="left"/>
            </w:pPr>
            <w:r>
              <w:rPr>
                <w:sz w:val="18"/>
              </w:rPr>
              <w:t>Calibration error, rank lift, AUC / PR where relevant, subgroup stability, drift monitoring</w:t>
            </w:r>
          </w:p>
        </w:tc>
      </w:tr>
      <w:tr>
        <w:tc>
          <w:tcPr>
            <w:tcW w:type="dxa" w:w="1872"/>
            <w:vAlign w:val="center"/>
            <w:tcMar>
              <w:top w:w="65" w:type="dxa"/>
              <w:start w:w="85" w:type="dxa"/>
              <w:bottom w:w="65" w:type="dxa"/>
              <w:end w:w="85" w:type="dxa"/>
            </w:tcMar>
            <w:shd w:fill="F3F6FA"/>
          </w:tcPr>
          <w:p>
            <w:pPr>
              <w:spacing w:after="20"/>
              <w:jc w:val="left"/>
            </w:pPr>
            <w:r>
              <w:rPr>
                <w:sz w:val="18"/>
              </w:rPr>
              <w:t>Product quality</w:t>
            </w:r>
          </w:p>
        </w:tc>
        <w:tc>
          <w:tcPr>
            <w:tcW w:type="dxa" w:w="7776"/>
            <w:vAlign w:val="center"/>
            <w:tcMar>
              <w:top w:w="65" w:type="dxa"/>
              <w:start w:w="85" w:type="dxa"/>
              <w:bottom w:w="65" w:type="dxa"/>
              <w:end w:w="85" w:type="dxa"/>
            </w:tcMar>
          </w:tcPr>
          <w:p>
            <w:pPr>
              <w:spacing w:after="20"/>
              <w:jc w:val="left"/>
            </w:pPr>
            <w:r>
              <w:rPr>
                <w:sz w:val="18"/>
              </w:rPr>
              <w:t>Explanation faithfulness, no private-signal leakage, useful prompt quality, user comprehension</w:t>
            </w:r>
          </w:p>
        </w:tc>
      </w:tr>
      <w:tr>
        <w:tc>
          <w:tcPr>
            <w:tcW w:type="dxa" w:w="1872"/>
            <w:vAlign w:val="center"/>
            <w:tcMar>
              <w:top w:w="65" w:type="dxa"/>
              <w:start w:w="85" w:type="dxa"/>
              <w:bottom w:w="65" w:type="dxa"/>
              <w:end w:w="85" w:type="dxa"/>
            </w:tcMar>
            <w:shd w:fill="F3F6FA"/>
          </w:tcPr>
          <w:p>
            <w:pPr>
              <w:spacing w:after="20"/>
              <w:jc w:val="left"/>
            </w:pPr>
            <w:r>
              <w:rPr>
                <w:sz w:val="18"/>
              </w:rPr>
              <w:t>Safety</w:t>
            </w:r>
          </w:p>
        </w:tc>
        <w:tc>
          <w:tcPr>
            <w:tcW w:type="dxa" w:w="7776"/>
            <w:vAlign w:val="center"/>
            <w:tcMar>
              <w:top w:w="65" w:type="dxa"/>
              <w:start w:w="85" w:type="dxa"/>
              <w:bottom w:w="65" w:type="dxa"/>
              <w:end w:w="85" w:type="dxa"/>
            </w:tcMar>
          </w:tcPr>
          <w:p>
            <w:pPr>
              <w:spacing w:after="20"/>
              <w:jc w:val="left"/>
            </w:pPr>
            <w:r>
              <w:rPr>
                <w:sz w:val="18"/>
              </w:rPr>
              <w:t>No diagnosis cosplay, no unilateral disclosure to matches, moderation pathway works under stress</w:t>
            </w:r>
          </w:p>
        </w:tc>
      </w:tr>
      <w:tr>
        <w:tc>
          <w:tcPr>
            <w:tcW w:type="dxa" w:w="1872"/>
            <w:vAlign w:val="center"/>
            <w:tcMar>
              <w:top w:w="65" w:type="dxa"/>
              <w:start w:w="85" w:type="dxa"/>
              <w:bottom w:w="65" w:type="dxa"/>
              <w:end w:w="85" w:type="dxa"/>
            </w:tcMar>
            <w:shd w:fill="F3F6FA"/>
          </w:tcPr>
          <w:p>
            <w:pPr>
              <w:spacing w:after="20"/>
              <w:jc w:val="left"/>
            </w:pPr>
            <w:r>
              <w:rPr>
                <w:sz w:val="18"/>
              </w:rPr>
              <w:t>Economic quality</w:t>
            </w:r>
          </w:p>
        </w:tc>
        <w:tc>
          <w:tcPr>
            <w:tcW w:type="dxa" w:w="7776"/>
            <w:vAlign w:val="center"/>
            <w:tcMar>
              <w:top w:w="65" w:type="dxa"/>
              <w:start w:w="85" w:type="dxa"/>
              <w:bottom w:w="65" w:type="dxa"/>
              <w:end w:w="85" w:type="dxa"/>
            </w:tcMar>
          </w:tcPr>
          <w:p>
            <w:pPr>
              <w:spacing w:after="20"/>
              <w:jc w:val="left"/>
            </w:pPr>
            <w:r>
              <w:rPr>
                <w:sz w:val="18"/>
              </w:rPr>
              <w:t>Token usage, inference latency, storage growth, packet size, feature extraction cost</w:t>
            </w:r>
          </w:p>
        </w:tc>
      </w:tr>
    </w:tbl>
    <w:p/>
    <w:p>
      <w:pPr>
        <w:pStyle w:val="Heading1"/>
      </w:pPr>
      <w:r>
        <w:t>10. Implementation packet contract</w:t>
      </w:r>
    </w:p>
    <w:p>
      <w:r>
        <w:t>The packet sent into any model or LLM should be assembled from structured blocks only.</w:t>
      </w:r>
    </w:p>
    <w:tbl>
      <w:tblPr>
        <w:tblStyle w:val="TableGrid"/>
        <w:tblW w:type="auto" w:w="0"/>
        <w:jc w:val="center"/>
        <w:tblLayout w:type="fixed"/>
        <w:tblLook w:firstColumn="1" w:firstRow="1" w:lastColumn="0" w:lastRow="0" w:noHBand="0" w:noVBand="1" w:val="04A0"/>
        <w:tblBorders>
          <w:top w:val="single" w:sz="6" w:space="0" w:color="C8D1DD"/>
          <w:left w:val="single" w:sz="6" w:space="0" w:color="C8D1DD"/>
          <w:bottom w:val="single" w:sz="6" w:space="0" w:color="C8D1DD"/>
          <w:right w:val="single" w:sz="6" w:space="0" w:color="C8D1DD"/>
          <w:insideH w:val="single" w:sz="6" w:space="0" w:color="C8D1DD"/>
          <w:insideV w:val="single" w:sz="6" w:space="0" w:color="C8D1DD"/>
        </w:tblBorders>
      </w:tblPr>
      <w:tblGrid>
        <w:gridCol w:w="4968"/>
        <w:gridCol w:w="4968"/>
      </w:tblGrid>
      <w:tr>
        <w:trPr>
          <w:tblHeader w:val="true"/>
        </w:trPr>
        <w:tc>
          <w:tcPr>
            <w:tcW w:type="dxa" w:w="2160"/>
            <w:vAlign w:val="center"/>
            <w:shd w:fill="DCE6F2"/>
            <w:tcMar>
              <w:top w:w="70" w:type="dxa"/>
              <w:start w:w="90" w:type="dxa"/>
              <w:bottom w:w="70" w:type="dxa"/>
              <w:end w:w="90" w:type="dxa"/>
            </w:tcMar>
          </w:tcPr>
          <w:p>
            <w:pPr>
              <w:jc w:val="center"/>
            </w:pPr>
            <w:r>
              <w:rPr>
                <w:b/>
                <w:color w:val="18365D"/>
                <w:sz w:val="19"/>
              </w:rPr>
              <w:t>Packet block</w:t>
            </w:r>
          </w:p>
        </w:tc>
        <w:tc>
          <w:tcPr>
            <w:tcW w:type="dxa" w:w="7488"/>
            <w:vAlign w:val="center"/>
            <w:shd w:fill="DCE6F2"/>
            <w:tcMar>
              <w:top w:w="70" w:type="dxa"/>
              <w:start w:w="90" w:type="dxa"/>
              <w:bottom w:w="70" w:type="dxa"/>
              <w:end w:w="90" w:type="dxa"/>
            </w:tcMar>
          </w:tcPr>
          <w:p>
            <w:pPr>
              <w:jc w:val="center"/>
            </w:pPr>
            <w:r>
              <w:rPr>
                <w:b/>
                <w:color w:val="18365D"/>
                <w:sz w:val="19"/>
              </w:rPr>
              <w:t>Core payload</w:t>
            </w:r>
          </w:p>
        </w:tc>
      </w:tr>
      <w:tr>
        <w:tc>
          <w:tcPr>
            <w:tcW w:type="dxa" w:w="2160"/>
            <w:vAlign w:val="center"/>
            <w:tcMar>
              <w:top w:w="65" w:type="dxa"/>
              <w:start w:w="85" w:type="dxa"/>
              <w:bottom w:w="65" w:type="dxa"/>
              <w:end w:w="85" w:type="dxa"/>
            </w:tcMar>
            <w:shd w:fill="F3F6FA"/>
          </w:tcPr>
          <w:p>
            <w:pPr>
              <w:spacing w:after="20"/>
              <w:jc w:val="left"/>
            </w:pPr>
            <w:r>
              <w:rPr>
                <w:sz w:val="18"/>
              </w:rPr>
              <w:t>Identity block</w:t>
            </w:r>
          </w:p>
        </w:tc>
        <w:tc>
          <w:tcPr>
            <w:tcW w:type="dxa" w:w="7488"/>
            <w:vAlign w:val="center"/>
            <w:tcMar>
              <w:top w:w="65" w:type="dxa"/>
              <w:start w:w="85" w:type="dxa"/>
              <w:bottom w:w="65" w:type="dxa"/>
              <w:end w:w="85" w:type="dxa"/>
            </w:tcMar>
          </w:tcPr>
          <w:p>
            <w:pPr>
              <w:spacing w:after="20"/>
              <w:jc w:val="left"/>
            </w:pPr>
            <w:r>
              <w:rPr>
                <w:sz w:val="18"/>
              </w:rPr>
              <w:t>archetype distribution, shadow distribution, readiness subscores, polarity axes, confidence scores</w:t>
            </w:r>
          </w:p>
        </w:tc>
      </w:tr>
      <w:tr>
        <w:tc>
          <w:tcPr>
            <w:tcW w:type="dxa" w:w="2160"/>
            <w:vAlign w:val="center"/>
            <w:tcMar>
              <w:top w:w="65" w:type="dxa"/>
              <w:start w:w="85" w:type="dxa"/>
              <w:bottom w:w="65" w:type="dxa"/>
              <w:end w:w="85" w:type="dxa"/>
            </w:tcMar>
            <w:shd w:fill="F3F6FA"/>
          </w:tcPr>
          <w:p>
            <w:pPr>
              <w:spacing w:after="20"/>
              <w:jc w:val="left"/>
            </w:pPr>
            <w:r>
              <w:rPr>
                <w:sz w:val="18"/>
              </w:rPr>
              <w:t>Pair block</w:t>
            </w:r>
          </w:p>
        </w:tc>
        <w:tc>
          <w:tcPr>
            <w:tcW w:type="dxa" w:w="7488"/>
            <w:vAlign w:val="center"/>
            <w:tcMar>
              <w:top w:w="65" w:type="dxa"/>
              <w:start w:w="85" w:type="dxa"/>
              <w:bottom w:w="65" w:type="dxa"/>
              <w:end w:w="85" w:type="dxa"/>
            </w:tcMar>
          </w:tcPr>
          <w:p>
            <w:pPr>
              <w:spacing w:after="20"/>
              <w:jc w:val="left"/>
            </w:pPr>
            <w:r>
              <w:rPr>
                <w:sz w:val="18"/>
              </w:rPr>
              <w:t>compatibility components, chemistry subscore, forecast, pair-rule hits, active clusters</w:t>
            </w:r>
          </w:p>
        </w:tc>
      </w:tr>
      <w:tr>
        <w:tc>
          <w:tcPr>
            <w:tcW w:type="dxa" w:w="2160"/>
            <w:vAlign w:val="center"/>
            <w:tcMar>
              <w:top w:w="65" w:type="dxa"/>
              <w:start w:w="85" w:type="dxa"/>
              <w:bottom w:w="65" w:type="dxa"/>
              <w:end w:w="85" w:type="dxa"/>
            </w:tcMar>
            <w:shd w:fill="F3F6FA"/>
          </w:tcPr>
          <w:p>
            <w:pPr>
              <w:spacing w:after="20"/>
              <w:jc w:val="left"/>
            </w:pPr>
            <w:r>
              <w:rPr>
                <w:sz w:val="18"/>
              </w:rPr>
              <w:t>State block</w:t>
            </w:r>
          </w:p>
        </w:tc>
        <w:tc>
          <w:tcPr>
            <w:tcW w:type="dxa" w:w="7488"/>
            <w:vAlign w:val="center"/>
            <w:tcMar>
              <w:top w:w="65" w:type="dxa"/>
              <w:start w:w="85" w:type="dxa"/>
              <w:bottom w:w="65" w:type="dxa"/>
              <w:end w:w="85" w:type="dxa"/>
            </w:tcMar>
          </w:tcPr>
          <w:p>
            <w:pPr>
              <w:spacing w:after="20"/>
              <w:jc w:val="left"/>
            </w:pPr>
            <w:r>
              <w:rPr>
                <w:sz w:val="18"/>
              </w:rPr>
              <w:t>recent activation, grief load, anger state, recovery speed, Sanctuary cadence</w:t>
            </w:r>
          </w:p>
        </w:tc>
      </w:tr>
      <w:tr>
        <w:tc>
          <w:tcPr>
            <w:tcW w:type="dxa" w:w="2160"/>
            <w:vAlign w:val="center"/>
            <w:tcMar>
              <w:top w:w="65" w:type="dxa"/>
              <w:start w:w="85" w:type="dxa"/>
              <w:bottom w:w="65" w:type="dxa"/>
              <w:end w:w="85" w:type="dxa"/>
            </w:tcMar>
            <w:shd w:fill="F3F6FA"/>
          </w:tcPr>
          <w:p>
            <w:pPr>
              <w:spacing w:after="20"/>
              <w:jc w:val="left"/>
            </w:pPr>
            <w:r>
              <w:rPr>
                <w:sz w:val="18"/>
              </w:rPr>
              <w:t>Narrative block</w:t>
            </w:r>
          </w:p>
        </w:tc>
        <w:tc>
          <w:tcPr>
            <w:tcW w:type="dxa" w:w="7488"/>
            <w:vAlign w:val="center"/>
            <w:tcMar>
              <w:top w:w="65" w:type="dxa"/>
              <w:start w:w="85" w:type="dxa"/>
              <w:bottom w:w="65" w:type="dxa"/>
              <w:end w:w="85" w:type="dxa"/>
            </w:tcMar>
          </w:tcPr>
          <w:p>
            <w:pPr>
              <w:spacing w:after="20"/>
              <w:jc w:val="left"/>
            </w:pPr>
            <w:r>
              <w:rPr>
                <w:sz w:val="18"/>
              </w:rPr>
              <w:t>top validated themes, trigger profile, needs profile, tone / stance summary</w:t>
            </w:r>
          </w:p>
        </w:tc>
      </w:tr>
      <w:tr>
        <w:tc>
          <w:tcPr>
            <w:tcW w:type="dxa" w:w="2160"/>
            <w:vAlign w:val="center"/>
            <w:tcMar>
              <w:top w:w="65" w:type="dxa"/>
              <w:start w:w="85" w:type="dxa"/>
              <w:bottom w:w="65" w:type="dxa"/>
              <w:end w:w="85" w:type="dxa"/>
            </w:tcMar>
            <w:shd w:fill="F3F6FA"/>
          </w:tcPr>
          <w:p>
            <w:pPr>
              <w:spacing w:after="20"/>
              <w:jc w:val="left"/>
            </w:pPr>
            <w:r>
              <w:rPr>
                <w:sz w:val="18"/>
              </w:rPr>
              <w:t>Behavior block</w:t>
            </w:r>
          </w:p>
        </w:tc>
        <w:tc>
          <w:tcPr>
            <w:tcW w:type="dxa" w:w="7488"/>
            <w:vAlign w:val="center"/>
            <w:tcMar>
              <w:top w:w="65" w:type="dxa"/>
              <w:start w:w="85" w:type="dxa"/>
              <w:bottom w:w="65" w:type="dxa"/>
              <w:end w:w="85" w:type="dxa"/>
            </w:tcMar>
          </w:tcPr>
          <w:p>
            <w:pPr>
              <w:spacing w:after="20"/>
              <w:jc w:val="left"/>
            </w:pPr>
            <w:r>
              <w:rPr>
                <w:sz w:val="18"/>
              </w:rPr>
              <w:t>reply latency, reciprocity, rupture / repair counts, follow-through rates</w:t>
            </w:r>
          </w:p>
        </w:tc>
      </w:tr>
      <w:tr>
        <w:tc>
          <w:tcPr>
            <w:tcW w:type="dxa" w:w="2160"/>
            <w:vAlign w:val="center"/>
            <w:tcMar>
              <w:top w:w="65" w:type="dxa"/>
              <w:start w:w="85" w:type="dxa"/>
              <w:bottom w:w="65" w:type="dxa"/>
              <w:end w:w="85" w:type="dxa"/>
            </w:tcMar>
            <w:shd w:fill="F3F6FA"/>
          </w:tcPr>
          <w:p>
            <w:pPr>
              <w:spacing w:after="20"/>
              <w:jc w:val="left"/>
            </w:pPr>
            <w:r>
              <w:rPr>
                <w:sz w:val="18"/>
              </w:rPr>
              <w:t>Governance block</w:t>
            </w:r>
          </w:p>
        </w:tc>
        <w:tc>
          <w:tcPr>
            <w:tcW w:type="dxa" w:w="7488"/>
            <w:vAlign w:val="center"/>
            <w:tcMar>
              <w:top w:w="65" w:type="dxa"/>
              <w:start w:w="85" w:type="dxa"/>
              <w:bottom w:w="65" w:type="dxa"/>
              <w:end w:w="85" w:type="dxa"/>
            </w:tcMar>
          </w:tcPr>
          <w:p>
            <w:pPr>
              <w:spacing w:after="20"/>
              <w:jc w:val="left"/>
            </w:pPr>
            <w:r>
              <w:rPr>
                <w:sz w:val="18"/>
              </w:rPr>
              <w:t>consent scopes, evidence density, freshness, deletion flags, packet schema version</w:t>
            </w:r>
          </w:p>
        </w:tc>
      </w:tr>
    </w:tbl>
    <w:p/>
    <w:p>
      <w:pPr>
        <w:pStyle w:val="Heading1"/>
      </w:pPr>
      <w:r>
        <w:t>11. What this spec makes build-ready</w:t>
      </w:r>
    </w:p>
    <w:p>
      <w:pPr>
        <w:ind w:left="288" w:hanging="245"/>
      </w:pPr>
      <w:r>
        <w:rPr>
          <w:b/>
        </w:rPr>
        <w:t xml:space="preserve">• </w:t>
      </w:r>
      <w:r>
        <w:t>A feature store that maps directly to your scoring engine instead of wandering away from it.</w:t>
      </w:r>
    </w:p>
    <w:p>
      <w:pPr>
        <w:ind w:left="288" w:hanging="245"/>
      </w:pPr>
      <w:r>
        <w:rPr>
          <w:b/>
        </w:rPr>
        <w:t xml:space="preserve">• </w:t>
      </w:r>
      <w:r>
        <w:t>A governed Human Emotion Genome that can feed machine learning without becoming a privacy grenade.</w:t>
      </w:r>
    </w:p>
    <w:p>
      <w:pPr>
        <w:ind w:left="288" w:hanging="245"/>
      </w:pPr>
      <w:r>
        <w:rPr>
          <w:b/>
        </w:rPr>
        <w:t xml:space="preserve">• </w:t>
      </w:r>
      <w:r>
        <w:t>A training roadmap that keeps explainability first and lets learning improve ranking, forecasting, and coaching over time.</w:t>
      </w:r>
    </w:p>
    <w:p>
      <w:pPr>
        <w:ind w:left="288" w:hanging="245"/>
      </w:pPr>
      <w:r>
        <w:rPr>
          <w:b/>
        </w:rPr>
        <w:t xml:space="preserve">• </w:t>
      </w:r>
      <w:r>
        <w:t>A complete list of the core quantum calculations and dimensions that engineering, data, AI, and QA all need to share.</w:t>
      </w:r>
    </w:p>
    <w:p>
      <w:pPr>
        <w:pStyle w:val="Heading1"/>
      </w:pPr>
      <w:r>
        <w:t>Appendix A. Locked dimensions to preserve exactly</w:t>
      </w:r>
    </w:p>
    <w:p>
      <w:pPr>
        <w:ind w:left="288" w:hanging="245"/>
      </w:pPr>
      <w:r>
        <w:rPr>
          <w:b/>
        </w:rPr>
        <w:t xml:space="preserve">• </w:t>
      </w:r>
      <w:r>
        <w:t>Archetype distribution across the 10 core archetypes</w:t>
      </w:r>
    </w:p>
    <w:p>
      <w:pPr>
        <w:ind w:left="288" w:hanging="245"/>
      </w:pPr>
      <w:r>
        <w:rPr>
          <w:b/>
        </w:rPr>
        <w:t xml:space="preserve">• </w:t>
      </w:r>
      <w:r>
        <w:t>Shadow distribution across the 6 shadow patterns</w:t>
      </w:r>
    </w:p>
    <w:p>
      <w:pPr>
        <w:ind w:left="288" w:hanging="245"/>
      </w:pPr>
      <w:r>
        <w:rPr>
          <w:b/>
        </w:rPr>
        <w:t xml:space="preserve">• </w:t>
      </w:r>
      <w:r>
        <w:t>Compatibility components: archetype_fit, comm_fit, reg_fit, love_fit, readiness_fit, shadow_fit, integrity_fit, cluster_fit, pace_fit, polarity_fit, pursuit_fit, forecast_fit, risk_avg</w:t>
      </w:r>
    </w:p>
    <w:p>
      <w:pPr>
        <w:ind w:left="288" w:hanging="245"/>
      </w:pPr>
      <w:r>
        <w:rPr>
          <w:b/>
        </w:rPr>
        <w:t xml:space="preserve">• </w:t>
      </w:r>
      <w:r>
        <w:t>Answer-level norms: comm_health_norm, reg_health_norm, love_relational_norm, readiness_norm, pacing_norm, attachment_risk_norm, centered_polarity_norm, reciprocity_signal_norm, integrity_penalty_norm, cluster_penalty_norm, pattern_risk_norm, forecast_norm</w:t>
      </w:r>
    </w:p>
    <w:p>
      <w:pPr>
        <w:ind w:left="288" w:hanging="245"/>
      </w:pPr>
      <w:r>
        <w:rPr>
          <w:b/>
        </w:rPr>
        <w:t xml:space="preserve">• </w:t>
      </w:r>
      <w:r>
        <w:t>Polarity axes: initiation, pursuit preference, leadership comfort, surrender safety, calm receptivity, tension attraction, structure preference, energetic flexibility, validation dependency, erotic-safety alignment</w:t>
      </w:r>
    </w:p>
    <w:p>
      <w:pPr>
        <w:ind w:left="288" w:hanging="245"/>
      </w:pPr>
      <w:r>
        <w:rPr>
          <w:b/>
        </w:rPr>
        <w:t xml:space="preserve">• </w:t>
      </w:r>
      <w:r>
        <w:t>Genome families: tone, phrasing, behavior patterns, narrative themes, trigger classes, boundary / need signals, regulation markers, outcome telemetry</w:t>
      </w:r>
    </w:p>
    <w:p>
      <w:pPr>
        <w:pStyle w:val="Heading1"/>
      </w:pPr>
      <w:r>
        <w:t>Appendix B. Hard lines</w:t>
      </w:r>
    </w:p>
    <w:p>
      <w:pPr>
        <w:ind w:left="288" w:hanging="245"/>
      </w:pPr>
      <w:r>
        <w:rPr>
          <w:b/>
        </w:rPr>
        <w:t xml:space="preserve">• </w:t>
      </w:r>
      <w:r>
        <w:t>No coins, cosmetics, status badges, or premium purchases may alter scores, ranking thresholds, or model confidence.</w:t>
      </w:r>
    </w:p>
    <w:p>
      <w:pPr>
        <w:ind w:left="288" w:hanging="245"/>
      </w:pPr>
      <w:r>
        <w:rPr>
          <w:b/>
        </w:rPr>
        <w:t xml:space="preserve">• </w:t>
      </w:r>
      <w:r>
        <w:t>No model output may be shown as a diagnosis, disorder, or certainty claim.</w:t>
      </w:r>
    </w:p>
    <w:p>
      <w:pPr>
        <w:ind w:left="288" w:hanging="245"/>
      </w:pPr>
      <w:r>
        <w:rPr>
          <w:b/>
        </w:rPr>
        <w:t xml:space="preserve">• </w:t>
      </w:r>
      <w:r>
        <w:t>No private reflection, shadow label, internal risk flag, or safety flag may be exposed to a match.</w:t>
      </w:r>
    </w:p>
    <w:p>
      <w:pPr>
        <w:ind w:left="288" w:hanging="245"/>
      </w:pPr>
      <w:r>
        <w:rPr>
          <w:b/>
        </w:rPr>
        <w:t xml:space="preserve">• </w:t>
      </w:r>
      <w:r>
        <w:t>No single conversation may rewrite a durable trait. The system must earn that confidence.</w:t>
      </w:r>
    </w:p>
    <w:sectPr w:rsidR="00FC693F" w:rsidRPr="0006063C" w:rsidSect="00034616">
      <w:footerReference w:type="default" r:id="rId9"/>
      <w:pgSz w:w="12240" w:h="15840"/>
      <w:pgMar w:top="1080"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A5A5A"/>
        <w:sz w:val="16"/>
      </w:rPr>
      <w:t>Genesis OS - Feature Engineering and ML Training Spec v1</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20" w:line="259" w:lineRule="auto"/>
      <w:outlineLvl w:val="0"/>
    </w:pPr>
    <w:rPr>
      <w:rFonts w:asciiTheme="majorHAnsi" w:eastAsiaTheme="majorEastAsia" w:hAnsiTheme="majorHAnsi" w:cstheme="majorBidi" w:ascii="Aptos Display" w:hAnsi="Aptos Display"/>
      <w:b/>
      <w:bCs/>
      <w:color w:val="18365D"/>
      <w:sz w:val="30"/>
      <w:szCs w:val="28"/>
    </w:rPr>
  </w:style>
  <w:style w:type="paragraph" w:styleId="Heading2">
    <w:name w:val="heading 2"/>
    <w:basedOn w:val="Normal"/>
    <w:next w:val="Normal"/>
    <w:link w:val="Heading2Char"/>
    <w:uiPriority w:val="9"/>
    <w:unhideWhenUsed/>
    <w:qFormat/>
    <w:rsid w:val="00FC693F"/>
    <w:pPr>
      <w:keepNext/>
      <w:keepLines/>
      <w:spacing w:before="200" w:after="120" w:line="259" w:lineRule="auto"/>
      <w:outlineLvl w:val="1"/>
    </w:pPr>
    <w:rPr>
      <w:rFonts w:asciiTheme="majorHAnsi" w:eastAsiaTheme="majorEastAsia" w:hAnsiTheme="majorHAnsi" w:cstheme="majorBidi" w:ascii="Aptos" w:hAnsi="Aptos"/>
      <w:b/>
      <w:bCs/>
      <w:color w:val="224E8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59" w:lineRule="auto"/>
      <w:contextualSpacing/>
    </w:pPr>
    <w:rPr>
      <w:rFonts w:asciiTheme="majorHAnsi" w:eastAsiaTheme="majorEastAsia" w:hAnsiTheme="majorHAnsi" w:cstheme="majorBidi" w:ascii="Aptos Display" w:hAnsi="Aptos Display"/>
      <w:b/>
      <w:color w:val="18365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ustomSubtitle">
    <w:name w:val="Custom Subtitle"/>
    <w:basedOn w:val="Normal"/>
    <w:pPr>
      <w:spacing w:after="120" w:line="259" w:lineRule="auto"/>
    </w:pPr>
    <w:rPr>
      <w:rFonts w:ascii="Aptos" w:hAnsi="Aptos"/>
      <w:i/>
      <w:color w:val="526072"/>
      <w:sz w:val="22"/>
    </w:rPr>
  </w:style>
  <w:style w:type="paragraph" w:customStyle="1" w:styleId="CustomHeading3">
    <w:name w:val="Custom Heading 3"/>
    <w:basedOn w:val="Normal"/>
    <w:pPr>
      <w:spacing w:after="120" w:line="259" w:lineRule="auto"/>
    </w:pPr>
    <w:rPr>
      <w:rFonts w:ascii="Aptos" w:hAnsi="Aptos"/>
      <w:b/>
      <w:color w:val="3C3C3C"/>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