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A7C8F"/>
          <w:sz w:val="28"/>
        </w:rPr>
        <w:t>GENESIS OS / RELATIONSHIP SCORES</w:t>
      </w:r>
    </w:p>
    <w:p>
      <w:pPr>
        <w:jc w:val="center"/>
      </w:pPr>
      <w:r>
        <w:rPr>
          <w:b/>
          <w:color w:val="1F4E79"/>
          <w:sz w:val="48"/>
        </w:rPr>
        <w:t>Operational Closure Specification - Revised for Workbook v10 + Quantum Mirror</w:t>
      </w:r>
    </w:p>
    <w:p>
      <w:pPr>
        <w:jc w:val="center"/>
      </w:pPr>
      <w:r>
        <w:rPr>
          <w:i/>
          <w:sz w:val="22"/>
        </w:rPr>
        <w:t>Production closure rules, score doctrine, governance, evidence bands, build gates, and rollout order aligned to the current workbook-governed system.</w:t>
      </w:r>
    </w:p>
    <w:tbl>
      <w:tblPr>
        <w:tblStyle w:val="TableGrid"/>
        <w:tblW w:type="auto" w:w="0"/>
        <w:jc w:val="center"/>
        <w:tblLook w:firstColumn="1" w:firstRow="1" w:lastColumn="0" w:lastRow="0" w:noHBand="0" w:noVBand="1" w:val="04A0"/>
      </w:tblPr>
      <w:tblGrid>
        <w:gridCol w:w="2880"/>
        <w:gridCol w:w="6912"/>
      </w:tblGrid>
      <w:tr>
        <w:tc>
          <w:tcPr>
            <w:tcW w:type="dxa" w:w="4968"/>
            <w:vAlign w:val="center"/>
            <w:tcMar>
              <w:top w:w="80" w:type="dxa"/>
              <w:start w:w="90" w:type="dxa"/>
              <w:bottom w:w="80" w:type="dxa"/>
              <w:end w:w="90" w:type="dxa"/>
            </w:tcMar>
            <w:shd w:fill="DCEAF7"/>
          </w:tcPr>
          <w:p>
            <w:r>
              <w:rPr>
                <w:b/>
              </w:rPr>
              <w:t>Authoritative sources</w:t>
            </w:r>
          </w:p>
        </w:tc>
        <w:tc>
          <w:tcPr>
            <w:tcW w:type="dxa" w:w="4968"/>
            <w:vAlign w:val="center"/>
            <w:tcMar>
              <w:top w:w="80" w:type="dxa"/>
              <w:start w:w="90" w:type="dxa"/>
              <w:bottom w:w="80" w:type="dxa"/>
              <w:end w:w="90" w:type="dxa"/>
            </w:tcMar>
          </w:tcPr>
          <w:p>
            <w:r>
              <w:t>Workbook v10 polarity workbook, Unified Master Blueprint Corrected, Workbook-Aligned Blueprint, Quantum Mirror, Companion Systems Corrected, Missing Layers Detailed v2.</w:t>
            </w:r>
          </w:p>
        </w:tc>
      </w:tr>
      <w:tr>
        <w:tc>
          <w:tcPr>
            <w:tcW w:type="dxa" w:w="4968"/>
            <w:vAlign w:val="center"/>
            <w:tcMar>
              <w:top w:w="80" w:type="dxa"/>
              <w:start w:w="90" w:type="dxa"/>
              <w:bottom w:w="80" w:type="dxa"/>
              <w:end w:w="90" w:type="dxa"/>
            </w:tcMar>
            <w:shd w:fill="DCEAF7"/>
          </w:tcPr>
          <w:p>
            <w:r>
              <w:rPr>
                <w:b/>
              </w:rPr>
              <w:t>What this revision fixes</w:t>
            </w:r>
          </w:p>
        </w:tc>
        <w:tc>
          <w:tcPr>
            <w:tcW w:type="dxa" w:w="4968"/>
            <w:vAlign w:val="center"/>
            <w:tcMar>
              <w:top w:w="80" w:type="dxa"/>
              <w:start w:w="90" w:type="dxa"/>
              <w:bottom w:w="80" w:type="dxa"/>
              <w:end w:w="90" w:type="dxa"/>
            </w:tcMar>
          </w:tcPr>
          <w:p>
            <w:r>
              <w:t>Removes outdated v4 / legacy scoring references and replaces them with the current 52 / 23 / 13 / 12 score stack, pair quantum runtime, polarity chemistry law, and modern governance rules.</w:t>
            </w:r>
          </w:p>
        </w:tc>
      </w:tr>
      <w:tr>
        <w:tc>
          <w:tcPr>
            <w:tcW w:type="dxa" w:w="4968"/>
            <w:vAlign w:val="center"/>
            <w:tcMar>
              <w:top w:w="80" w:type="dxa"/>
              <w:start w:w="90" w:type="dxa"/>
              <w:bottom w:w="80" w:type="dxa"/>
              <w:end w:w="90" w:type="dxa"/>
            </w:tcMar>
            <w:shd w:fill="DCEAF7"/>
          </w:tcPr>
          <w:p>
            <w:r>
              <w:rPr>
                <w:b/>
              </w:rPr>
              <w:t>Who uses this</w:t>
            </w:r>
          </w:p>
        </w:tc>
        <w:tc>
          <w:tcPr>
            <w:tcW w:type="dxa" w:w="4968"/>
            <w:vAlign w:val="center"/>
            <w:tcMar>
              <w:top w:w="80" w:type="dxa"/>
              <w:start w:w="90" w:type="dxa"/>
              <w:bottom w:w="80" w:type="dxa"/>
              <w:end w:w="90" w:type="dxa"/>
            </w:tcMar>
          </w:tcPr>
          <w:p>
            <w:r>
              <w:t>Founders, product, backend, mobile, AI/ML, data, trust &amp; safety, analytics, QA, and implementation partners.</w:t>
            </w:r>
          </w:p>
        </w:tc>
      </w:tr>
    </w:tbl>
    <w:p/>
    <w:p>
      <w:pPr>
        <w:pStyle w:val="Heading1"/>
      </w:pPr>
      <w:r>
        <w:t>1. Executive closure summary</w:t>
      </w:r>
    </w:p>
    <w:p>
      <w:r>
        <w:t>This revised closure spec exists to finish the last operational locks around the current system. The old version was useful, but it still carried legacy score doctrine. This revision resets the governing law so developers build from the workbook-governed engine that now exists, not from older deferred logic.</w:t>
      </w:r>
    </w:p>
    <w:p>
      <w:pPr>
        <w:pStyle w:val="ListBullet"/>
        <w:spacing w:after="20"/>
      </w:pPr>
      <w:r>
        <w:t>The workbook is now the score authority. Word docs explain, constrain, and govern; they do not override workbook formulas or score labels.</w:t>
      </w:r>
    </w:p>
    <w:p>
      <w:pPr>
        <w:pStyle w:val="ListBullet"/>
        <w:spacing w:after="20"/>
      </w:pPr>
      <w:r>
        <w:t>The public system is driven by a four-layer stack: 52% Pair Quantum, 23% Archetype &amp; Shadow alignment, 13% Chemistry, 12% Cosmic overlay.</w:t>
      </w:r>
    </w:p>
    <w:p>
      <w:pPr>
        <w:pStyle w:val="ListBullet"/>
        <w:spacing w:after="20"/>
      </w:pPr>
      <w:r>
        <w:t>Polarity v10 is now official chemistry law, not a side concept. Chemistry is measured, gated, and capped so drama does not cosplay as destiny.</w:t>
      </w:r>
    </w:p>
    <w:p>
      <w:pPr>
        <w:pStyle w:val="ListBullet"/>
        <w:spacing w:after="20"/>
      </w:pPr>
      <w:r>
        <w:t>Quantum Mirror is treated as the governed narrative and evidence layer for the Human Emotion Genome, not as a freeform prompt toy.</w:t>
      </w:r>
    </w:p>
    <w:p>
      <w:pPr>
        <w:pStyle w:val="ListBullet"/>
        <w:spacing w:after="20"/>
      </w:pPr>
      <w:r>
        <w:t>Companion systems may propose, enrich, and monitor - but may not rewrite slow identity or final score law outside the governor rules.</w:t>
      </w:r>
    </w:p>
    <w:p>
      <w:pPr>
        <w:pStyle w:val="Heading1"/>
      </w:pPr>
      <w:r>
        <w:t>2. File precedence and source-of-truth order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BFD7EE"/>
          </w:tcPr>
          <w:p>
            <w:r>
              <w:rPr>
                <w:b/>
              </w:rPr>
              <w:t>Priority</w:t>
            </w:r>
          </w:p>
        </w:tc>
        <w:tc>
          <w:tcPr>
            <w:tcW w:type="dxa" w:w="3312"/>
            <w:vAlign w:val="center"/>
            <w:tcMar>
              <w:top w:w="80" w:type="dxa"/>
              <w:start w:w="90" w:type="dxa"/>
              <w:bottom w:w="80" w:type="dxa"/>
              <w:end w:w="90" w:type="dxa"/>
            </w:tcMar>
            <w:shd w:fill="BFD7EE"/>
          </w:tcPr>
          <w:p>
            <w:r>
              <w:rPr>
                <w:b/>
              </w:rPr>
              <w:t>File / artifact</w:t>
            </w:r>
          </w:p>
        </w:tc>
        <w:tc>
          <w:tcPr>
            <w:tcW w:type="dxa" w:w="3312"/>
            <w:vAlign w:val="center"/>
            <w:tcMar>
              <w:top w:w="80" w:type="dxa"/>
              <w:start w:w="90" w:type="dxa"/>
              <w:bottom w:w="80" w:type="dxa"/>
              <w:end w:w="90" w:type="dxa"/>
            </w:tcMar>
            <w:shd w:fill="BFD7EE"/>
          </w:tcPr>
          <w:p>
            <w:r>
              <w:rPr>
                <w:b/>
              </w:rPr>
              <w:t>How it is used</w:t>
            </w:r>
          </w:p>
        </w:tc>
      </w:tr>
      <w:tr>
        <w:tc>
          <w:tcPr>
            <w:tcW w:type="dxa" w:w="3312"/>
          </w:tcPr>
          <w:p>
            <w:r>
              <w:t>1</w:t>
            </w:r>
          </w:p>
        </w:tc>
        <w:tc>
          <w:tcPr>
            <w:tcW w:type="dxa" w:w="3312"/>
          </w:tcPr>
          <w:p>
            <w:r>
              <w:t>genesis_os_final_quantum_scoring_workbook_v10_polarity.xlsx</w:t>
            </w:r>
          </w:p>
        </w:tc>
        <w:tc>
          <w:tcPr>
            <w:tcW w:type="dxa" w:w="3312"/>
          </w:tcPr>
          <w:p>
            <w:r>
              <w:t>Canonical score law, answer-bank metrics, pair quantum logic, polarity dimensions, matrices, overlays, and tracked scoring fields.</w:t>
            </w:r>
          </w:p>
        </w:tc>
      </w:tr>
      <w:tr>
        <w:tc>
          <w:tcPr>
            <w:tcW w:type="dxa" w:w="3312"/>
          </w:tcPr>
          <w:p>
            <w:r>
              <w:t>2</w:t>
            </w:r>
          </w:p>
        </w:tc>
        <w:tc>
          <w:tcPr>
            <w:tcW w:type="dxa" w:w="3312"/>
          </w:tcPr>
          <w:p>
            <w:r>
              <w:t>Genesis_OS_Unified_Master_Blueprint_Corrected.docx</w:t>
            </w:r>
          </w:p>
        </w:tc>
        <w:tc>
          <w:tcPr>
            <w:tcW w:type="dxa" w:w="3312"/>
          </w:tcPr>
          <w:p>
            <w:r>
              <w:t>Master implementation narrative, workbook registry, service ownership, storage rules, build order, and corrected system scope.</w:t>
            </w:r>
          </w:p>
        </w:tc>
      </w:tr>
      <w:tr>
        <w:tc>
          <w:tcPr>
            <w:tcW w:type="dxa" w:w="3312"/>
          </w:tcPr>
          <w:p>
            <w:r>
              <w:t>3</w:t>
            </w:r>
          </w:p>
        </w:tc>
        <w:tc>
          <w:tcPr>
            <w:tcW w:type="dxa" w:w="3312"/>
          </w:tcPr>
          <w:p>
            <w:r>
              <w:t>Workbook-aligned and architecture specs</w:t>
            </w:r>
          </w:p>
        </w:tc>
        <w:tc>
          <w:tcPr>
            <w:tcW w:type="dxa" w:w="3312"/>
          </w:tcPr>
          <w:p>
            <w:r>
              <w:t>Engineering handoff, packet flow, service boundaries, AI governance, ML feature law, and closure rules.</w:t>
            </w:r>
          </w:p>
        </w:tc>
      </w:tr>
      <w:tr>
        <w:tc>
          <w:tcPr>
            <w:tcW w:type="dxa" w:w="3312"/>
          </w:tcPr>
          <w:p>
            <w:r>
              <w:t>4</w:t>
            </w:r>
          </w:p>
        </w:tc>
        <w:tc>
          <w:tcPr>
            <w:tcW w:type="dxa" w:w="3312"/>
          </w:tcPr>
          <w:p>
            <w:r>
              <w:t>Companion Systems / Missing Layers / Quantum Mirror docs</w:t>
            </w:r>
          </w:p>
        </w:tc>
        <w:tc>
          <w:tcPr>
            <w:tcW w:type="dxa" w:w="3312"/>
          </w:tcPr>
          <w:p>
            <w:r>
              <w:t>Runtime enrichment, missing-data capture, emotion-genome labeling, evidence bands, and event sourcing.</w:t>
            </w:r>
          </w:p>
        </w:tc>
      </w:tr>
      <w:tr>
        <w:tc>
          <w:tcPr>
            <w:tcW w:type="dxa" w:w="3312"/>
          </w:tcPr>
          <w:p>
            <w:r>
              <w:t>5</w:t>
            </w:r>
          </w:p>
        </w:tc>
        <w:tc>
          <w:tcPr>
            <w:tcW w:type="dxa" w:w="3312"/>
          </w:tcPr>
          <w:p>
            <w:r>
              <w:t>Legacy blueprint language</w:t>
            </w:r>
          </w:p>
        </w:tc>
        <w:tc>
          <w:tcPr>
            <w:tcW w:type="dxa" w:w="3312"/>
          </w:tcPr>
          <w:p>
            <w:r>
              <w:t>Keep only for non-scoring context if it does not conflict with items 1-4.</w:t>
            </w:r>
          </w:p>
        </w:tc>
      </w:tr>
    </w:tbl>
    <w:p>
      <w:r>
        <w:t>Rule: if any older Word section conflicts with the workbook or workbook-aligned score law, the workbook wins.</w:t>
      </w:r>
    </w:p>
    <w:p>
      <w:pPr>
        <w:pStyle w:val="Heading1"/>
      </w:pPr>
      <w:r>
        <w:t>3. Non-negotiable build principles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BFD7EE"/>
          </w:tcPr>
          <w:p>
            <w:r>
              <w:rPr>
                <w:b/>
              </w:rPr>
              <w:t>Principle</w:t>
            </w:r>
          </w:p>
        </w:tc>
        <w:tc>
          <w:tcPr>
            <w:tcW w:type="dxa" w:w="4968"/>
            <w:vAlign w:val="center"/>
            <w:tcMar>
              <w:top w:w="80" w:type="dxa"/>
              <w:start w:w="90" w:type="dxa"/>
              <w:bottom w:w="80" w:type="dxa"/>
              <w:end w:w="90" w:type="dxa"/>
            </w:tcMar>
            <w:shd w:fill="BFD7EE"/>
          </w:tcPr>
          <w:p>
            <w:r>
              <w:rPr>
                <w:b/>
              </w:rPr>
              <w:t>Production meaning</w:t>
            </w:r>
          </w:p>
        </w:tc>
      </w:tr>
      <w:tr>
        <w:tc>
          <w:tcPr>
            <w:tcW w:type="dxa" w:w="4968"/>
          </w:tcPr>
          <w:p>
            <w:r>
              <w:t>Deterministic first</w:t>
            </w:r>
          </w:p>
        </w:tc>
        <w:tc>
          <w:tcPr>
            <w:tcW w:type="dxa" w:w="4968"/>
          </w:tcPr>
          <w:p>
            <w:r>
              <w:t>Every visible score must be reproducible from stored fields, lookup tables, versioned formulas, and packet history.</w:t>
            </w:r>
          </w:p>
        </w:tc>
      </w:tr>
      <w:tr>
        <w:tc>
          <w:tcPr>
            <w:tcW w:type="dxa" w:w="4968"/>
          </w:tcPr>
          <w:p>
            <w:r>
              <w:t>Event-sourced truth</w:t>
            </w:r>
          </w:p>
        </w:tc>
        <w:tc>
          <w:tcPr>
            <w:tcW w:type="dxa" w:w="4968"/>
          </w:tcPr>
          <w:p>
            <w:r>
              <w:t>Raw events remain intact. Summaries, AI narratives, and forecasts sit on top of source truth, not instead of it.</w:t>
            </w:r>
          </w:p>
        </w:tc>
      </w:tr>
      <w:tr>
        <w:tc>
          <w:tcPr>
            <w:tcW w:type="dxa" w:w="4968"/>
          </w:tcPr>
          <w:p>
            <w:r>
              <w:t>Fast vs slow separation</w:t>
            </w:r>
          </w:p>
        </w:tc>
        <w:tc>
          <w:tcPr>
            <w:tcW w:type="dxa" w:w="4968"/>
          </w:tcPr>
          <w:p>
            <w:r>
              <w:t>Mood, anger, grief, tension, and chat heat move quickly. Archetype, dominant shadow, and baseline polarity move only through governed evidence thresholds.</w:t>
            </w:r>
          </w:p>
        </w:tc>
      </w:tr>
      <w:tr>
        <w:tc>
          <w:tcPr>
            <w:tcW w:type="dxa" w:w="4968"/>
          </w:tcPr>
          <w:p>
            <w:r>
              <w:t>Canon over synonyms</w:t>
            </w:r>
          </w:p>
        </w:tc>
        <w:tc>
          <w:tcPr>
            <w:tcW w:type="dxa" w:w="4968"/>
          </w:tcPr>
          <w:p>
            <w:r>
              <w:t>Canonical IDs, enums, and field names do not drift to match marketing copy.</w:t>
            </w:r>
          </w:p>
        </w:tc>
      </w:tr>
      <w:tr>
        <w:tc>
          <w:tcPr>
            <w:tcW w:type="dxa" w:w="4968"/>
          </w:tcPr>
          <w:p>
            <w:r>
              <w:t>Consent by scope</w:t>
            </w:r>
          </w:p>
        </w:tc>
        <w:tc>
          <w:tcPr>
            <w:tcW w:type="dxa" w:w="4968"/>
          </w:tcPr>
          <w:p>
            <w:r>
              <w:t>Assessment AI, Sanctuary AI, match AI, and chat AI are separate scopes.</w:t>
            </w:r>
          </w:p>
        </w:tc>
      </w:tr>
      <w:tr>
        <w:tc>
          <w:tcPr>
            <w:tcW w:type="dxa" w:w="4968"/>
          </w:tcPr>
          <w:p>
            <w:r>
              <w:t>Evidence before certainty</w:t>
            </w:r>
          </w:p>
        </w:tc>
        <w:tc>
          <w:tcPr>
            <w:tcW w:type="dxa" w:w="4968"/>
          </w:tcPr>
          <w:p>
            <w:r>
              <w:t>Thin evidence produces soft language or internal-only outputs.</w:t>
            </w:r>
          </w:p>
        </w:tc>
      </w:tr>
      <w:tr>
        <w:tc>
          <w:tcPr>
            <w:tcW w:type="dxa" w:w="4968"/>
          </w:tcPr>
          <w:p>
            <w:r>
              <w:t>Graceful degradation</w:t>
            </w:r>
          </w:p>
        </w:tc>
        <w:tc>
          <w:tcPr>
            <w:tcW w:type="dxa" w:w="4968"/>
          </w:tcPr>
          <w:p>
            <w:r>
              <w:t>If AI or secondary modules fail, the deterministic scoring core still works.</w:t>
            </w:r>
          </w:p>
        </w:tc>
      </w:tr>
      <w:tr>
        <w:tc>
          <w:tcPr>
            <w:tcW w:type="dxa" w:w="4968"/>
          </w:tcPr>
          <w:p>
            <w:r>
              <w:t>No companion overwrite</w:t>
            </w:r>
          </w:p>
        </w:tc>
        <w:tc>
          <w:tcPr>
            <w:tcW w:type="dxa" w:w="4968"/>
          </w:tcPr>
          <w:p>
            <w:r>
              <w:t>Companion modules can contribute evidence only. They may not directly overwrite slow identity, score law, or hidden risk flags.</w:t>
            </w:r>
          </w:p>
        </w:tc>
      </w:tr>
    </w:tbl>
    <w:p>
      <w:pPr>
        <w:pStyle w:val="Heading1"/>
      </w:pPr>
      <w:r>
        <w:t>4. Production scoring doctrine - current workbook law</w:t>
      </w:r>
    </w:p>
    <w:p>
      <w:r>
        <w:t>This section replaces the old closure spec scoring language. The current public compatibility engine is built around the workbook-governed weighted stack below.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Mar>
              <w:top w:w="80" w:type="dxa"/>
              <w:start w:w="90" w:type="dxa"/>
              <w:bottom w:w="80" w:type="dxa"/>
              <w:end w:w="90" w:type="dxa"/>
            </w:tcMar>
            <w:shd w:fill="BFD7EE"/>
          </w:tcPr>
          <w:p>
            <w:r>
              <w:rPr>
                <w:b/>
              </w:rPr>
              <w:t>Layer</w:t>
            </w:r>
          </w:p>
        </w:tc>
        <w:tc>
          <w:tcPr>
            <w:tcW w:type="dxa" w:w="1987"/>
            <w:vAlign w:val="center"/>
            <w:tcMar>
              <w:top w:w="80" w:type="dxa"/>
              <w:start w:w="90" w:type="dxa"/>
              <w:bottom w:w="80" w:type="dxa"/>
              <w:end w:w="90" w:type="dxa"/>
            </w:tcMar>
            <w:shd w:fill="BFD7EE"/>
          </w:tcPr>
          <w:p>
            <w:r>
              <w:rPr>
                <w:b/>
              </w:rPr>
              <w:t>Weight</w:t>
            </w:r>
          </w:p>
        </w:tc>
        <w:tc>
          <w:tcPr>
            <w:tcW w:type="dxa" w:w="1987"/>
            <w:vAlign w:val="center"/>
            <w:tcMar>
              <w:top w:w="80" w:type="dxa"/>
              <w:start w:w="90" w:type="dxa"/>
              <w:bottom w:w="80" w:type="dxa"/>
              <w:end w:w="90" w:type="dxa"/>
            </w:tcMar>
            <w:shd w:fill="BFD7EE"/>
          </w:tcPr>
          <w:p>
            <w:r>
              <w:rPr>
                <w:b/>
              </w:rPr>
              <w:t>Core inputs</w:t>
            </w:r>
          </w:p>
        </w:tc>
        <w:tc>
          <w:tcPr>
            <w:tcW w:type="dxa" w:w="1987"/>
            <w:vAlign w:val="center"/>
            <w:tcMar>
              <w:top w:w="80" w:type="dxa"/>
              <w:start w:w="90" w:type="dxa"/>
              <w:bottom w:w="80" w:type="dxa"/>
              <w:end w:w="90" w:type="dxa"/>
            </w:tcMar>
            <w:shd w:fill="BFD7EE"/>
          </w:tcPr>
          <w:p>
            <w:r>
              <w:rPr>
                <w:b/>
              </w:rPr>
              <w:t>Primary objects</w:t>
            </w:r>
          </w:p>
        </w:tc>
        <w:tc>
          <w:tcPr>
            <w:tcW w:type="dxa" w:w="1987"/>
            <w:vAlign w:val="center"/>
            <w:tcMar>
              <w:top w:w="80" w:type="dxa"/>
              <w:start w:w="90" w:type="dxa"/>
              <w:bottom w:w="80" w:type="dxa"/>
              <w:end w:w="90" w:type="dxa"/>
            </w:tcMar>
            <w:shd w:fill="BFD7EE"/>
          </w:tcPr>
          <w:p>
            <w:r>
              <w:rPr>
                <w:b/>
              </w:rPr>
              <w:t>Public effect</w:t>
            </w:r>
          </w:p>
        </w:tc>
      </w:tr>
      <w:tr>
        <w:tc>
          <w:tcPr>
            <w:tcW w:type="dxa" w:w="1987"/>
          </w:tcPr>
          <w:p>
            <w:r>
              <w:t>Pair Quantum</w:t>
            </w:r>
          </w:p>
        </w:tc>
        <w:tc>
          <w:tcPr>
            <w:tcW w:type="dxa" w:w="1987"/>
          </w:tcPr>
          <w:p>
            <w:r>
              <w:t>52%</w:t>
            </w:r>
          </w:p>
        </w:tc>
        <w:tc>
          <w:tcPr>
            <w:tcW w:type="dxa" w:w="1987"/>
          </w:tcPr>
          <w:p>
            <w:r>
              <w:t>AnswerPairQuantum row fit, question weights, pair penalties, gate logic, FinalNorm</w:t>
            </w:r>
          </w:p>
        </w:tc>
        <w:tc>
          <w:tcPr>
            <w:tcW w:type="dxa" w:w="1987"/>
          </w:tcPr>
          <w:p>
            <w:r>
              <w:t>pair_quantum_norm, pair_rule_flags, gate_status</w:t>
            </w:r>
          </w:p>
        </w:tc>
        <w:tc>
          <w:tcPr>
            <w:tcW w:type="dxa" w:w="1987"/>
          </w:tcPr>
          <w:p>
            <w:r>
              <w:t>Main compatibility engine</w:t>
            </w:r>
          </w:p>
        </w:tc>
      </w:tr>
      <w:tr>
        <w:tc>
          <w:tcPr>
            <w:tcW w:type="dxa" w:w="1987"/>
          </w:tcPr>
          <w:p>
            <w:r>
              <w:t>Archetype &amp; Shadow</w:t>
            </w:r>
          </w:p>
        </w:tc>
        <w:tc>
          <w:tcPr>
            <w:tcW w:type="dxa" w:w="1987"/>
          </w:tcPr>
          <w:p>
            <w:r>
              <w:t>23%</w:t>
            </w:r>
          </w:p>
        </w:tc>
        <w:tc>
          <w:tcPr>
            <w:tcW w:type="dxa" w:w="1987"/>
          </w:tcPr>
          <w:p>
            <w:r>
              <w:t>Archetype matrix, shadow matrix, dominant/secondary evidence, risk interaction</w:t>
            </w:r>
          </w:p>
        </w:tc>
        <w:tc>
          <w:tcPr>
            <w:tcW w:type="dxa" w:w="1987"/>
          </w:tcPr>
          <w:p>
            <w:r>
              <w:t>archetype_pair_norm, shadow_pair_norm, shadow_risk_flags</w:t>
            </w:r>
          </w:p>
        </w:tc>
        <w:tc>
          <w:tcPr>
            <w:tcW w:type="dxa" w:w="1987"/>
          </w:tcPr>
          <w:p>
            <w:r>
              <w:t>Behavioral fit and risk structure</w:t>
            </w:r>
          </w:p>
        </w:tc>
      </w:tr>
      <w:tr>
        <w:tc>
          <w:tcPr>
            <w:tcW w:type="dxa" w:w="1987"/>
          </w:tcPr>
          <w:p>
            <w:r>
              <w:t>Chemistry</w:t>
            </w:r>
          </w:p>
        </w:tc>
        <w:tc>
          <w:tcPr>
            <w:tcW w:type="dxa" w:w="1987"/>
          </w:tcPr>
          <w:p>
            <w:r>
              <w:t>13%</w:t>
            </w:r>
          </w:p>
        </w:tc>
        <w:tc>
          <w:tcPr>
            <w:tcW w:type="dxa" w:w="1987"/>
          </w:tcPr>
          <w:p>
            <w:r>
              <w:t>PolarityDimensionScore_0_100, AttractionPatternNorm, pursuit/receptivity rhythm</w:t>
            </w:r>
          </w:p>
        </w:tc>
        <w:tc>
          <w:tcPr>
            <w:tcW w:type="dxa" w:w="1987"/>
          </w:tcPr>
          <w:p>
            <w:r>
              <w:t>chemistry_norm, polarity_dimension_score, attraction_pattern_norm</w:t>
            </w:r>
          </w:p>
        </w:tc>
        <w:tc>
          <w:tcPr>
            <w:tcW w:type="dxa" w:w="1987"/>
          </w:tcPr>
          <w:p>
            <w:r>
              <w:t>Pull, tension, and energetic rhythm</w:t>
            </w:r>
          </w:p>
        </w:tc>
      </w:tr>
      <w:tr>
        <w:tc>
          <w:tcPr>
            <w:tcW w:type="dxa" w:w="1987"/>
          </w:tcPr>
          <w:p>
            <w:r>
              <w:t>Cosmic Overlay</w:t>
            </w:r>
          </w:p>
        </w:tc>
        <w:tc>
          <w:tcPr>
            <w:tcW w:type="dxa" w:w="1987"/>
          </w:tcPr>
          <w:p>
            <w:r>
              <w:t>12%</w:t>
            </w:r>
          </w:p>
        </w:tc>
        <w:tc>
          <w:tcPr>
            <w:tcW w:type="dxa" w:w="1987"/>
          </w:tcPr>
          <w:p>
            <w:r>
              <w:t>Zodiac lookup, numerology pair norms, optional overlay caps</w:t>
            </w:r>
          </w:p>
        </w:tc>
        <w:tc>
          <w:tcPr>
            <w:tcW w:type="dxa" w:w="1987"/>
          </w:tcPr>
          <w:p>
            <w:r>
              <w:t>astro_norm, numerology_norm, cosmic_overlay_norm</w:t>
            </w:r>
          </w:p>
        </w:tc>
        <w:tc>
          <w:tcPr>
            <w:tcW w:type="dxa" w:w="1987"/>
          </w:tcPr>
          <w:p>
            <w:r>
              <w:t>Refinement layer, never dominant</w:t>
            </w:r>
          </w:p>
        </w:tc>
      </w:tr>
    </w:tbl>
    <w:p>
      <w:r>
        <w:t>Compatibility score conversion: internal normalized score is converted to the public 350-850 scale after penalties, gates, and caps are applied. Cosmic overlay refines; it does not rescue weak behavioral fit. Chemistry can elevate or soften but may not overpower Pair Quantum stability.</w:t>
      </w:r>
    </w:p>
    <w:p>
      <w:r>
        <w:t>Readiness / forecast doctrine: the self-side system uses workbook-aligned individual answer evidence, contradiction pressure, regulation health, communication health, shadow burden, pacing stability, and integrity pressure to generate the internal readiness and public relationship forecast outputs. Public forecast may be displayed instead of a naked personal-grade readout in v1 if product policy chooses that path.</w:t>
      </w:r>
    </w:p>
    <w:p>
      <w:pPr>
        <w:pStyle w:val="Heading1"/>
      </w:pPr>
      <w:r>
        <w:t>5. Formula and metric lock</w:t>
      </w:r>
    </w:p>
    <w:p>
      <w:pPr>
        <w:pStyle w:val="ListBullet"/>
        <w:spacing w:after="20"/>
      </w:pPr>
      <w:r>
        <w:t>Row-level answer values remain multi-axis records, not single numbers. One answer may contribute to readiness, compatibility, archetype evidence, shadow evidence, polarity deltas, contradiction pressure, regulation pattern, love-language fit, and forecast relevance at the same time.</w:t>
      </w:r>
    </w:p>
    <w:p>
      <w:pPr>
        <w:pStyle w:val="ListBullet"/>
        <w:spacing w:after="20"/>
      </w:pPr>
      <w:r>
        <w:t>AnswerBank remains the row authority for answer labels, answer IDs, question IDs, weights, archetype/shadow tags, contradiction tags, polarity deltas, and any additional metric labels explicitly stored there.</w:t>
      </w:r>
    </w:p>
    <w:p>
      <w:pPr>
        <w:pStyle w:val="ListBullet"/>
        <w:spacing w:after="20"/>
      </w:pPr>
      <w:r>
        <w:t>AnswerPairQuantum remains the pair authority for answer-to-answer interaction, penalties, boosts, category interaction, gate flags, pair notes, and final pair quantum contribution.</w:t>
      </w:r>
    </w:p>
    <w:p>
      <w:pPr>
        <w:pStyle w:val="ListBullet"/>
        <w:spacing w:after="20"/>
      </w:pPr>
      <w:r>
        <w:t>MatchHarness or its implemented equivalent remains the runtime sequence reference for pair score assembly, including fetch, normalize, gate, aggregate, cap, and convert steps.</w:t>
      </w:r>
    </w:p>
    <w:p>
      <w:pPr>
        <w:pStyle w:val="ListBullet"/>
        <w:spacing w:after="20"/>
      </w:pPr>
      <w:r>
        <w:t>Any API package, JSON schema, or OpenAPI contract must conform to this workbook law. They may not silently reweight the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BFD7EE"/>
          </w:tcPr>
          <w:p>
            <w:r>
              <w:rPr>
                <w:b/>
              </w:rPr>
              <w:t>Locked metric / field</w:t>
            </w:r>
          </w:p>
        </w:tc>
        <w:tc>
          <w:tcPr>
            <w:tcW w:type="dxa" w:w="4968"/>
            <w:vAlign w:val="center"/>
            <w:tcMar>
              <w:top w:w="80" w:type="dxa"/>
              <w:start w:w="90" w:type="dxa"/>
              <w:bottom w:w="80" w:type="dxa"/>
              <w:end w:w="90" w:type="dxa"/>
            </w:tcMar>
            <w:shd w:fill="BFD7EE"/>
          </w:tcPr>
          <w:p>
            <w:r>
              <w:rPr>
                <w:b/>
              </w:rPr>
              <w:t>Usage note</w:t>
            </w:r>
          </w:p>
        </w:tc>
      </w:tr>
      <w:tr>
        <w:tc>
          <w:tcPr>
            <w:tcW w:type="dxa" w:w="4968"/>
          </w:tcPr>
          <w:p>
            <w:r>
              <w:t>pair_quantum_norm</w:t>
            </w:r>
          </w:p>
        </w:tc>
        <w:tc>
          <w:tcPr>
            <w:tcW w:type="dxa" w:w="4968"/>
          </w:tcPr>
          <w:p>
            <w:r>
              <w:t>Normalized contribution from answer-to-answer pair logic after question weighting and pair rules.</w:t>
            </w:r>
          </w:p>
        </w:tc>
      </w:tr>
      <w:tr>
        <w:tc>
          <w:tcPr>
            <w:tcW w:type="dxa" w:w="4968"/>
          </w:tcPr>
          <w:p>
            <w:r>
              <w:t>archetype_pair_norm</w:t>
            </w:r>
          </w:p>
        </w:tc>
        <w:tc>
          <w:tcPr>
            <w:tcW w:type="dxa" w:w="4968"/>
          </w:tcPr>
          <w:p>
            <w:r>
              <w:t>Normalized archetype compatibility contribution from the archetype matrix.</w:t>
            </w:r>
          </w:p>
        </w:tc>
      </w:tr>
      <w:tr>
        <w:tc>
          <w:tcPr>
            <w:tcW w:type="dxa" w:w="4968"/>
          </w:tcPr>
          <w:p>
            <w:r>
              <w:t>shadow_pair_norm</w:t>
            </w:r>
          </w:p>
        </w:tc>
        <w:tc>
          <w:tcPr>
            <w:tcW w:type="dxa" w:w="4968"/>
          </w:tcPr>
          <w:p>
            <w:r>
              <w:t>Normalized shadow interaction contribution with risk-aware penalties and compatibility logic.</w:t>
            </w:r>
          </w:p>
        </w:tc>
      </w:tr>
      <w:tr>
        <w:tc>
          <w:tcPr>
            <w:tcW w:type="dxa" w:w="4968"/>
          </w:tcPr>
          <w:p>
            <w:r>
              <w:t>polarity_dimension_score</w:t>
            </w:r>
          </w:p>
        </w:tc>
        <w:tc>
          <w:tcPr>
            <w:tcW w:type="dxa" w:w="4968"/>
          </w:tcPr>
          <w:p>
            <w:r>
              <w:t>Aggregate score from the ten official polarity axes.</w:t>
            </w:r>
          </w:p>
        </w:tc>
      </w:tr>
      <w:tr>
        <w:tc>
          <w:tcPr>
            <w:tcW w:type="dxa" w:w="4968"/>
          </w:tcPr>
          <w:p>
            <w:r>
              <w:t>attraction_pattern_norm</w:t>
            </w:r>
          </w:p>
        </w:tc>
        <w:tc>
          <w:tcPr>
            <w:tcW w:type="dxa" w:w="4968"/>
          </w:tcPr>
          <w:p>
            <w:r>
              <w:t>Pursuit/receptivity attraction rhythm score used inside Chemistry.</w:t>
            </w:r>
          </w:p>
        </w:tc>
      </w:tr>
      <w:tr>
        <w:tc>
          <w:tcPr>
            <w:tcW w:type="dxa" w:w="4968"/>
          </w:tcPr>
          <w:p>
            <w:r>
              <w:t>chemistry_norm</w:t>
            </w:r>
          </w:p>
        </w:tc>
        <w:tc>
          <w:tcPr>
            <w:tcW w:type="dxa" w:w="4968"/>
          </w:tcPr>
          <w:p>
            <w:r>
              <w:t>Final chemistry layer score after axis weighting and gating.</w:t>
            </w:r>
          </w:p>
        </w:tc>
      </w:tr>
      <w:tr>
        <w:tc>
          <w:tcPr>
            <w:tcW w:type="dxa" w:w="4968"/>
          </w:tcPr>
          <w:p>
            <w:r>
              <w:t>cosmic_overlay_norm</w:t>
            </w:r>
          </w:p>
        </w:tc>
        <w:tc>
          <w:tcPr>
            <w:tcW w:type="dxa" w:w="4968"/>
          </w:tcPr>
          <w:p>
            <w:r>
              <w:t>Combined astrology + numerology refinement subject to caps.</w:t>
            </w:r>
          </w:p>
        </w:tc>
      </w:tr>
      <w:tr>
        <w:tc>
          <w:tcPr>
            <w:tcW w:type="dxa" w:w="4968"/>
          </w:tcPr>
          <w:p>
            <w:r>
              <w:t>contradiction_pressure</w:t>
            </w:r>
          </w:p>
        </w:tc>
        <w:tc>
          <w:tcPr>
            <w:tcW w:type="dxa" w:w="4968"/>
          </w:tcPr>
          <w:p>
            <w:r>
              <w:t>Internal pressure field generated by contradiction clusters.</w:t>
            </w:r>
          </w:p>
        </w:tc>
      </w:tr>
      <w:tr>
        <w:tc>
          <w:tcPr>
            <w:tcW w:type="dxa" w:w="4968"/>
          </w:tcPr>
          <w:p>
            <w:r>
              <w:t>integrity_pressure</w:t>
            </w:r>
          </w:p>
        </w:tc>
        <w:tc>
          <w:tcPr>
            <w:tcW w:type="dxa" w:w="4968"/>
          </w:tcPr>
          <w:p>
            <w:r>
              <w:t>Internal signal used when consistency or narrative evidence diverges.</w:t>
            </w:r>
          </w:p>
        </w:tc>
      </w:tr>
      <w:tr>
        <w:tc>
          <w:tcPr>
            <w:tcW w:type="dxa" w:w="4968"/>
          </w:tcPr>
          <w:p>
            <w:r>
              <w:t>evidence_band</w:t>
            </w:r>
          </w:p>
        </w:tc>
        <w:tc>
          <w:tcPr>
            <w:tcW w:type="dxa" w:w="4968"/>
          </w:tcPr>
          <w:p>
            <w:r>
              <w:t>Quality of evidence attached to a forecast, AI insight, or genome inference.</w:t>
            </w:r>
          </w:p>
        </w:tc>
      </w:tr>
      <w:tr>
        <w:tc>
          <w:tcPr>
            <w:tcW w:type="dxa" w:w="4968"/>
          </w:tcPr>
          <w:p>
            <w:r>
              <w:t>forecast_confidence</w:t>
            </w:r>
          </w:p>
        </w:tc>
        <w:tc>
          <w:tcPr>
            <w:tcW w:type="dxa" w:w="4968"/>
          </w:tcPr>
          <w:p>
            <w:r>
              <w:t>Confidence value paired with the evidence band; never shown without its evidence band.</w:t>
            </w:r>
          </w:p>
        </w:tc>
      </w:tr>
    </w:tbl>
    <w:p>
      <w:pPr>
        <w:pStyle w:val="Heading1"/>
      </w:pPr>
      <w:r>
        <w:t>6. Polarity v10 closure rules</w:t>
      </w:r>
    </w:p>
    <w:p>
      <w:pPr>
        <w:pStyle w:val="ListBullet"/>
        <w:spacing w:after="20"/>
      </w:pPr>
      <w:r>
        <w:t>Chemistry is split into 8% polarity fit + 5% pursuit/receptivity fit inside the 13% chemistry layer.</w:t>
      </w:r>
    </w:p>
    <w:p>
      <w:pPr>
        <w:pStyle w:val="ListBullet"/>
        <w:spacing w:after="20"/>
      </w:pPr>
      <w:r>
        <w:t>Official polarity axes include initiation, leadership comfort, surrender safety, tension attraction, calm receptivity, directness, pacing comfort, emotional openness rhythm, erotic polarity tolerance, and repair willingness rhythm.</w:t>
      </w:r>
    </w:p>
    <w:p>
      <w:pPr>
        <w:pStyle w:val="ListBullet"/>
        <w:spacing w:after="20"/>
      </w:pPr>
      <w:r>
        <w:t>Each axis must declare its fit type: complement, similarity, bounded-difference, or gated risk.</w:t>
      </w:r>
    </w:p>
    <w:p>
      <w:pPr>
        <w:pStyle w:val="ListBullet"/>
        <w:spacing w:after="20"/>
      </w:pPr>
      <w:r>
        <w:t>Polarity is stored as dimensions, not as fuzzy masculine/feminine branding labels.</w:t>
      </w:r>
    </w:p>
    <w:p>
      <w:pPr>
        <w:pStyle w:val="ListBullet"/>
        <w:spacing w:after="20"/>
      </w:pPr>
      <w:r>
        <w:t>High-heat polarity may increase attraction but cannot wipe out high-risk behavioral incompatibility.</w:t>
      </w:r>
    </w:p>
    <w:p>
      <w:pPr>
        <w:pStyle w:val="Heading1"/>
      </w:pPr>
      <w:r>
        <w:t>7. Contradiction cluster and integrity closure</w:t>
      </w:r>
    </w:p>
    <w:p>
      <w:r>
        <w:t>The active contradiction logic must be implemented from the revised contradiction-cluster rules, not from scattered historical references.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90" w:type="dxa"/>
              <w:bottom w:w="80" w:type="dxa"/>
              <w:end w:w="90" w:type="dxa"/>
            </w:tcMar>
            <w:shd w:fill="BFD7EE"/>
          </w:tcPr>
          <w:p>
            <w:r>
              <w:rPr>
                <w:b/>
              </w:rPr>
              <w:t>Cluster type</w:t>
            </w:r>
          </w:p>
        </w:tc>
        <w:tc>
          <w:tcPr>
            <w:tcW w:type="dxa" w:w="2484"/>
            <w:vAlign w:val="center"/>
            <w:tcMar>
              <w:top w:w="80" w:type="dxa"/>
              <w:start w:w="90" w:type="dxa"/>
              <w:bottom w:w="80" w:type="dxa"/>
              <w:end w:w="90" w:type="dxa"/>
            </w:tcMar>
            <w:shd w:fill="BFD7EE"/>
          </w:tcPr>
          <w:p>
            <w:r>
              <w:rPr>
                <w:b/>
              </w:rPr>
              <w:t>Primary trigger source</w:t>
            </w:r>
          </w:p>
        </w:tc>
        <w:tc>
          <w:tcPr>
            <w:tcW w:type="dxa" w:w="2484"/>
            <w:vAlign w:val="center"/>
            <w:tcMar>
              <w:top w:w="80" w:type="dxa"/>
              <w:start w:w="90" w:type="dxa"/>
              <w:bottom w:w="80" w:type="dxa"/>
              <w:end w:w="90" w:type="dxa"/>
            </w:tcMar>
            <w:shd w:fill="BFD7EE"/>
          </w:tcPr>
          <w:p>
            <w:r>
              <w:rPr>
                <w:b/>
              </w:rPr>
              <w:t>Where it hits</w:t>
            </w:r>
          </w:p>
        </w:tc>
        <w:tc>
          <w:tcPr>
            <w:tcW w:type="dxa" w:w="2484"/>
            <w:vAlign w:val="center"/>
            <w:tcMar>
              <w:top w:w="80" w:type="dxa"/>
              <w:start w:w="90" w:type="dxa"/>
              <w:bottom w:w="80" w:type="dxa"/>
              <w:end w:w="90" w:type="dxa"/>
            </w:tcMar>
            <w:shd w:fill="BFD7EE"/>
          </w:tcPr>
          <w:p>
            <w:r>
              <w:rPr>
                <w:b/>
              </w:rPr>
              <w:t>Visibility rule</w:t>
            </w:r>
          </w:p>
        </w:tc>
      </w:tr>
      <w:tr>
        <w:tc>
          <w:tcPr>
            <w:tcW w:type="dxa" w:w="2484"/>
          </w:tcPr>
          <w:p>
            <w:r>
              <w:t>Locked now: Vulnerability Loop</w:t>
            </w:r>
          </w:p>
        </w:tc>
        <w:tc>
          <w:tcPr>
            <w:tcW w:type="dxa" w:w="2484"/>
          </w:tcPr>
          <w:p>
            <w:r>
              <w:t>Defined question-pair contradiction</w:t>
            </w:r>
          </w:p>
        </w:tc>
        <w:tc>
          <w:tcPr>
            <w:tcW w:type="dxa" w:w="2484"/>
          </w:tcPr>
          <w:p>
            <w:r>
              <w:t>Readiness / forecast / AI reflection</w:t>
            </w:r>
          </w:p>
        </w:tc>
        <w:tc>
          <w:tcPr>
            <w:tcW w:type="dxa" w:w="2484"/>
          </w:tcPr>
          <w:p>
            <w:r>
              <w:t>User prompt allowed; hidden raw rule remains internal</w:t>
            </w:r>
          </w:p>
        </w:tc>
      </w:tr>
      <w:tr>
        <w:tc>
          <w:tcPr>
            <w:tcW w:type="dxa" w:w="2484"/>
          </w:tcPr>
          <w:p>
            <w:r>
              <w:t>Proposed v1 set: control avoidance, pursuit-panic, fantasy vs availability, repair refusal, pace distortion, validation hunger, caretaker exhaustion, testing instead of telling, self-protective overread</w:t>
            </w:r>
          </w:p>
        </w:tc>
        <w:tc>
          <w:tcPr>
            <w:tcW w:type="dxa" w:w="2484"/>
          </w:tcPr>
          <w:p>
            <w:r>
              <w:t>Structured rules from revised cluster table</w:t>
            </w:r>
          </w:p>
        </w:tc>
        <w:tc>
          <w:tcPr>
            <w:tcW w:type="dxa" w:w="2484"/>
          </w:tcPr>
          <w:p>
            <w:r>
              <w:t>Readiness, forecast, pair translation, or internal risk</w:t>
            </w:r>
          </w:p>
        </w:tc>
        <w:tc>
          <w:tcPr>
            <w:tcW w:type="dxa" w:w="2484"/>
          </w:tcPr>
          <w:p>
            <w:r>
              <w:t>Expose translations softly; keep raw enforcement and severity fields internal</w:t>
            </w:r>
          </w:p>
        </w:tc>
      </w:tr>
    </w:tbl>
    <w:p>
      <w:r>
        <w:t>Cluster outputs must include: cluster_id, trigger timestamp, severity band, penalty path, whether the cluster is user-visible, whether it is match-visible, and whether AI may translate it into softer language.</w:t>
      </w:r>
    </w:p>
    <w:p>
      <w:pPr>
        <w:pStyle w:val="Heading1"/>
      </w:pPr>
      <w:r>
        <w:t>8. Quantum Mirror + Human Emotion Genome closure</w:t>
      </w:r>
    </w:p>
    <w:p>
      <w:pPr>
        <w:pStyle w:val="ListBullet"/>
        <w:spacing w:after="20"/>
      </w:pPr>
      <w:r>
        <w:t>Quantum Mirror is the evidence-governed narrative layer that organizes words, tone, phrasing, behavior, themes, triggers, needs, boundaries, and state shifts into canonical genome features.</w:t>
      </w:r>
    </w:p>
    <w:p>
      <w:pPr>
        <w:pStyle w:val="ListBullet"/>
        <w:spacing w:after="20"/>
      </w:pPr>
      <w:r>
        <w:t>The Human Emotion Genome is split across slow identity, medium pattern, fast state, narrative memory, and safety classes.</w:t>
      </w:r>
    </w:p>
    <w:p>
      <w:pPr>
        <w:pStyle w:val="ListBullet"/>
        <w:spacing w:after="20"/>
      </w:pPr>
      <w:r>
        <w:t>AI may read, infer, summarize, and propose labels according to consent scope; it may not expose hidden risk fields or rewrite slow identity from one dramatic session.</w:t>
      </w:r>
    </w:p>
    <w:p>
      <w:pPr>
        <w:pStyle w:val="ListBullet"/>
        <w:spacing w:after="20"/>
      </w:pPr>
      <w:r>
        <w:t>Every genome-derived inference must carry provenance, evidence band, freshness, and source scope.</w:t>
      </w:r>
    </w:p>
    <w:p>
      <w:pPr>
        <w:pStyle w:val="Heading1"/>
      </w:pPr>
      <w:r>
        <w:t>9. Consent, retention, deletion, and derived-data policy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BFD7EE"/>
          </w:tcPr>
          <w:p>
            <w:r>
              <w:rPr>
                <w:b/>
              </w:rPr>
              <w:t>Policy area</w:t>
            </w:r>
          </w:p>
        </w:tc>
        <w:tc>
          <w:tcPr>
            <w:tcW w:type="dxa" w:w="3312"/>
            <w:vAlign w:val="center"/>
            <w:tcMar>
              <w:top w:w="80" w:type="dxa"/>
              <w:start w:w="90" w:type="dxa"/>
              <w:bottom w:w="80" w:type="dxa"/>
              <w:end w:w="90" w:type="dxa"/>
            </w:tcMar>
            <w:shd w:fill="BFD7EE"/>
          </w:tcPr>
          <w:p>
            <w:r>
              <w:rPr>
                <w:b/>
              </w:rPr>
              <w:t>Locked rule</w:t>
            </w:r>
          </w:p>
        </w:tc>
        <w:tc>
          <w:tcPr>
            <w:tcW w:type="dxa" w:w="3312"/>
            <w:vAlign w:val="center"/>
            <w:tcMar>
              <w:top w:w="80" w:type="dxa"/>
              <w:start w:w="90" w:type="dxa"/>
              <w:bottom w:w="80" w:type="dxa"/>
              <w:end w:w="90" w:type="dxa"/>
            </w:tcMar>
            <w:shd w:fill="BFD7EE"/>
          </w:tcPr>
          <w:p>
            <w:r>
              <w:rPr>
                <w:b/>
              </w:rPr>
              <w:t>Implementation note</w:t>
            </w:r>
          </w:p>
        </w:tc>
      </w:tr>
      <w:tr>
        <w:tc>
          <w:tcPr>
            <w:tcW w:type="dxa" w:w="3312"/>
          </w:tcPr>
          <w:p>
            <w:r>
              <w:t>Consent scope</w:t>
            </w:r>
          </w:p>
        </w:tc>
        <w:tc>
          <w:tcPr>
            <w:tcW w:type="dxa" w:w="3312"/>
          </w:tcPr>
          <w:p>
            <w:r>
              <w:t>Assessment AI, Sanctuary AI, match explanations, and chat analysis are separate opt-ins.</w:t>
            </w:r>
          </w:p>
        </w:tc>
        <w:tc>
          <w:tcPr>
            <w:tcW w:type="dxa" w:w="3312"/>
          </w:tcPr>
          <w:p>
            <w:r>
              <w:t>Store explicit timestamps, version, and scope identifiers.</w:t>
            </w:r>
          </w:p>
        </w:tc>
      </w:tr>
      <w:tr>
        <w:tc>
          <w:tcPr>
            <w:tcW w:type="dxa" w:w="3312"/>
          </w:tcPr>
          <w:p>
            <w:r>
              <w:t>Retention</w:t>
            </w:r>
          </w:p>
        </w:tc>
        <w:tc>
          <w:tcPr>
            <w:tcW w:type="dxa" w:w="3312"/>
          </w:tcPr>
          <w:p>
            <w:r>
              <w:t>Raw events and canonical answers are retained according to product policy; derived narratives are versioned separately.</w:t>
            </w:r>
          </w:p>
        </w:tc>
        <w:tc>
          <w:tcPr>
            <w:tcW w:type="dxa" w:w="3312"/>
          </w:tcPr>
          <w:p>
            <w:r>
              <w:t>Do not let summary objects overwrite source truth.</w:t>
            </w:r>
          </w:p>
        </w:tc>
      </w:tr>
      <w:tr>
        <w:tc>
          <w:tcPr>
            <w:tcW w:type="dxa" w:w="3312"/>
          </w:tcPr>
          <w:p>
            <w:r>
              <w:t>Deletion</w:t>
            </w:r>
          </w:p>
        </w:tc>
        <w:tc>
          <w:tcPr>
            <w:tcW w:type="dxa" w:w="3312"/>
          </w:tcPr>
          <w:p>
            <w:r>
              <w:t>User-deletable content, system-audit content, and analytics-safe aggregate content must be split.</w:t>
            </w:r>
          </w:p>
        </w:tc>
        <w:tc>
          <w:tcPr>
            <w:tcW w:type="dxa" w:w="3312"/>
          </w:tcPr>
          <w:p>
            <w:r>
              <w:t>Deletion logic must respect legal hold, moderation artifacts, and aggregate reporting rules.</w:t>
            </w:r>
          </w:p>
        </w:tc>
      </w:tr>
      <w:tr>
        <w:tc>
          <w:tcPr>
            <w:tcW w:type="dxa" w:w="3312"/>
          </w:tcPr>
          <w:p>
            <w:r>
              <w:t>Derived data</w:t>
            </w:r>
          </w:p>
        </w:tc>
        <w:tc>
          <w:tcPr>
            <w:tcW w:type="dxa" w:w="3312"/>
          </w:tcPr>
          <w:p>
            <w:r>
              <w:t>Derived features may persist for model performance and audit only under the locked policy.</w:t>
            </w:r>
          </w:p>
        </w:tc>
        <w:tc>
          <w:tcPr>
            <w:tcW w:type="dxa" w:w="3312"/>
          </w:tcPr>
          <w:p>
            <w:r>
              <w:t>Version derived artifacts and keep provenance to original event IDs.</w:t>
            </w:r>
          </w:p>
        </w:tc>
      </w:tr>
      <w:tr>
        <w:tc>
          <w:tcPr>
            <w:tcW w:type="dxa" w:w="3312"/>
          </w:tcPr>
          <w:p>
            <w:r>
              <w:t>Pair data</w:t>
            </w:r>
          </w:p>
        </w:tc>
        <w:tc>
          <w:tcPr>
            <w:tcW w:type="dxa" w:w="3312"/>
          </w:tcPr>
          <w:p>
            <w:r>
              <w:t>Pair-level outputs require both users to meet the relevant consent conditions.</w:t>
            </w:r>
          </w:p>
        </w:tc>
        <w:tc>
          <w:tcPr>
            <w:tcW w:type="dxa" w:w="3312"/>
          </w:tcPr>
          <w:p>
            <w:r>
              <w:t>Degrade gracefully when dual consent is not available.</w:t>
            </w:r>
          </w:p>
        </w:tc>
      </w:tr>
    </w:tbl>
    <w:p>
      <w:pPr>
        <w:pStyle w:val="Heading1"/>
      </w:pPr>
      <w:r>
        <w:t>10. Moderation and escalation operating model</w:t>
      </w:r>
    </w:p>
    <w:p>
      <w:pPr>
        <w:pStyle w:val="ListBullet"/>
        <w:spacing w:after="20"/>
      </w:pPr>
      <w:r>
        <w:t>Moderation applies across messaging, Sanctuary, ExsAnonymous, couple spaces, and AI-generated outputs.</w:t>
      </w:r>
    </w:p>
    <w:p>
      <w:pPr>
        <w:pStyle w:val="ListBullet"/>
        <w:spacing w:after="20"/>
      </w:pPr>
      <w:r>
        <w:t>Severity ladders, rate limits, escalation triggers, and artifact logging must be real tables, not human memory.</w:t>
      </w:r>
    </w:p>
    <w:p>
      <w:pPr>
        <w:pStyle w:val="ListBullet"/>
        <w:spacing w:after="20"/>
      </w:pPr>
      <w:r>
        <w:t>AI may assist in triage, but human-review paths must exist for severe flags, self-harm indicators, abuse admissions, doxxing, or coercion patterns.</w:t>
      </w:r>
    </w:p>
    <w:p>
      <w:pPr>
        <w:pStyle w:val="ListBullet"/>
        <w:spacing w:after="20"/>
      </w:pPr>
      <w:r>
        <w:t>Moderation actions may throttle features, hide content, request confirmation, or queue human review. They may not silently alter canonical score law.</w:t>
      </w:r>
    </w:p>
    <w:p>
      <w:pPr>
        <w:pStyle w:val="Heading1"/>
      </w:pPr>
      <w:r>
        <w:t>11. Evidence bands and confidence language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90" w:type="dxa"/>
              <w:bottom w:w="80" w:type="dxa"/>
              <w:end w:w="90" w:type="dxa"/>
            </w:tcMar>
            <w:shd w:fill="BFD7EE"/>
          </w:tcPr>
          <w:p>
            <w:r>
              <w:rPr>
                <w:b/>
              </w:rPr>
              <w:t>Band</w:t>
            </w:r>
          </w:p>
        </w:tc>
        <w:tc>
          <w:tcPr>
            <w:tcW w:type="dxa" w:w="2484"/>
            <w:vAlign w:val="center"/>
            <w:tcMar>
              <w:top w:w="80" w:type="dxa"/>
              <w:start w:w="90" w:type="dxa"/>
              <w:bottom w:w="80" w:type="dxa"/>
              <w:end w:w="90" w:type="dxa"/>
            </w:tcMar>
            <w:shd w:fill="BFD7EE"/>
          </w:tcPr>
          <w:p>
            <w:r>
              <w:rPr>
                <w:b/>
              </w:rPr>
              <w:t>Evidence quality</w:t>
            </w:r>
          </w:p>
        </w:tc>
        <w:tc>
          <w:tcPr>
            <w:tcW w:type="dxa" w:w="2484"/>
            <w:vAlign w:val="center"/>
            <w:tcMar>
              <w:top w:w="80" w:type="dxa"/>
              <w:start w:w="90" w:type="dxa"/>
              <w:bottom w:w="80" w:type="dxa"/>
              <w:end w:w="90" w:type="dxa"/>
            </w:tcMar>
            <w:shd w:fill="BFD7EE"/>
          </w:tcPr>
          <w:p>
            <w:r>
              <w:rPr>
                <w:b/>
              </w:rPr>
              <w:t>Allowed output style</w:t>
            </w:r>
          </w:p>
        </w:tc>
        <w:tc>
          <w:tcPr>
            <w:tcW w:type="dxa" w:w="2484"/>
            <w:vAlign w:val="center"/>
            <w:tcMar>
              <w:top w:w="80" w:type="dxa"/>
              <w:start w:w="90" w:type="dxa"/>
              <w:bottom w:w="80" w:type="dxa"/>
              <w:end w:w="90" w:type="dxa"/>
            </w:tcMar>
            <w:shd w:fill="BFD7EE"/>
          </w:tcPr>
          <w:p>
            <w:r>
              <w:rPr>
                <w:b/>
              </w:rPr>
              <w:t>Typical sources</w:t>
            </w:r>
          </w:p>
        </w:tc>
      </w:tr>
      <w:tr>
        <w:tc>
          <w:tcPr>
            <w:tcW w:type="dxa" w:w="2484"/>
          </w:tcPr>
          <w:p>
            <w:r>
              <w:t>A - strong</w:t>
            </w:r>
          </w:p>
        </w:tc>
        <w:tc>
          <w:tcPr>
            <w:tcW w:type="dxa" w:w="2484"/>
          </w:tcPr>
          <w:p>
            <w:r>
              <w:t>Multi-source, recent, consistent, governed evidence</w:t>
            </w:r>
          </w:p>
        </w:tc>
        <w:tc>
          <w:tcPr>
            <w:tcW w:type="dxa" w:w="2484"/>
          </w:tcPr>
          <w:p>
            <w:r>
              <w:t>May speak directly with clear confidence language</w:t>
            </w:r>
          </w:p>
        </w:tc>
        <w:tc>
          <w:tcPr>
            <w:tcW w:type="dxa" w:w="2484"/>
          </w:tcPr>
          <w:p>
            <w:r>
              <w:t>Assessment + behavior + repeated events + pair telemetry</w:t>
            </w:r>
          </w:p>
        </w:tc>
      </w:tr>
      <w:tr>
        <w:tc>
          <w:tcPr>
            <w:tcW w:type="dxa" w:w="2484"/>
          </w:tcPr>
          <w:p>
            <w:r>
              <w:t>B - moderate</w:t>
            </w:r>
          </w:p>
        </w:tc>
        <w:tc>
          <w:tcPr>
            <w:tcW w:type="dxa" w:w="2484"/>
          </w:tcPr>
          <w:p>
            <w:r>
              <w:t>Good evidence but not broad enough for hard claims</w:t>
            </w:r>
          </w:p>
        </w:tc>
        <w:tc>
          <w:tcPr>
            <w:tcW w:type="dxa" w:w="2484"/>
          </w:tcPr>
          <w:p>
            <w:r>
              <w:t>Use confident but non-absolute language</w:t>
            </w:r>
          </w:p>
        </w:tc>
        <w:tc>
          <w:tcPr>
            <w:tcW w:type="dxa" w:w="2484"/>
          </w:tcPr>
          <w:p>
            <w:r>
              <w:t>Assessment + some repeated runtime signals</w:t>
            </w:r>
          </w:p>
        </w:tc>
      </w:tr>
      <w:tr>
        <w:tc>
          <w:tcPr>
            <w:tcW w:type="dxa" w:w="2484"/>
          </w:tcPr>
          <w:p>
            <w:r>
              <w:t>C - thin</w:t>
            </w:r>
          </w:p>
        </w:tc>
        <w:tc>
          <w:tcPr>
            <w:tcW w:type="dxa" w:w="2484"/>
          </w:tcPr>
          <w:p>
            <w:r>
              <w:t>Limited, stale, or single-source evidence</w:t>
            </w:r>
          </w:p>
        </w:tc>
        <w:tc>
          <w:tcPr>
            <w:tcW w:type="dxa" w:w="2484"/>
          </w:tcPr>
          <w:p>
            <w:r>
              <w:t>Use soft language or internal-only recommendations</w:t>
            </w:r>
          </w:p>
        </w:tc>
        <w:tc>
          <w:tcPr>
            <w:tcW w:type="dxa" w:w="2484"/>
          </w:tcPr>
          <w:p>
            <w:r>
              <w:t>Assessment-only or short-session data</w:t>
            </w:r>
          </w:p>
        </w:tc>
      </w:tr>
      <w:tr>
        <w:tc>
          <w:tcPr>
            <w:tcW w:type="dxa" w:w="2484"/>
          </w:tcPr>
          <w:p>
            <w:r>
              <w:t>D - insufficient</w:t>
            </w:r>
          </w:p>
        </w:tc>
        <w:tc>
          <w:tcPr>
            <w:tcW w:type="dxa" w:w="2484"/>
          </w:tcPr>
          <w:p>
            <w:r>
              <w:t>No meaningful governed evidence</w:t>
            </w:r>
          </w:p>
        </w:tc>
        <w:tc>
          <w:tcPr>
            <w:tcW w:type="dxa" w:w="2484"/>
          </w:tcPr>
          <w:p>
            <w:r>
              <w:t>Do not generate user-facing certainty</w:t>
            </w:r>
          </w:p>
        </w:tc>
        <w:tc>
          <w:tcPr>
            <w:tcW w:type="dxa" w:w="2484"/>
          </w:tcPr>
          <w:p>
            <w:r>
              <w:t>Missing or conflicting data</w:t>
            </w:r>
          </w:p>
        </w:tc>
      </w:tr>
    </w:tbl>
    <w:p>
      <w:pPr>
        <w:pStyle w:val="Heading1"/>
      </w:pPr>
      <w:r>
        <w:t>12. API contracts, packets, and service boundaries</w:t>
      </w:r>
    </w:p>
    <w:p>
      <w:pPr>
        <w:pStyle w:val="ListBullet"/>
        <w:spacing w:after="20"/>
      </w:pPr>
      <w:r>
        <w:t>Scoring service owns deterministic score assembly and conversion.</w:t>
      </w:r>
    </w:p>
    <w:p>
      <w:pPr>
        <w:pStyle w:val="ListBullet"/>
        <w:spacing w:after="20"/>
      </w:pPr>
      <w:r>
        <w:t>Matching service owns pair generation, pair fetch, packet assembly, gating, and persistence of pair outputs.</w:t>
      </w:r>
    </w:p>
    <w:p>
      <w:pPr>
        <w:pStyle w:val="ListBullet"/>
        <w:spacing w:after="20"/>
      </w:pPr>
      <w:r>
        <w:t>Genome extraction service owns governed feature extraction from allowed sources.</w:t>
      </w:r>
    </w:p>
    <w:p>
      <w:pPr>
        <w:pStyle w:val="ListBullet"/>
        <w:spacing w:after="20"/>
      </w:pPr>
      <w:r>
        <w:t>Reflection / explanation service owns natural-language summaries and user-facing translations; it never owns canonical truth.</w:t>
      </w:r>
    </w:p>
    <w:p>
      <w:pPr>
        <w:pStyle w:val="ListBullet"/>
        <w:spacing w:after="20"/>
      </w:pPr>
      <w:r>
        <w:t>Policy / governor service owns evidence gates, overwrite thresholds, update lanes, and companion influence caps.</w:t>
      </w:r>
    </w:p>
    <w:p>
      <w:pPr>
        <w:pStyle w:val="Heading1"/>
      </w:pPr>
      <w:r>
        <w:t>13. Failure handling and edge-case control</w:t>
      </w:r>
    </w:p>
    <w:p>
      <w:pPr>
        <w:pStyle w:val="ListBullet"/>
        <w:spacing w:after="20"/>
      </w:pPr>
      <w:r>
        <w:t>If AI fails, show deterministic outputs only.</w:t>
      </w:r>
    </w:p>
    <w:p>
      <w:pPr>
        <w:pStyle w:val="ListBullet"/>
        <w:spacing w:after="20"/>
      </w:pPr>
      <w:r>
        <w:t>If polarity data is incomplete, compute what is available and apply missing-data caps.</w:t>
      </w:r>
    </w:p>
    <w:p>
      <w:pPr>
        <w:pStyle w:val="ListBullet"/>
        <w:spacing w:after="20"/>
      </w:pPr>
      <w:r>
        <w:t>If cosmic data is missing, default the cosmic layer safely without blocking core scoring.</w:t>
      </w:r>
    </w:p>
    <w:p>
      <w:pPr>
        <w:pStyle w:val="ListBullet"/>
        <w:spacing w:after="20"/>
      </w:pPr>
      <w:r>
        <w:t>If dual-user consent is absent, block pair-level AI insights while preserving deterministic match law where policy allows.</w:t>
      </w:r>
    </w:p>
    <w:p>
      <w:pPr>
        <w:pStyle w:val="ListBullet"/>
        <w:spacing w:after="20"/>
      </w:pPr>
      <w:r>
        <w:t>If a packet is malformed, reject write-back and log the failure instead of half-updating profile truth.</w:t>
      </w:r>
    </w:p>
    <w:p>
      <w:pPr>
        <w:pStyle w:val="Heading1"/>
      </w:pPr>
      <w:r>
        <w:t>14. Build order and rollout sequence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BFD7EE"/>
          </w:tcPr>
          <w:p>
            <w:r>
              <w:rPr>
                <w:b/>
              </w:rPr>
              <w:t>Phase</w:t>
            </w:r>
          </w:p>
        </w:tc>
        <w:tc>
          <w:tcPr>
            <w:tcW w:type="dxa" w:w="3312"/>
            <w:vAlign w:val="center"/>
            <w:tcMar>
              <w:top w:w="80" w:type="dxa"/>
              <w:start w:w="90" w:type="dxa"/>
              <w:bottom w:w="80" w:type="dxa"/>
              <w:end w:w="90" w:type="dxa"/>
            </w:tcMar>
            <w:shd w:fill="BFD7EE"/>
          </w:tcPr>
          <w:p>
            <w:r>
              <w:rPr>
                <w:b/>
              </w:rPr>
              <w:t>What to build</w:t>
            </w:r>
          </w:p>
        </w:tc>
        <w:tc>
          <w:tcPr>
            <w:tcW w:type="dxa" w:w="3312"/>
            <w:vAlign w:val="center"/>
            <w:tcMar>
              <w:top w:w="80" w:type="dxa"/>
              <w:start w:w="90" w:type="dxa"/>
              <w:bottom w:w="80" w:type="dxa"/>
              <w:end w:w="90" w:type="dxa"/>
            </w:tcMar>
            <w:shd w:fill="BFD7EE"/>
          </w:tcPr>
          <w:p>
            <w:r>
              <w:rPr>
                <w:b/>
              </w:rPr>
              <w:t>Exit condition</w:t>
            </w:r>
          </w:p>
        </w:tc>
      </w:tr>
      <w:tr>
        <w:tc>
          <w:tcPr>
            <w:tcW w:type="dxa" w:w="3312"/>
          </w:tcPr>
          <w:p>
            <w:r>
              <w:t>1. Core schema + workbook ingest</w:t>
            </w:r>
          </w:p>
        </w:tc>
        <w:tc>
          <w:tcPr>
            <w:tcW w:type="dxa" w:w="3312"/>
          </w:tcPr>
          <w:p>
            <w:r>
              <w:t>Canonical user, answer, pair, event, consent, and matrix objects; workbook-driven lookup tables; score service shell.</w:t>
            </w:r>
          </w:p>
        </w:tc>
        <w:tc>
          <w:tcPr>
            <w:tcW w:type="dxa" w:w="3312"/>
          </w:tcPr>
          <w:p>
            <w:r>
              <w:t>Deterministic tests pass against workbook examples.</w:t>
            </w:r>
          </w:p>
        </w:tc>
      </w:tr>
      <w:tr>
        <w:tc>
          <w:tcPr>
            <w:tcW w:type="dxa" w:w="3312"/>
          </w:tcPr>
          <w:p>
            <w:r>
              <w:t>2. Deterministic scoring runtime</w:t>
            </w:r>
          </w:p>
        </w:tc>
        <w:tc>
          <w:tcPr>
            <w:tcW w:type="dxa" w:w="3312"/>
          </w:tcPr>
          <w:p>
            <w:r>
              <w:t>Readiness/forecast runtime, compatibility runtime, pair quantum assembly, penalties, gates, 350-850 conversion.</w:t>
            </w:r>
          </w:p>
        </w:tc>
        <w:tc>
          <w:tcPr>
            <w:tcW w:type="dxa" w:w="3312"/>
          </w:tcPr>
          <w:p>
            <w:r>
              <w:t>Scores reproduce workbook law with no drift.</w:t>
            </w:r>
          </w:p>
        </w:tc>
      </w:tr>
      <w:tr>
        <w:tc>
          <w:tcPr>
            <w:tcW w:type="dxa" w:w="3312"/>
          </w:tcPr>
          <w:p>
            <w:r>
              <w:t>3. Polarity + contradiction modules</w:t>
            </w:r>
          </w:p>
        </w:tc>
        <w:tc>
          <w:tcPr>
            <w:tcW w:type="dxa" w:w="3312"/>
          </w:tcPr>
          <w:p>
            <w:r>
              <w:t>Polarity dimensions, chemistry layer, contradiction cluster engine, severity/writeback rules.</w:t>
            </w:r>
          </w:p>
        </w:tc>
        <w:tc>
          <w:tcPr>
            <w:tcW w:type="dxa" w:w="3312"/>
          </w:tcPr>
          <w:p>
            <w:r>
              <w:t>Chemistry and cluster logic are versioned and testable.</w:t>
            </w:r>
          </w:p>
        </w:tc>
      </w:tr>
      <w:tr>
        <w:tc>
          <w:tcPr>
            <w:tcW w:type="dxa" w:w="3312"/>
          </w:tcPr>
          <w:p>
            <w:r>
              <w:t>4. Quantum Mirror + genome ingestion</w:t>
            </w:r>
          </w:p>
        </w:tc>
        <w:tc>
          <w:tcPr>
            <w:tcW w:type="dxa" w:w="3312"/>
          </w:tcPr>
          <w:p>
            <w:r>
              <w:t>Genome feature store, evidence bands, consent scopes, provenance chain, AI-safe read/write rules.</w:t>
            </w:r>
          </w:p>
        </w:tc>
        <w:tc>
          <w:tcPr>
            <w:tcW w:type="dxa" w:w="3312"/>
          </w:tcPr>
          <w:p>
            <w:r>
              <w:t>AI services consume governed packets only.</w:t>
            </w:r>
          </w:p>
        </w:tc>
      </w:tr>
      <w:tr>
        <w:tc>
          <w:tcPr>
            <w:tcW w:type="dxa" w:w="3312"/>
          </w:tcPr>
          <w:p>
            <w:r>
              <w:t>5. Companion systems and Sanctuary telemetry</w:t>
            </w:r>
          </w:p>
        </w:tc>
        <w:tc>
          <w:tcPr>
            <w:tcW w:type="dxa" w:w="3312"/>
          </w:tcPr>
          <w:p>
            <w:r>
              <w:t>Emotional genome events, anger/drift/grief modules, ExsAnonymous, messaging telemetry, couple-space inputs.</w:t>
            </w:r>
          </w:p>
        </w:tc>
        <w:tc>
          <w:tcPr>
            <w:tcW w:type="dxa" w:w="3312"/>
          </w:tcPr>
          <w:p>
            <w:r>
              <w:t>Companion outputs enrich but do not overwrite core law.</w:t>
            </w:r>
          </w:p>
        </w:tc>
      </w:tr>
      <w:tr>
        <w:tc>
          <w:tcPr>
            <w:tcW w:type="dxa" w:w="3312"/>
          </w:tcPr>
          <w:p>
            <w:r>
              <w:t>6. Explanations, QA, rollout</w:t>
            </w:r>
          </w:p>
        </w:tc>
        <w:tc>
          <w:tcPr>
            <w:tcW w:type="dxa" w:w="3312"/>
          </w:tcPr>
          <w:p>
            <w:r>
              <w:t>User-facing translation layers, moderation, analytics, phased release, learning loop.</w:t>
            </w:r>
          </w:p>
        </w:tc>
        <w:tc>
          <w:tcPr>
            <w:tcW w:type="dxa" w:w="3312"/>
          </w:tcPr>
          <w:p>
            <w:r>
              <w:t>Narrow v1 goes live with audit and rollback controls.</w:t>
            </w:r>
          </w:p>
        </w:tc>
      </w:tr>
    </w:tbl>
    <w:p>
      <w:pPr>
        <w:pStyle w:val="Heading1"/>
      </w:pPr>
      <w:r>
        <w:t>15. What changed from the old closure spec</w:t>
      </w:r>
    </w:p>
    <w:p>
      <w:pPr>
        <w:pStyle w:val="ListBullet"/>
        <w:spacing w:after="20"/>
      </w:pPr>
      <w:r>
        <w:t>Removed outdated references to v4 workbook scoring doctrine as the operational scoring authority.</w:t>
      </w:r>
    </w:p>
    <w:p>
      <w:pPr>
        <w:pStyle w:val="ListBullet"/>
        <w:spacing w:after="20"/>
      </w:pPr>
      <w:r>
        <w:t>Replaced older variable language with the current workbook-governed 52 / 23 / 13 / 12 score stack.</w:t>
      </w:r>
    </w:p>
    <w:p>
      <w:pPr>
        <w:pStyle w:val="ListBullet"/>
        <w:spacing w:after="20"/>
      </w:pPr>
      <w:r>
        <w:t>Folded Polarity v10 into chemistry law.</w:t>
      </w:r>
    </w:p>
    <w:p>
      <w:pPr>
        <w:pStyle w:val="ListBullet"/>
        <w:spacing w:after="20"/>
      </w:pPr>
      <w:r>
        <w:t>Aligned closure rules to Quantum Mirror, Human Emotion Genome, and revised missing-layer packet architecture.</w:t>
      </w:r>
    </w:p>
    <w:p>
      <w:pPr>
        <w:pStyle w:val="ListBullet"/>
        <w:spacing w:after="20"/>
      </w:pPr>
      <w:r>
        <w:t>Clarified precedence so devs stop guessing which file wins when language conflicts.</w:t>
      </w:r>
    </w:p>
    <w:p>
      <w:pPr>
        <w:pStyle w:val="Heading1"/>
      </w:pPr>
      <w:r>
        <w:t>16. Final implementation note</w:t>
      </w:r>
    </w:p>
    <w:p>
      <w:r>
        <w:t>This revised closure spec is build-ready only when delivered beside the workbook and the corrected master blueprint. On its own, it explains the law. With the workbook, it becomes executable. That is the pairing developers should build from.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44B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44B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