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Genesis OS</w:t>
        <w:br/>
        <w:t>Polarity Integration Spec v1</w:t>
      </w:r>
    </w:p>
    <w:p>
      <w:pPr>
        <w:pStyle w:val="SubtitleCustom"/>
        <w:jc w:val="center"/>
      </w:pPr>
      <w:r>
        <w:t>Official chemistry-layer law for Relationship Scores / Genesis OS</w:t>
      </w:r>
    </w:p>
    <w:p>
      <w:pPr>
        <w:jc w:val="center"/>
      </w:pPr>
      <w:r>
        <w:rPr>
          <w:i/>
        </w:rPr>
        <w:t>Purpose: move polarity from descriptive flavor into a deterministic scoring citizen inside the 350–850 compatibility engine, without letting attraction overpower behavioral stability.</w:t>
      </w:r>
    </w:p>
    <w:tbl>
      <w:tblPr>
        <w:tblStyle w:val="TableGrid"/>
        <w:tblW w:type="auto" w:w="0"/>
        <w:jc w:val="center"/>
        <w:tblLook w:firstColumn="1" w:firstRow="1" w:lastColumn="0" w:lastRow="0" w:noHBand="0" w:noVBand="1" w:val="04A0"/>
      </w:tblPr>
      <w:tblGrid>
        <w:gridCol w:w="2880"/>
        <w:gridCol w:w="6912"/>
      </w:tblGrid>
      <w:tr>
        <w:tc>
          <w:tcPr>
            <w:tcW w:type="dxa" w:w="5040"/>
            <w:tcMar>
              <w:top w:w="80" w:type="dxa"/>
              <w:start w:w="100" w:type="dxa"/>
              <w:bottom w:w="80" w:type="dxa"/>
              <w:end w:w="100" w:type="dxa"/>
            </w:tcMar>
            <w:vAlign w:val="center"/>
            <w:shd w:fill="EAF0FA"/>
          </w:tcPr>
          <w:p>
            <w:r>
              <w:t>Official role</w:t>
            </w:r>
          </w:p>
        </w:tc>
        <w:tc>
          <w:tcPr>
            <w:tcW w:type="dxa" w:w="5040"/>
            <w:tcMar>
              <w:top w:w="80" w:type="dxa"/>
              <w:start w:w="100" w:type="dxa"/>
              <w:bottom w:w="80" w:type="dxa"/>
              <w:end w:w="100" w:type="dxa"/>
            </w:tcMar>
            <w:vAlign w:val="center"/>
            <w:shd w:fill="EAF0FA"/>
          </w:tcPr>
          <w:p>
            <w:r>
              <w:t>Polarity is the chemistry subsystem inside compatibility, not a replacement for core behavioral fit.</w:t>
            </w:r>
          </w:p>
        </w:tc>
      </w:tr>
      <w:tr>
        <w:tc>
          <w:tcPr>
            <w:tcW w:type="dxa" w:w="5040"/>
            <w:tcMar>
              <w:top w:w="80" w:type="dxa"/>
              <w:start w:w="100" w:type="dxa"/>
              <w:bottom w:w="80" w:type="dxa"/>
              <w:end w:w="100" w:type="dxa"/>
            </w:tcMar>
            <w:vAlign w:val="center"/>
          </w:tcPr>
          <w:p>
            <w:r>
              <w:t>Official weight</w:t>
            </w:r>
          </w:p>
        </w:tc>
        <w:tc>
          <w:tcPr>
            <w:tcW w:type="dxa" w:w="5040"/>
            <w:tcMar>
              <w:top w:w="80" w:type="dxa"/>
              <w:start w:w="100" w:type="dxa"/>
              <w:bottom w:w="80" w:type="dxa"/>
              <w:end w:w="100" w:type="dxa"/>
            </w:tcMar>
            <w:vAlign w:val="center"/>
          </w:tcPr>
          <w:p>
            <w:r>
              <w:t>Polarity / Chemistry remains 13% of the final compatibility score: 8% polarity fit + 5% pursuit / receptivity fit.</w:t>
            </w:r>
          </w:p>
        </w:tc>
      </w:tr>
      <w:tr>
        <w:tc>
          <w:tcPr>
            <w:tcW w:type="dxa" w:w="5040"/>
            <w:tcMar>
              <w:top w:w="80" w:type="dxa"/>
              <w:start w:w="100" w:type="dxa"/>
              <w:bottom w:w="80" w:type="dxa"/>
              <w:end w:w="100" w:type="dxa"/>
            </w:tcMar>
            <w:vAlign w:val="center"/>
          </w:tcPr>
          <w:p>
            <w:r>
              <w:t>Official inputs</w:t>
            </w:r>
          </w:p>
        </w:tc>
        <w:tc>
          <w:tcPr>
            <w:tcW w:type="dxa" w:w="5040"/>
            <w:tcMar>
              <w:top w:w="80" w:type="dxa"/>
              <w:start w:w="100" w:type="dxa"/>
              <w:bottom w:w="80" w:type="dxa"/>
              <w:end w:w="100" w:type="dxa"/>
            </w:tcMar>
            <w:vAlign w:val="center"/>
          </w:tcPr>
          <w:p>
            <w:r>
              <w:t>Use PolarityDimensionScore_0_100 and AttractionPatternNorm from the v10 polarity workbook, plus axis-level fit outputs.</w:t>
            </w:r>
          </w:p>
        </w:tc>
      </w:tr>
      <w:tr>
        <w:tc>
          <w:tcPr>
            <w:tcW w:type="dxa" w:w="5040"/>
            <w:tcMar>
              <w:top w:w="80" w:type="dxa"/>
              <w:start w:w="100" w:type="dxa"/>
              <w:bottom w:w="80" w:type="dxa"/>
              <w:end w:w="100" w:type="dxa"/>
            </w:tcMar>
            <w:vAlign w:val="center"/>
          </w:tcPr>
          <w:p>
            <w:r>
              <w:t>Protection rule</w:t>
            </w:r>
          </w:p>
        </w:tc>
        <w:tc>
          <w:tcPr>
            <w:tcW w:type="dxa" w:w="5040"/>
            <w:tcMar>
              <w:top w:w="80" w:type="dxa"/>
              <w:start w:w="100" w:type="dxa"/>
              <w:bottom w:w="80" w:type="dxa"/>
              <w:end w:w="100" w:type="dxa"/>
            </w:tcMar>
            <w:vAlign w:val="center"/>
          </w:tcPr>
          <w:p>
            <w:r>
              <w:t>Behavioral stability, integrity, shadow, and contradiction layers outrank chemistry. Hot chaos does not get promoted to destiny.</w:t>
            </w:r>
          </w:p>
        </w:tc>
      </w:tr>
    </w:tbl>
    <w:p/>
    <w:p>
      <w:pPr>
        <w:pStyle w:val="H1"/>
      </w:pPr>
      <w:r>
        <w:t>1. System Role</w:t>
      </w:r>
    </w:p>
    <w:p>
      <w:r>
        <w:t>Polarity exists to explain attraction rhythm, energetic complement, chemistry stability, and where desire helps or lies. It does not replace archetypes, shadow interaction, communication fit, regulation fit, integrity burden, cluster burden, or pace mismatch. It sits inside compatibility as the chemistry layer and should be computed every time a pair score is computed.</w:t>
      </w:r>
    </w:p>
    <w:p>
      <w:pPr>
        <w:ind w:left="0"/>
      </w:pPr>
      <w:r>
        <w:rPr>
          <w:b/>
        </w:rPr>
        <w:t xml:space="preserve">• </w:t>
      </w:r>
      <w:r>
        <w:t>Readiness score may store polarity traits for explanation, but polarity does not dominate individual readiness grading.</w:t>
      </w:r>
    </w:p>
    <w:p>
      <w:pPr>
        <w:ind w:left="0"/>
      </w:pPr>
      <w:r>
        <w:rPr>
          <w:b/>
        </w:rPr>
        <w:t xml:space="preserve">• </w:t>
      </w:r>
      <w:r>
        <w:t>Compatibility score uses polarity as a pair-level subscore only.</w:t>
      </w:r>
    </w:p>
    <w:p>
      <w:pPr>
        <w:ind w:left="0"/>
      </w:pPr>
      <w:r>
        <w:rPr>
          <w:b/>
        </w:rPr>
        <w:t xml:space="preserve">• </w:t>
      </w:r>
      <w:r>
        <w:t>Chemistry should be exposed to users as its own readable layer instead of being hidden inside a single mystery number.</w:t>
      </w:r>
    </w:p>
    <w:p>
      <w:pPr>
        <w:pStyle w:val="H1"/>
      </w:pPr>
      <w:r>
        <w:t>2. Official Weight Placement</w:t>
      </w:r>
    </w:p>
    <w:p>
      <w:r>
        <w:t>The core schema already reserves 13% of the final compatibility engine for chemistry. This spec locks how that 13% is implemented.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100" w:type="dxa"/>
              <w:bottom w:w="80" w:type="dxa"/>
              <w:end w:w="100" w:type="dxa"/>
            </w:tcMar>
            <w:vAlign w:val="center"/>
            <w:shd w:fill="D9E2F3"/>
          </w:tcPr>
          <w:p>
            <w:r>
              <w:t>Layer</w:t>
            </w:r>
          </w:p>
        </w:tc>
        <w:tc>
          <w:tcPr>
            <w:tcW w:type="dxa" w:w="2520"/>
            <w:tcMar>
              <w:top w:w="80" w:type="dxa"/>
              <w:start w:w="100" w:type="dxa"/>
              <w:bottom w:w="80" w:type="dxa"/>
              <w:end w:w="100" w:type="dxa"/>
            </w:tcMar>
            <w:vAlign w:val="center"/>
            <w:shd w:fill="D9E2F3"/>
          </w:tcPr>
          <w:p>
            <w:r>
              <w:t>Component</w:t>
            </w:r>
          </w:p>
        </w:tc>
        <w:tc>
          <w:tcPr>
            <w:tcW w:type="dxa" w:w="2520"/>
            <w:tcMar>
              <w:top w:w="80" w:type="dxa"/>
              <w:start w:w="100" w:type="dxa"/>
              <w:bottom w:w="80" w:type="dxa"/>
              <w:end w:w="100" w:type="dxa"/>
            </w:tcMar>
            <w:vAlign w:val="center"/>
            <w:shd w:fill="D9E2F3"/>
          </w:tcPr>
          <w:p>
            <w:r>
              <w:t>Weight</w:t>
            </w:r>
          </w:p>
        </w:tc>
        <w:tc>
          <w:tcPr>
            <w:tcW w:type="dxa" w:w="2520"/>
            <w:tcMar>
              <w:top w:w="80" w:type="dxa"/>
              <w:start w:w="100" w:type="dxa"/>
              <w:bottom w:w="80" w:type="dxa"/>
              <w:end w:w="100" w:type="dxa"/>
            </w:tcMar>
            <w:vAlign w:val="center"/>
            <w:shd w:fill="D9E2F3"/>
          </w:tcPr>
          <w:p>
            <w:r>
              <w:t>Implementation Law</w:t>
            </w:r>
          </w:p>
        </w:tc>
      </w:tr>
      <w:tr>
        <w:tc>
          <w:tcPr>
            <w:tcW w:type="dxa" w:w="2520"/>
            <w:tcMar>
              <w:top w:w="80" w:type="dxa"/>
              <w:start w:w="100" w:type="dxa"/>
              <w:bottom w:w="80" w:type="dxa"/>
              <w:end w:w="100" w:type="dxa"/>
            </w:tcMar>
            <w:vAlign w:val="center"/>
          </w:tcPr>
          <w:p>
            <w:r>
              <w:t>Polarity / Chemistry</w:t>
            </w:r>
          </w:p>
        </w:tc>
        <w:tc>
          <w:tcPr>
            <w:tcW w:type="dxa" w:w="2520"/>
            <w:tcMar>
              <w:top w:w="80" w:type="dxa"/>
              <w:start w:w="100" w:type="dxa"/>
              <w:bottom w:w="80" w:type="dxa"/>
              <w:end w:w="100" w:type="dxa"/>
            </w:tcMar>
            <w:vAlign w:val="center"/>
          </w:tcPr>
          <w:p>
            <w:r>
              <w:t>Polarity fit</w:t>
            </w:r>
          </w:p>
        </w:tc>
        <w:tc>
          <w:tcPr>
            <w:tcW w:type="dxa" w:w="2520"/>
            <w:tcMar>
              <w:top w:w="80" w:type="dxa"/>
              <w:start w:w="100" w:type="dxa"/>
              <w:bottom w:w="80" w:type="dxa"/>
              <w:end w:w="100" w:type="dxa"/>
            </w:tcMar>
            <w:vAlign w:val="center"/>
          </w:tcPr>
          <w:p>
            <w:r>
              <w:t>0.08</w:t>
            </w:r>
          </w:p>
        </w:tc>
        <w:tc>
          <w:tcPr>
            <w:tcW w:type="dxa" w:w="2520"/>
            <w:tcMar>
              <w:top w:w="80" w:type="dxa"/>
              <w:start w:w="100" w:type="dxa"/>
              <w:bottom w:w="80" w:type="dxa"/>
              <w:end w:w="100" w:type="dxa"/>
            </w:tcMar>
            <w:vAlign w:val="center"/>
          </w:tcPr>
          <w:p>
            <w:r>
              <w:t>Axis-based fit across the ten dimensional polarity axes.</w:t>
            </w:r>
          </w:p>
        </w:tc>
      </w:tr>
      <w:tr>
        <w:tc>
          <w:tcPr>
            <w:tcW w:type="dxa" w:w="2520"/>
            <w:tcMar>
              <w:top w:w="80" w:type="dxa"/>
              <w:start w:w="100" w:type="dxa"/>
              <w:bottom w:w="80" w:type="dxa"/>
              <w:end w:w="100" w:type="dxa"/>
            </w:tcMar>
            <w:vAlign w:val="center"/>
          </w:tcPr>
          <w:p>
            <w:r>
              <w:t>Polarity / Chemistry</w:t>
            </w:r>
          </w:p>
        </w:tc>
        <w:tc>
          <w:tcPr>
            <w:tcW w:type="dxa" w:w="2520"/>
            <w:tcMar>
              <w:top w:w="80" w:type="dxa"/>
              <w:start w:w="100" w:type="dxa"/>
              <w:bottom w:w="80" w:type="dxa"/>
              <w:end w:w="100" w:type="dxa"/>
            </w:tcMar>
            <w:vAlign w:val="center"/>
          </w:tcPr>
          <w:p>
            <w:r>
              <w:t>Pursuit / receptivity fit</w:t>
            </w:r>
          </w:p>
        </w:tc>
        <w:tc>
          <w:tcPr>
            <w:tcW w:type="dxa" w:w="2520"/>
            <w:tcMar>
              <w:top w:w="80" w:type="dxa"/>
              <w:start w:w="100" w:type="dxa"/>
              <w:bottom w:w="80" w:type="dxa"/>
              <w:end w:w="100" w:type="dxa"/>
            </w:tcMar>
            <w:vAlign w:val="center"/>
          </w:tcPr>
          <w:p>
            <w:r>
              <w:t>0.05</w:t>
            </w:r>
          </w:p>
        </w:tc>
        <w:tc>
          <w:tcPr>
            <w:tcW w:type="dxa" w:w="2520"/>
            <w:tcMar>
              <w:top w:w="80" w:type="dxa"/>
              <w:start w:w="100" w:type="dxa"/>
              <w:bottom w:w="80" w:type="dxa"/>
              <w:end w:w="100" w:type="dxa"/>
            </w:tcMar>
            <w:vAlign w:val="center"/>
          </w:tcPr>
          <w:p>
            <w:r>
              <w:t>Rhythm fit using initiation, pursuit preference, leadership comfort, and attraction-pattern logic.</w:t>
            </w:r>
          </w:p>
        </w:tc>
      </w:tr>
      <w:tr>
        <w:tc>
          <w:tcPr>
            <w:tcW w:type="dxa" w:w="2520"/>
            <w:tcMar>
              <w:top w:w="80" w:type="dxa"/>
              <w:start w:w="100" w:type="dxa"/>
              <w:bottom w:w="80" w:type="dxa"/>
              <w:end w:w="100" w:type="dxa"/>
            </w:tcMar>
            <w:vAlign w:val="center"/>
          </w:tcPr>
          <w:p>
            <w:r>
              <w:t>Compatibility engine</w:t>
            </w:r>
          </w:p>
        </w:tc>
        <w:tc>
          <w:tcPr>
            <w:tcW w:type="dxa" w:w="2520"/>
            <w:tcMar>
              <w:top w:w="80" w:type="dxa"/>
              <w:start w:w="100" w:type="dxa"/>
              <w:bottom w:w="80" w:type="dxa"/>
              <w:end w:w="100" w:type="dxa"/>
            </w:tcMar>
            <w:vAlign w:val="center"/>
          </w:tcPr>
          <w:p>
            <w:r>
              <w:t>Total chemistry share</w:t>
            </w:r>
          </w:p>
        </w:tc>
        <w:tc>
          <w:tcPr>
            <w:tcW w:type="dxa" w:w="2520"/>
            <w:tcMar>
              <w:top w:w="80" w:type="dxa"/>
              <w:start w:w="100" w:type="dxa"/>
              <w:bottom w:w="80" w:type="dxa"/>
              <w:end w:w="100" w:type="dxa"/>
            </w:tcMar>
            <w:vAlign w:val="center"/>
          </w:tcPr>
          <w:p>
            <w:r>
              <w:t>0.13</w:t>
            </w:r>
          </w:p>
        </w:tc>
        <w:tc>
          <w:tcPr>
            <w:tcW w:type="dxa" w:w="2520"/>
            <w:tcMar>
              <w:top w:w="80" w:type="dxa"/>
              <w:start w:w="100" w:type="dxa"/>
              <w:bottom w:w="80" w:type="dxa"/>
              <w:end w:w="100" w:type="dxa"/>
            </w:tcMar>
            <w:vAlign w:val="center"/>
          </w:tcPr>
          <w:p>
            <w:r>
              <w:t>Chemistry is meaningful, visible, and capped.</w:t>
            </w:r>
          </w:p>
        </w:tc>
      </w:tr>
    </w:tbl>
    <w:p>
      <w:r>
        <w:t>Official protection rule: chemistry can raise or lower compatibility meaningfully, but it may never overrule hard instability coming from shadow escalation, integrity burden, contradiction burden, or extreme pace / attachment mismatch. In plain English: electric does not equal safe.</w:t>
      </w:r>
    </w:p>
    <w:p>
      <w:pPr>
        <w:pStyle w:val="H1"/>
      </w:pPr>
      <w:r>
        <w:t>3. Inputs Required From the v10 Polarity Workbook</w:t>
      </w:r>
    </w:p>
    <w:p>
      <w:r>
        <w:t>The v10 workbook is now the source of truth for chemistry computation. These objects must be ingested into Genesis OS and stored as first-class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D9E2F3"/>
          </w:tcPr>
          <w:p>
            <w:r>
              <w:t>Workbook Object</w:t>
            </w:r>
          </w:p>
        </w:tc>
        <w:tc>
          <w:tcPr>
            <w:tcW w:type="dxa" w:w="3360"/>
            <w:tcMar>
              <w:top w:w="80" w:type="dxa"/>
              <w:start w:w="100" w:type="dxa"/>
              <w:bottom w:w="80" w:type="dxa"/>
              <w:end w:w="100" w:type="dxa"/>
            </w:tcMar>
            <w:vAlign w:val="center"/>
            <w:shd w:fill="D9E2F3"/>
          </w:tcPr>
          <w:p>
            <w:r>
              <w:t>What to store</w:t>
            </w:r>
          </w:p>
        </w:tc>
        <w:tc>
          <w:tcPr>
            <w:tcW w:type="dxa" w:w="3360"/>
            <w:tcMar>
              <w:top w:w="80" w:type="dxa"/>
              <w:start w:w="100" w:type="dxa"/>
              <w:bottom w:w="80" w:type="dxa"/>
              <w:end w:w="100" w:type="dxa"/>
            </w:tcMar>
            <w:vAlign w:val="center"/>
            <w:shd w:fill="D9E2F3"/>
          </w:tcPr>
          <w:p>
            <w:r>
              <w:t>Why</w:t>
            </w:r>
          </w:p>
        </w:tc>
      </w:tr>
      <w:tr>
        <w:tc>
          <w:tcPr>
            <w:tcW w:type="dxa" w:w="3360"/>
          </w:tcPr>
          <w:p>
            <w:r>
              <w:t>Polarity_Axes_v10</w:t>
            </w:r>
          </w:p>
        </w:tc>
        <w:tc>
          <w:tcPr>
            <w:tcW w:type="dxa" w:w="3360"/>
          </w:tcPr>
          <w:p>
            <w:r>
              <w:t>Axis name, field name, fit type, inside-chemistry weight, definition</w:t>
            </w:r>
          </w:p>
        </w:tc>
        <w:tc>
          <w:tcPr>
            <w:tcW w:type="dxa" w:w="3360"/>
          </w:tcPr>
          <w:p>
            <w:r>
              <w:t>Locks the math and user translation language.</w:t>
            </w:r>
          </w:p>
        </w:tc>
      </w:tr>
      <w:tr>
        <w:tc>
          <w:tcPr>
            <w:tcW w:type="dxa" w:w="3360"/>
          </w:tcPr>
          <w:p>
            <w:r>
              <w:t>Polarity_RoleSeeds_v10</w:t>
            </w:r>
          </w:p>
        </w:tc>
        <w:tc>
          <w:tcPr>
            <w:tcW w:type="dxa" w:w="3360"/>
          </w:tcPr>
          <w:p>
            <w:r>
              <w:t>Role seed anchors and axis target values</w:t>
            </w:r>
          </w:p>
        </w:tc>
        <w:tc>
          <w:tcPr>
            <w:tcW w:type="dxa" w:w="3360"/>
          </w:tcPr>
          <w:p>
            <w:r>
              <w:t>Supports answer authoring and AI explanation, not user-facing labeling law.</w:t>
            </w:r>
          </w:p>
        </w:tc>
      </w:tr>
      <w:tr>
        <w:tc>
          <w:tcPr>
            <w:tcW w:type="dxa" w:w="3360"/>
          </w:tcPr>
          <w:p>
            <w:r>
              <w:t>Polarity_QuestionMap_v10</w:t>
            </w:r>
          </w:p>
        </w:tc>
        <w:tc>
          <w:tcPr>
            <w:tcW w:type="dxa" w:w="3360"/>
          </w:tcPr>
          <w:p>
            <w:r>
              <w:t>Question-to-axis mapping and block multipliers</w:t>
            </w:r>
          </w:p>
        </w:tc>
        <w:tc>
          <w:tcPr>
            <w:tcW w:type="dxa" w:w="3360"/>
          </w:tcPr>
          <w:p>
            <w:r>
              <w:t>Lets answers accumulate dimensional scores cleanly.</w:t>
            </w:r>
          </w:p>
        </w:tc>
      </w:tr>
      <w:tr>
        <w:tc>
          <w:tcPr>
            <w:tcW w:type="dxa" w:w="3360"/>
          </w:tcPr>
          <w:p>
            <w:r>
              <w:t>Polarity_AnswerBank_v10</w:t>
            </w:r>
          </w:p>
        </w:tc>
        <w:tc>
          <w:tcPr>
            <w:tcW w:type="dxa" w:w="3360"/>
          </w:tcPr>
          <w:p>
            <w:r>
              <w:t>Axis payload per answer option</w:t>
            </w:r>
          </w:p>
        </w:tc>
        <w:tc>
          <w:tcPr>
            <w:tcW w:type="dxa" w:w="3360"/>
          </w:tcPr>
          <w:p>
            <w:r>
              <w:t>Turns answer choices into measurable chemistry traits.</w:t>
            </w:r>
          </w:p>
        </w:tc>
      </w:tr>
      <w:tr>
        <w:tc>
          <w:tcPr>
            <w:tcW w:type="dxa" w:w="3360"/>
          </w:tcPr>
          <w:p>
            <w:r>
              <w:t>Polarity_PairEngine_v10</w:t>
            </w:r>
          </w:p>
        </w:tc>
        <w:tc>
          <w:tcPr>
            <w:tcW w:type="dxa" w:w="3360"/>
          </w:tcPr>
          <w:p>
            <w:r>
              <w:t>PolarityDimensionScore_0_100 and AttractionPatternNorm</w:t>
            </w:r>
          </w:p>
        </w:tc>
        <w:tc>
          <w:tcPr>
            <w:tcW w:type="dxa" w:w="3360"/>
          </w:tcPr>
          <w:p>
            <w:r>
              <w:t>Official pair outputs feeding the chemistry layer.</w:t>
            </w:r>
          </w:p>
        </w:tc>
      </w:tr>
      <w:tr>
        <w:tc>
          <w:tcPr>
            <w:tcW w:type="dxa" w:w="3360"/>
          </w:tcPr>
          <w:p>
            <w:r>
              <w:t>Rewrite_Rules_v10</w:t>
            </w:r>
          </w:p>
        </w:tc>
        <w:tc>
          <w:tcPr>
            <w:tcW w:type="dxa" w:w="3360"/>
          </w:tcPr>
          <w:p>
            <w:r>
              <w:t>Writing rules for future polarity answers</w:t>
            </w:r>
          </w:p>
        </w:tc>
        <w:tc>
          <w:tcPr>
            <w:tcW w:type="dxa" w:w="3360"/>
          </w:tcPr>
          <w:p>
            <w:r>
              <w:t>Prevents templated voice drift and protects data quality.</w:t>
            </w:r>
          </w:p>
        </w:tc>
      </w:tr>
    </w:tbl>
    <w:p>
      <w:pPr>
        <w:pStyle w:val="H1"/>
      </w:pPr>
      <w:r>
        <w:t>4. The Ten Official Polarity Axes</w:t>
      </w:r>
    </w:p>
    <w:p>
      <w:r>
        <w:t>The chemistry layer must score against the following ten axes. Fit type controls whether the pair should be measured as complement, similarity, or balanced tension.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start w:w="100" w:type="dxa"/>
              <w:bottom w:w="80" w:type="dxa"/>
              <w:end w:w="100" w:type="dxa"/>
            </w:tcMar>
            <w:vAlign w:val="center"/>
            <w:shd w:fill="D9E2F3"/>
          </w:tcPr>
          <w:p>
            <w:r>
              <w:t>Axis</w:t>
            </w:r>
          </w:p>
        </w:tc>
        <w:tc>
          <w:tcPr>
            <w:tcW w:type="dxa" w:w="2016"/>
            <w:tcMar>
              <w:top w:w="80" w:type="dxa"/>
              <w:start w:w="100" w:type="dxa"/>
              <w:bottom w:w="80" w:type="dxa"/>
              <w:end w:w="100" w:type="dxa"/>
            </w:tcMar>
            <w:vAlign w:val="center"/>
            <w:shd w:fill="D9E2F3"/>
          </w:tcPr>
          <w:p>
            <w:r>
              <w:t>Field</w:t>
            </w:r>
          </w:p>
        </w:tc>
        <w:tc>
          <w:tcPr>
            <w:tcW w:type="dxa" w:w="2016"/>
            <w:tcMar>
              <w:top w:w="80" w:type="dxa"/>
              <w:start w:w="100" w:type="dxa"/>
              <w:bottom w:w="80" w:type="dxa"/>
              <w:end w:w="100" w:type="dxa"/>
            </w:tcMar>
            <w:vAlign w:val="center"/>
            <w:shd w:fill="D9E2F3"/>
          </w:tcPr>
          <w:p>
            <w:r>
              <w:t>Fit Type</w:t>
            </w:r>
          </w:p>
        </w:tc>
        <w:tc>
          <w:tcPr>
            <w:tcW w:type="dxa" w:w="2016"/>
            <w:tcMar>
              <w:top w:w="80" w:type="dxa"/>
              <w:start w:w="100" w:type="dxa"/>
              <w:bottom w:w="80" w:type="dxa"/>
              <w:end w:w="100" w:type="dxa"/>
            </w:tcMar>
            <w:vAlign w:val="center"/>
            <w:shd w:fill="D9E2F3"/>
          </w:tcPr>
          <w:p>
            <w:r>
              <w:t>Weight</w:t>
            </w:r>
          </w:p>
        </w:tc>
        <w:tc>
          <w:tcPr>
            <w:tcW w:type="dxa" w:w="2016"/>
            <w:tcMar>
              <w:top w:w="80" w:type="dxa"/>
              <w:start w:w="100" w:type="dxa"/>
              <w:bottom w:w="80" w:type="dxa"/>
              <w:end w:w="100" w:type="dxa"/>
            </w:tcMar>
            <w:vAlign w:val="center"/>
            <w:shd w:fill="D9E2F3"/>
          </w:tcPr>
          <w:p>
            <w:r>
              <w:t>Definition</w:t>
            </w:r>
          </w:p>
        </w:tc>
      </w:tr>
      <w:tr>
        <w:tc>
          <w:tcPr>
            <w:tcW w:type="dxa" w:w="2016"/>
          </w:tcPr>
          <w:p>
            <w:r>
              <w:t>Initiation</w:t>
            </w:r>
          </w:p>
        </w:tc>
        <w:tc>
          <w:tcPr>
            <w:tcW w:type="dxa" w:w="2016"/>
          </w:tcPr>
          <w:p>
            <w:r>
              <w:t>initiation_axis</w:t>
            </w:r>
          </w:p>
        </w:tc>
        <w:tc>
          <w:tcPr>
            <w:tcW w:type="dxa" w:w="2016"/>
          </w:tcPr>
          <w:p>
            <w:r>
              <w:t>Complement</w:t>
            </w:r>
          </w:p>
        </w:tc>
        <w:tc>
          <w:tcPr>
            <w:tcW w:type="dxa" w:w="2016"/>
          </w:tcPr>
          <w:p>
            <w:r>
              <w:t>0.18</w:t>
            </w:r>
          </w:p>
        </w:tc>
        <w:tc>
          <w:tcPr>
            <w:tcW w:type="dxa" w:w="2016"/>
          </w:tcPr>
          <w:p>
            <w:r>
              <w:t>Who naturally moves first.</w:t>
            </w:r>
          </w:p>
        </w:tc>
      </w:tr>
      <w:tr>
        <w:tc>
          <w:tcPr>
            <w:tcW w:type="dxa" w:w="2016"/>
          </w:tcPr>
          <w:p>
            <w:r>
              <w:t>Pursuit Preference</w:t>
            </w:r>
          </w:p>
        </w:tc>
        <w:tc>
          <w:tcPr>
            <w:tcW w:type="dxa" w:w="2016"/>
          </w:tcPr>
          <w:p>
            <w:r>
              <w:t>pursuit_axis</w:t>
            </w:r>
          </w:p>
        </w:tc>
        <w:tc>
          <w:tcPr>
            <w:tcW w:type="dxa" w:w="2016"/>
          </w:tcPr>
          <w:p>
            <w:r>
              <w:t>Complement</w:t>
            </w:r>
          </w:p>
        </w:tc>
        <w:tc>
          <w:tcPr>
            <w:tcW w:type="dxa" w:w="2016"/>
          </w:tcPr>
          <w:p>
            <w:r>
              <w:t>0.14</w:t>
            </w:r>
          </w:p>
        </w:tc>
        <w:tc>
          <w:tcPr>
            <w:tcW w:type="dxa" w:w="2016"/>
          </w:tcPr>
          <w:p>
            <w:r>
              <w:t>Whether they want to pursue, be pursued, alternate, or test before engaging.</w:t>
            </w:r>
          </w:p>
        </w:tc>
      </w:tr>
      <w:tr>
        <w:tc>
          <w:tcPr>
            <w:tcW w:type="dxa" w:w="2016"/>
          </w:tcPr>
          <w:p>
            <w:r>
              <w:t>Leadership Comfort</w:t>
            </w:r>
          </w:p>
        </w:tc>
        <w:tc>
          <w:tcPr>
            <w:tcW w:type="dxa" w:w="2016"/>
          </w:tcPr>
          <w:p>
            <w:r>
              <w:t>leadership_axis</w:t>
            </w:r>
          </w:p>
        </w:tc>
        <w:tc>
          <w:tcPr>
            <w:tcW w:type="dxa" w:w="2016"/>
          </w:tcPr>
          <w:p>
            <w:r>
              <w:t>Complement</w:t>
            </w:r>
          </w:p>
        </w:tc>
        <w:tc>
          <w:tcPr>
            <w:tcW w:type="dxa" w:w="2016"/>
          </w:tcPr>
          <w:p>
            <w:r>
              <w:t>0.12</w:t>
            </w:r>
          </w:p>
        </w:tc>
        <w:tc>
          <w:tcPr>
            <w:tcW w:type="dxa" w:w="2016"/>
          </w:tcPr>
          <w:p>
            <w:r>
              <w:t>Comfort directing or holding shape in the dynamic.</w:t>
            </w:r>
          </w:p>
        </w:tc>
      </w:tr>
      <w:tr>
        <w:tc>
          <w:tcPr>
            <w:tcW w:type="dxa" w:w="2016"/>
          </w:tcPr>
          <w:p>
            <w:r>
              <w:t>Surrender Safety</w:t>
            </w:r>
          </w:p>
        </w:tc>
        <w:tc>
          <w:tcPr>
            <w:tcW w:type="dxa" w:w="2016"/>
          </w:tcPr>
          <w:p>
            <w:r>
              <w:t>surrender_safety_axis</w:t>
            </w:r>
          </w:p>
        </w:tc>
        <w:tc>
          <w:tcPr>
            <w:tcW w:type="dxa" w:w="2016"/>
          </w:tcPr>
          <w:p>
            <w:r>
              <w:t>Similarity</w:t>
            </w:r>
          </w:p>
        </w:tc>
        <w:tc>
          <w:tcPr>
            <w:tcW w:type="dxa" w:w="2016"/>
          </w:tcPr>
          <w:p>
            <w:r>
              <w:t>0.12</w:t>
            </w:r>
          </w:p>
        </w:tc>
        <w:tc>
          <w:tcPr>
            <w:tcW w:type="dxa" w:w="2016"/>
          </w:tcPr>
          <w:p>
            <w:r>
              <w:t>How safe closeness feels in another person’s presence.</w:t>
            </w:r>
          </w:p>
        </w:tc>
      </w:tr>
      <w:tr>
        <w:tc>
          <w:tcPr>
            <w:tcW w:type="dxa" w:w="2016"/>
          </w:tcPr>
          <w:p>
            <w:r>
              <w:t>Calm Receptivity</w:t>
            </w:r>
          </w:p>
        </w:tc>
        <w:tc>
          <w:tcPr>
            <w:tcW w:type="dxa" w:w="2016"/>
          </w:tcPr>
          <w:p>
            <w:r>
              <w:t>calm_receptivity_axis</w:t>
            </w:r>
          </w:p>
        </w:tc>
        <w:tc>
          <w:tcPr>
            <w:tcW w:type="dxa" w:w="2016"/>
          </w:tcPr>
          <w:p>
            <w:r>
              <w:t>Similarity</w:t>
            </w:r>
          </w:p>
        </w:tc>
        <w:tc>
          <w:tcPr>
            <w:tcW w:type="dxa" w:w="2016"/>
          </w:tcPr>
          <w:p>
            <w:r>
              <w:t>0.12</w:t>
            </w:r>
          </w:p>
        </w:tc>
        <w:tc>
          <w:tcPr>
            <w:tcW w:type="dxa" w:w="2016"/>
          </w:tcPr>
          <w:p>
            <w:r>
              <w:t>Ability to feel attraction in grounded, stable energy.</w:t>
            </w:r>
          </w:p>
        </w:tc>
      </w:tr>
      <w:tr>
        <w:tc>
          <w:tcPr>
            <w:tcW w:type="dxa" w:w="2016"/>
          </w:tcPr>
          <w:p>
            <w:r>
              <w:t>Tension Attraction</w:t>
            </w:r>
          </w:p>
        </w:tc>
        <w:tc>
          <w:tcPr>
            <w:tcW w:type="dxa" w:w="2016"/>
          </w:tcPr>
          <w:p>
            <w:r>
              <w:t>tension_attraction_axis</w:t>
            </w:r>
          </w:p>
        </w:tc>
        <w:tc>
          <w:tcPr>
            <w:tcW w:type="dxa" w:w="2016"/>
          </w:tcPr>
          <w:p>
            <w:r>
              <w:t>Balance @ 0.45</w:t>
            </w:r>
          </w:p>
        </w:tc>
        <w:tc>
          <w:tcPr>
            <w:tcW w:type="dxa" w:w="2016"/>
          </w:tcPr>
          <w:p>
            <w:r>
              <w:t>0.10</w:t>
            </w:r>
          </w:p>
        </w:tc>
        <w:tc>
          <w:tcPr>
            <w:tcW w:type="dxa" w:w="2016"/>
          </w:tcPr>
          <w:p>
            <w:r>
              <w:t>How much uncertainty or challenge reads as exciting.</w:t>
            </w:r>
          </w:p>
        </w:tc>
      </w:tr>
      <w:tr>
        <w:tc>
          <w:tcPr>
            <w:tcW w:type="dxa" w:w="2016"/>
          </w:tcPr>
          <w:p>
            <w:r>
              <w:t>Structure Preference</w:t>
            </w:r>
          </w:p>
        </w:tc>
        <w:tc>
          <w:tcPr>
            <w:tcW w:type="dxa" w:w="2016"/>
          </w:tcPr>
          <w:p>
            <w:r>
              <w:t>structure_preference_axis</w:t>
            </w:r>
          </w:p>
        </w:tc>
        <w:tc>
          <w:tcPr>
            <w:tcW w:type="dxa" w:w="2016"/>
          </w:tcPr>
          <w:p>
            <w:r>
              <w:t>Similarity</w:t>
            </w:r>
          </w:p>
        </w:tc>
        <w:tc>
          <w:tcPr>
            <w:tcW w:type="dxa" w:w="2016"/>
          </w:tcPr>
          <w:p>
            <w:r>
              <w:t>0.08</w:t>
            </w:r>
          </w:p>
        </w:tc>
        <w:tc>
          <w:tcPr>
            <w:tcW w:type="dxa" w:w="2016"/>
          </w:tcPr>
          <w:p>
            <w:r>
              <w:t>Whether the connection should feel led, fluid, mirrored, undefined, or charged.</w:t>
            </w:r>
          </w:p>
        </w:tc>
      </w:tr>
      <w:tr>
        <w:tc>
          <w:tcPr>
            <w:tcW w:type="dxa" w:w="2016"/>
          </w:tcPr>
          <w:p>
            <w:r>
              <w:t>Energetic Flexibility</w:t>
            </w:r>
          </w:p>
        </w:tc>
        <w:tc>
          <w:tcPr>
            <w:tcW w:type="dxa" w:w="2016"/>
          </w:tcPr>
          <w:p>
            <w:r>
              <w:t>flexibility_axis</w:t>
            </w:r>
          </w:p>
        </w:tc>
        <w:tc>
          <w:tcPr>
            <w:tcW w:type="dxa" w:w="2016"/>
          </w:tcPr>
          <w:p>
            <w:r>
              <w:t>Similarity</w:t>
            </w:r>
          </w:p>
        </w:tc>
        <w:tc>
          <w:tcPr>
            <w:tcW w:type="dxa" w:w="2016"/>
          </w:tcPr>
          <w:p>
            <w:r>
              <w:t>0.06</w:t>
            </w:r>
          </w:p>
        </w:tc>
        <w:tc>
          <w:tcPr>
            <w:tcW w:type="dxa" w:w="2016"/>
          </w:tcPr>
          <w:p>
            <w:r>
              <w:t>Ability to move between leading, softening, and receiving.</w:t>
            </w:r>
          </w:p>
        </w:tc>
      </w:tr>
      <w:tr>
        <w:tc>
          <w:tcPr>
            <w:tcW w:type="dxa" w:w="2016"/>
          </w:tcPr>
          <w:p>
            <w:r>
              <w:t>Validation Dependency</w:t>
            </w:r>
          </w:p>
        </w:tc>
        <w:tc>
          <w:tcPr>
            <w:tcW w:type="dxa" w:w="2016"/>
          </w:tcPr>
          <w:p>
            <w:r>
              <w:t>validation_dependency_axis</w:t>
            </w:r>
          </w:p>
        </w:tc>
        <w:tc>
          <w:tcPr>
            <w:tcW w:type="dxa" w:w="2016"/>
          </w:tcPr>
          <w:p>
            <w:r>
              <w:t>Balance @ 0.40</w:t>
            </w:r>
          </w:p>
        </w:tc>
        <w:tc>
          <w:tcPr>
            <w:tcW w:type="dxa" w:w="2016"/>
          </w:tcPr>
          <w:p>
            <w:r>
              <w:t>0.04</w:t>
            </w:r>
          </w:p>
        </w:tc>
        <w:tc>
          <w:tcPr>
            <w:tcW w:type="dxa" w:w="2016"/>
          </w:tcPr>
          <w:p>
            <w:r>
              <w:t>How much attraction depends on feeling wanted or admired.</w:t>
            </w:r>
          </w:p>
        </w:tc>
      </w:tr>
      <w:tr>
        <w:tc>
          <w:tcPr>
            <w:tcW w:type="dxa" w:w="2016"/>
          </w:tcPr>
          <w:p>
            <w:r>
              <w:t>Erotic-Safety Alignment</w:t>
            </w:r>
          </w:p>
        </w:tc>
        <w:tc>
          <w:tcPr>
            <w:tcW w:type="dxa" w:w="2016"/>
          </w:tcPr>
          <w:p>
            <w:r>
              <w:t>erotic_safety_alignment_axis</w:t>
            </w:r>
          </w:p>
        </w:tc>
        <w:tc>
          <w:tcPr>
            <w:tcW w:type="dxa" w:w="2016"/>
          </w:tcPr>
          <w:p>
            <w:r>
              <w:t>Similarity</w:t>
            </w:r>
          </w:p>
        </w:tc>
        <w:tc>
          <w:tcPr>
            <w:tcW w:type="dxa" w:w="2016"/>
          </w:tcPr>
          <w:p>
            <w:r>
              <w:t>0.04</w:t>
            </w:r>
          </w:p>
        </w:tc>
        <w:tc>
          <w:tcPr>
            <w:tcW w:type="dxa" w:w="2016"/>
          </w:tcPr>
          <w:p>
            <w:r>
              <w:t>Whether what excites the person also feels safe.</w:t>
            </w:r>
          </w:p>
        </w:tc>
      </w:tr>
    </w:tbl>
    <w:p>
      <w:pPr>
        <w:pStyle w:val="H1"/>
      </w:pPr>
      <w:r>
        <w:t>5. Pair Math</w:t>
      </w:r>
    </w:p>
    <w:p>
      <w:pPr>
        <w:pStyle w:val="H2"/>
      </w:pPr>
      <w:r>
        <w:t>5.1 Axis normalization</w:t>
      </w:r>
    </w:p>
    <w:p>
      <w:r>
        <w:t>Each user receives a 0–1 normalized score for each axis from their assessment answers. If a person does not complete the polarity-mapped items, the chemistry layer is marked incomplete and should not be fabricated.</w:t>
      </w:r>
    </w:p>
    <w:p>
      <w:pPr>
        <w:pStyle w:val="H2"/>
      </w:pPr>
      <w:r>
        <w:t>5.2 Axis fit functions</w:t>
      </w:r>
    </w:p>
    <w:p>
      <w:pPr>
        <w:ind w:left="0"/>
      </w:pPr>
      <w:r>
        <w:rPr>
          <w:b/>
        </w:rPr>
        <w:t xml:space="preserve">• </w:t>
      </w:r>
      <w:r>
        <w:t>Complement fit: strongest when one person is high and the other is lower in a way that creates functional rhythm rather than a stalemate.</w:t>
      </w:r>
    </w:p>
    <w:p>
      <w:pPr>
        <w:ind w:left="0"/>
      </w:pPr>
      <w:r>
        <w:rPr>
          <w:b/>
        </w:rPr>
        <w:t xml:space="preserve">• </w:t>
      </w:r>
      <w:r>
        <w:t>Similarity fit: strongest when both people sit near each other on the axis.</w:t>
      </w:r>
    </w:p>
    <w:p>
      <w:pPr>
        <w:ind w:left="0"/>
      </w:pPr>
      <w:r>
        <w:rPr>
          <w:b/>
        </w:rPr>
        <w:t xml:space="preserve">• </w:t>
      </w:r>
      <w:r>
        <w:t>Balance fit: strongest when the pair mean is near the workbook’s target balance point and neither person is in a volatile extreme.</w:t>
      </w:r>
    </w:p>
    <w:p>
      <w:r>
        <w:t>Recommended implementation formulas:</w:t>
      </w:r>
    </w:p>
    <w:p>
      <w:pPr>
        <w:pStyle w:val="Callout"/>
      </w:pPr>
      <w:r>
        <w:rPr>
          <w:b/>
        </w:rPr>
        <w:t>similarity_fit = 1 - abs(a - b)</w:t>
      </w:r>
    </w:p>
    <w:p>
      <w:pPr>
        <w:pStyle w:val="Callout"/>
      </w:pPr>
      <w:r>
        <w:t>complement_fit = 1 - abs((a + b) - 1)</w:t>
      </w:r>
    </w:p>
    <w:p>
      <w:pPr>
        <w:pStyle w:val="Callout"/>
      </w:pPr>
      <w:r>
        <w:t>balance_fit(target t) = 1 - min(1, abs(((a + b)/2) - t) / max(t, 1-t))</w:t>
      </w:r>
    </w:p>
    <w:p>
      <w:r>
        <w:t>These are implementation-safe defaults for v1. If the workbook later contains stricter formulas, the workbook wins.</w:t>
      </w:r>
    </w:p>
    <w:p>
      <w:pPr>
        <w:pStyle w:val="H2"/>
      </w:pPr>
      <w:r>
        <w:t>5.3 Dimensional polarity fit</w:t>
      </w:r>
    </w:p>
    <w:p>
      <w:r>
        <w:t>Compute weighted axis fits and sum them to create the official polarity fit score.</w:t>
      </w:r>
    </w:p>
    <w:p>
      <w:pPr>
        <w:pStyle w:val="Callout"/>
      </w:pPr>
      <w:r>
        <w:t>polarity_fit = Σ(axis_fit × inside_chemistry_weight)</w:t>
      </w:r>
    </w:p>
    <w:p>
      <w:r>
        <w:t>The sum of the ten inside-chemistry weights equals 1.0 within the polarity fit component.</w:t>
      </w:r>
    </w:p>
    <w:p>
      <w:pPr>
        <w:pStyle w:val="H2"/>
      </w:pPr>
      <w:r>
        <w:t>5.4 Pursuit / receptivity fit</w:t>
      </w:r>
    </w:p>
    <w:p>
      <w:r>
        <w:t>Pursuit / receptivity fit is a narrower rhythm score emphasizing whether the pair will actually start, alternate, settle, or chase each other into traffic.</w:t>
      </w:r>
    </w:p>
    <w:p>
      <w:pPr>
        <w:ind w:left="0"/>
      </w:pPr>
      <w:r>
        <w:rPr>
          <w:b/>
        </w:rPr>
        <w:t xml:space="preserve">• </w:t>
      </w:r>
      <w:r>
        <w:t>Primary inputs: initiation_axis, pursuit_axis, leadership_axis.</w:t>
      </w:r>
    </w:p>
    <w:p>
      <w:pPr>
        <w:ind w:left="0"/>
      </w:pPr>
      <w:r>
        <w:rPr>
          <w:b/>
        </w:rPr>
        <w:t xml:space="preserve">• </w:t>
      </w:r>
      <w:r>
        <w:t>Secondary modifiers: surrender_safety_axis, calm_receptivity_axis, and AttractionPatternNorm.</w:t>
      </w:r>
    </w:p>
    <w:p>
      <w:pPr>
        <w:ind w:left="0"/>
      </w:pPr>
      <w:r>
        <w:rPr>
          <w:b/>
        </w:rPr>
        <w:t xml:space="preserve">• </w:t>
      </w:r>
      <w:r>
        <w:t>Recommended weighting inside pursuit / receptivity fit: initiation 35%, pursuit preference 30%, leadership comfort 20%, surrender safety 7.5%, calm receptivity 7.5%.</w:t>
      </w:r>
    </w:p>
    <w:p>
      <w:pPr>
        <w:pStyle w:val="Callout"/>
      </w:pPr>
      <w:r>
        <w:t>pursuit_fit = weighted blend of the above inputs, capped to 0–1</w:t>
      </w:r>
    </w:p>
    <w:p>
      <w:pPr>
        <w:pStyle w:val="H2"/>
      </w:pPr>
      <w:r>
        <w:t>5.5 Chemistry layer output</w:t>
      </w:r>
    </w:p>
    <w:p>
      <w:pPr>
        <w:pStyle w:val="Callout"/>
      </w:pPr>
      <w:r>
        <w:t>chemistry_layer = (0.08 × polarity_fit) + (0.05 × pursuit_fit)</w:t>
      </w:r>
    </w:p>
    <w:p>
      <w:r>
        <w:t>This is the only official chemistry contribution to the final compatibility norm in v1.</w:t>
      </w:r>
    </w:p>
    <w:p>
      <w:pPr>
        <w:pStyle w:val="H1"/>
      </w:pPr>
      <w:r>
        <w:t>6. AttractionPatternNorm Use</w:t>
      </w:r>
    </w:p>
    <w:p>
      <w:r>
        <w:t>AttractionPatternNorm should not become a free-floating drama bonus. It functions as a modifier and explanation aid, not a loophole.</w:t>
      </w:r>
    </w:p>
    <w:p>
      <w:pPr>
        <w:ind w:left="0"/>
      </w:pPr>
      <w:r>
        <w:rPr>
          <w:b/>
        </w:rPr>
        <w:t xml:space="preserve">• </w:t>
      </w:r>
      <w:r>
        <w:t>Use AttractionPatternNorm to explain whether attraction is grounded, avoidant-activating, uncertainty-driven, or balanced.</w:t>
      </w:r>
    </w:p>
    <w:p>
      <w:pPr>
        <w:ind w:left="0"/>
      </w:pPr>
      <w:r>
        <w:rPr>
          <w:b/>
        </w:rPr>
        <w:t xml:space="preserve">• </w:t>
      </w:r>
      <w:r>
        <w:t>Use it to nudge pursuit_fit and user-facing chemistry explanations.</w:t>
      </w:r>
    </w:p>
    <w:p>
      <w:pPr>
        <w:ind w:left="0"/>
      </w:pPr>
      <w:r>
        <w:rPr>
          <w:b/>
        </w:rPr>
        <w:t xml:space="preserve">• </w:t>
      </w:r>
      <w:r>
        <w:t>Do not let AttractionPatternNorm overpower weak regulation, high contradiction burden, high integrity burden, or severe shadow conflict.</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D9E2F3"/>
          </w:tcPr>
          <w:p>
            <w:r>
              <w:t>Attraction pattern state</w:t>
            </w:r>
          </w:p>
        </w:tc>
        <w:tc>
          <w:tcPr>
            <w:tcW w:type="dxa" w:w="3360"/>
            <w:tcMar>
              <w:top w:w="80" w:type="dxa"/>
              <w:start w:w="100" w:type="dxa"/>
              <w:bottom w:w="80" w:type="dxa"/>
              <w:end w:w="100" w:type="dxa"/>
            </w:tcMar>
            <w:vAlign w:val="center"/>
            <w:shd w:fill="D9E2F3"/>
          </w:tcPr>
          <w:p>
            <w:r>
              <w:t>Engine effect</w:t>
            </w:r>
          </w:p>
        </w:tc>
        <w:tc>
          <w:tcPr>
            <w:tcW w:type="dxa" w:w="3360"/>
            <w:tcMar>
              <w:top w:w="80" w:type="dxa"/>
              <w:start w:w="100" w:type="dxa"/>
              <w:bottom w:w="80" w:type="dxa"/>
              <w:end w:w="100" w:type="dxa"/>
            </w:tcMar>
            <w:vAlign w:val="center"/>
            <w:shd w:fill="D9E2F3"/>
          </w:tcPr>
          <w:p>
            <w:r>
              <w:t>User explanation style</w:t>
            </w:r>
          </w:p>
        </w:tc>
      </w:tr>
      <w:tr>
        <w:tc>
          <w:tcPr>
            <w:tcW w:type="dxa" w:w="3360"/>
          </w:tcPr>
          <w:p>
            <w:r>
              <w:t>Grounded / balanced</w:t>
            </w:r>
          </w:p>
        </w:tc>
        <w:tc>
          <w:tcPr>
            <w:tcW w:type="dxa" w:w="3360"/>
          </w:tcPr>
          <w:p>
            <w:r>
              <w:t>Small positive modifier within pursuit_fit</w:t>
            </w:r>
          </w:p>
        </w:tc>
        <w:tc>
          <w:tcPr>
            <w:tcW w:type="dxa" w:w="3360"/>
          </w:tcPr>
          <w:p>
            <w:r>
              <w:t>Attraction feels alive without depending on instability.</w:t>
            </w:r>
          </w:p>
        </w:tc>
      </w:tr>
      <w:tr>
        <w:tc>
          <w:tcPr>
            <w:tcW w:type="dxa" w:w="3360"/>
          </w:tcPr>
          <w:p>
            <w:r>
              <w:t>Uncertainty-biased</w:t>
            </w:r>
          </w:p>
        </w:tc>
        <w:tc>
          <w:tcPr>
            <w:tcW w:type="dxa" w:w="3360"/>
          </w:tcPr>
          <w:p>
            <w:r>
              <w:t>No bonus by default; may trigger caution note</w:t>
            </w:r>
          </w:p>
        </w:tc>
        <w:tc>
          <w:tcPr>
            <w:tcW w:type="dxa" w:w="3360"/>
          </w:tcPr>
          <w:p>
            <w:r>
              <w:t>Chemistry spikes when things feel less certain.</w:t>
            </w:r>
          </w:p>
        </w:tc>
      </w:tr>
      <w:tr>
        <w:tc>
          <w:tcPr>
            <w:tcW w:type="dxa" w:w="3360"/>
          </w:tcPr>
          <w:p>
            <w:r>
              <w:t>Activation-biased</w:t>
            </w:r>
          </w:p>
        </w:tc>
        <w:tc>
          <w:tcPr>
            <w:tcW w:type="dxa" w:w="3360"/>
          </w:tcPr>
          <w:p>
            <w:r>
              <w:t>May lower stability confidence</w:t>
            </w:r>
          </w:p>
        </w:tc>
        <w:tc>
          <w:tcPr>
            <w:tcW w:type="dxa" w:w="3360"/>
          </w:tcPr>
          <w:p>
            <w:r>
              <w:t>The pull is real, but it may be feeding off nervous-system activation.</w:t>
            </w:r>
          </w:p>
        </w:tc>
      </w:tr>
      <w:tr>
        <w:tc>
          <w:tcPr>
            <w:tcW w:type="dxa" w:w="3360"/>
          </w:tcPr>
          <w:p>
            <w:r>
              <w:t>Split desire vs safety</w:t>
            </w:r>
          </w:p>
        </w:tc>
        <w:tc>
          <w:tcPr>
            <w:tcW w:type="dxa" w:w="3360"/>
          </w:tcPr>
          <w:p>
            <w:r>
              <w:t>Lower erotic-safety alignment interpretation</w:t>
            </w:r>
          </w:p>
        </w:tc>
        <w:tc>
          <w:tcPr>
            <w:tcW w:type="dxa" w:w="3360"/>
          </w:tcPr>
          <w:p>
            <w:r>
              <w:t>Desire and safety are not lining up cleanly yet.</w:t>
            </w:r>
          </w:p>
        </w:tc>
      </w:tr>
    </w:tbl>
    <w:p>
      <w:pPr>
        <w:pStyle w:val="H1"/>
      </w:pPr>
      <w:r>
        <w:t>7. Gating and Protection Rules</w:t>
      </w:r>
    </w:p>
    <w:p>
      <w:r>
        <w:t>Chemistry is downstream from safety law. If a pair is highly unstable, chemistry may still be described, but it should not be allowed to masquerade as a strong match.</w:t>
      </w:r>
    </w:p>
    <w:p>
      <w:pPr>
        <w:ind w:left="0"/>
      </w:pPr>
      <w:r>
        <w:rPr>
          <w:b/>
        </w:rPr>
        <w:t xml:space="preserve">• </w:t>
      </w:r>
      <w:r>
        <w:t>If risk gate or hard-stop logic materially suppresses compatibility, chemistry remains visible as a separate note but does not restore the score.</w:t>
      </w:r>
    </w:p>
    <w:p>
      <w:pPr>
        <w:ind w:left="0"/>
      </w:pPr>
      <w:r>
        <w:rPr>
          <w:b/>
        </w:rPr>
        <w:t xml:space="preserve">• </w:t>
      </w:r>
      <w:r>
        <w:t>If cluster burden is severe, chemistry explanation should mention that attraction may be outrunning readiness.</w:t>
      </w:r>
    </w:p>
    <w:p>
      <w:pPr>
        <w:ind w:left="0"/>
      </w:pPr>
      <w:r>
        <w:rPr>
          <w:b/>
        </w:rPr>
        <w:t xml:space="preserve">• </w:t>
      </w:r>
      <w:r>
        <w:t>If pace / attachment mismatch is severe, chemistry may remain high while compatibility drops. This is a feature, not a bug.</w:t>
      </w:r>
    </w:p>
    <w:p>
      <w:pPr>
        <w:ind w:left="0"/>
      </w:pPr>
      <w:r>
        <w:rPr>
          <w:b/>
        </w:rPr>
        <w:t xml:space="preserve">• </w:t>
      </w:r>
      <w:r>
        <w:t>If integrity burden is elevated, public explanations should warn against over-reading chemistry.</w:t>
      </w:r>
    </w:p>
    <w:p>
      <w:pPr>
        <w:pStyle w:val="H1"/>
      </w:pPr>
      <w:r>
        <w:t>8. Storage and Visibility Rules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start w:w="100" w:type="dxa"/>
              <w:bottom w:w="80" w:type="dxa"/>
              <w:end w:w="100" w:type="dxa"/>
            </w:tcMar>
            <w:vAlign w:val="center"/>
            <w:shd w:fill="D9E2F3"/>
          </w:tcPr>
          <w:p>
            <w:r>
              <w:t>Field</w:t>
            </w:r>
          </w:p>
        </w:tc>
        <w:tc>
          <w:tcPr>
            <w:tcW w:type="dxa" w:w="2016"/>
            <w:tcMar>
              <w:top w:w="80" w:type="dxa"/>
              <w:start w:w="100" w:type="dxa"/>
              <w:bottom w:w="80" w:type="dxa"/>
              <w:end w:w="100" w:type="dxa"/>
            </w:tcMar>
            <w:vAlign w:val="center"/>
            <w:shd w:fill="D9E2F3"/>
          </w:tcPr>
          <w:p>
            <w:r>
              <w:t>Type</w:t>
            </w:r>
          </w:p>
        </w:tc>
        <w:tc>
          <w:tcPr>
            <w:tcW w:type="dxa" w:w="2016"/>
            <w:tcMar>
              <w:top w:w="80" w:type="dxa"/>
              <w:start w:w="100" w:type="dxa"/>
              <w:bottom w:w="80" w:type="dxa"/>
              <w:end w:w="100" w:type="dxa"/>
            </w:tcMar>
            <w:vAlign w:val="center"/>
            <w:shd w:fill="D9E2F3"/>
          </w:tcPr>
          <w:p>
            <w:r>
              <w:t>User-visible?</w:t>
            </w:r>
          </w:p>
        </w:tc>
        <w:tc>
          <w:tcPr>
            <w:tcW w:type="dxa" w:w="2016"/>
            <w:tcMar>
              <w:top w:w="80" w:type="dxa"/>
              <w:start w:w="100" w:type="dxa"/>
              <w:bottom w:w="80" w:type="dxa"/>
              <w:end w:w="100" w:type="dxa"/>
            </w:tcMar>
            <w:vAlign w:val="center"/>
            <w:shd w:fill="D9E2F3"/>
          </w:tcPr>
          <w:p>
            <w:r>
              <w:t>AI-visible?</w:t>
            </w:r>
          </w:p>
        </w:tc>
        <w:tc>
          <w:tcPr>
            <w:tcW w:type="dxa" w:w="2016"/>
            <w:tcMar>
              <w:top w:w="80" w:type="dxa"/>
              <w:start w:w="100" w:type="dxa"/>
              <w:bottom w:w="80" w:type="dxa"/>
              <w:end w:w="100" w:type="dxa"/>
            </w:tcMar>
            <w:vAlign w:val="center"/>
            <w:shd w:fill="D9E2F3"/>
          </w:tcPr>
          <w:p>
            <w:r>
              <w:t>Use</w:t>
            </w:r>
          </w:p>
        </w:tc>
      </w:tr>
      <w:tr>
        <w:tc>
          <w:tcPr>
            <w:tcW w:type="dxa" w:w="2016"/>
          </w:tcPr>
          <w:p>
            <w:r>
              <w:t>polarity_dimension_score</w:t>
            </w:r>
          </w:p>
        </w:tc>
        <w:tc>
          <w:tcPr>
            <w:tcW w:type="dxa" w:w="2016"/>
          </w:tcPr>
          <w:p>
            <w:r>
              <w:t>number 0–100</w:t>
            </w:r>
          </w:p>
        </w:tc>
        <w:tc>
          <w:tcPr>
            <w:tcW w:type="dxa" w:w="2016"/>
          </w:tcPr>
          <w:p>
            <w:r>
              <w:t>Yes</w:t>
            </w:r>
          </w:p>
        </w:tc>
        <w:tc>
          <w:tcPr>
            <w:tcW w:type="dxa" w:w="2016"/>
          </w:tcPr>
          <w:p>
            <w:r>
              <w:t>Yes</w:t>
            </w:r>
          </w:p>
        </w:tc>
        <w:tc>
          <w:tcPr>
            <w:tcW w:type="dxa" w:w="2016"/>
          </w:tcPr>
          <w:p>
            <w:r>
              <w:t>Main chemistry diagnostic.</w:t>
            </w:r>
          </w:p>
        </w:tc>
      </w:tr>
      <w:tr>
        <w:tc>
          <w:tcPr>
            <w:tcW w:type="dxa" w:w="2016"/>
          </w:tcPr>
          <w:p>
            <w:r>
              <w:t>polarity_fit</w:t>
            </w:r>
          </w:p>
        </w:tc>
        <w:tc>
          <w:tcPr>
            <w:tcW w:type="dxa" w:w="2016"/>
          </w:tcPr>
          <w:p>
            <w:r>
              <w:t>number 0–1</w:t>
            </w:r>
          </w:p>
        </w:tc>
        <w:tc>
          <w:tcPr>
            <w:tcW w:type="dxa" w:w="2016"/>
          </w:tcPr>
          <w:p>
            <w:r>
              <w:t>No direct raw field</w:t>
            </w:r>
          </w:p>
        </w:tc>
        <w:tc>
          <w:tcPr>
            <w:tcW w:type="dxa" w:w="2016"/>
          </w:tcPr>
          <w:p>
            <w:r>
              <w:t>Yes</w:t>
            </w:r>
          </w:p>
        </w:tc>
        <w:tc>
          <w:tcPr>
            <w:tcW w:type="dxa" w:w="2016"/>
          </w:tcPr>
          <w:p>
            <w:r>
              <w:t>Engine subscore.</w:t>
            </w:r>
          </w:p>
        </w:tc>
      </w:tr>
      <w:tr>
        <w:tc>
          <w:tcPr>
            <w:tcW w:type="dxa" w:w="2016"/>
          </w:tcPr>
          <w:p>
            <w:r>
              <w:t>pursuit_fit</w:t>
            </w:r>
          </w:p>
        </w:tc>
        <w:tc>
          <w:tcPr>
            <w:tcW w:type="dxa" w:w="2016"/>
          </w:tcPr>
          <w:p>
            <w:r>
              <w:t>number 0–1</w:t>
            </w:r>
          </w:p>
        </w:tc>
        <w:tc>
          <w:tcPr>
            <w:tcW w:type="dxa" w:w="2016"/>
          </w:tcPr>
          <w:p>
            <w:r>
              <w:t>No direct raw field</w:t>
            </w:r>
          </w:p>
        </w:tc>
        <w:tc>
          <w:tcPr>
            <w:tcW w:type="dxa" w:w="2016"/>
          </w:tcPr>
          <w:p>
            <w:r>
              <w:t>Yes</w:t>
            </w:r>
          </w:p>
        </w:tc>
        <w:tc>
          <w:tcPr>
            <w:tcW w:type="dxa" w:w="2016"/>
          </w:tcPr>
          <w:p>
            <w:r>
              <w:t>Engine subscore.</w:t>
            </w:r>
          </w:p>
        </w:tc>
      </w:tr>
      <w:tr>
        <w:tc>
          <w:tcPr>
            <w:tcW w:type="dxa" w:w="2016"/>
          </w:tcPr>
          <w:p>
            <w:r>
              <w:t>attraction_pattern_norm</w:t>
            </w:r>
          </w:p>
        </w:tc>
        <w:tc>
          <w:tcPr>
            <w:tcW w:type="dxa" w:w="2016"/>
          </w:tcPr>
          <w:p>
            <w:r>
              <w:t>number 0–1</w:t>
            </w:r>
          </w:p>
        </w:tc>
        <w:tc>
          <w:tcPr>
            <w:tcW w:type="dxa" w:w="2016"/>
          </w:tcPr>
          <w:p>
            <w:r>
              <w:t>Indirectly</w:t>
            </w:r>
          </w:p>
        </w:tc>
        <w:tc>
          <w:tcPr>
            <w:tcW w:type="dxa" w:w="2016"/>
          </w:tcPr>
          <w:p>
            <w:r>
              <w:t>Yes</w:t>
            </w:r>
          </w:p>
        </w:tc>
        <w:tc>
          <w:tcPr>
            <w:tcW w:type="dxa" w:w="2016"/>
          </w:tcPr>
          <w:p>
            <w:r>
              <w:t>Narrative and modifier.</w:t>
            </w:r>
          </w:p>
        </w:tc>
      </w:tr>
      <w:tr>
        <w:tc>
          <w:tcPr>
            <w:tcW w:type="dxa" w:w="2016"/>
          </w:tcPr>
          <w:p>
            <w:r>
              <w:t>axis scores (10)</w:t>
            </w:r>
          </w:p>
        </w:tc>
        <w:tc>
          <w:tcPr>
            <w:tcW w:type="dxa" w:w="2016"/>
          </w:tcPr>
          <w:p>
            <w:r>
              <w:t>numbers 0–1 each</w:t>
            </w:r>
          </w:p>
        </w:tc>
        <w:tc>
          <w:tcPr>
            <w:tcW w:type="dxa" w:w="2016"/>
          </w:tcPr>
          <w:p>
            <w:r>
              <w:t>Partially, translated</w:t>
            </w:r>
          </w:p>
        </w:tc>
        <w:tc>
          <w:tcPr>
            <w:tcW w:type="dxa" w:w="2016"/>
          </w:tcPr>
          <w:p>
            <w:r>
              <w:t>Yes</w:t>
            </w:r>
          </w:p>
        </w:tc>
        <w:tc>
          <w:tcPr>
            <w:tcW w:type="dxa" w:w="2016"/>
          </w:tcPr>
          <w:p>
            <w:r>
              <w:t>Detailed pair explanation.</w:t>
            </w:r>
          </w:p>
        </w:tc>
      </w:tr>
      <w:tr>
        <w:tc>
          <w:tcPr>
            <w:tcW w:type="dxa" w:w="2016"/>
          </w:tcPr>
          <w:p>
            <w:r>
              <w:t>chemistry_layer_public</w:t>
            </w:r>
          </w:p>
        </w:tc>
        <w:tc>
          <w:tcPr>
            <w:tcW w:type="dxa" w:w="2016"/>
          </w:tcPr>
          <w:p>
            <w:r>
              <w:t>number / tier</w:t>
            </w:r>
          </w:p>
        </w:tc>
        <w:tc>
          <w:tcPr>
            <w:tcW w:type="dxa" w:w="2016"/>
          </w:tcPr>
          <w:p>
            <w:r>
              <w:t>Yes</w:t>
            </w:r>
          </w:p>
        </w:tc>
        <w:tc>
          <w:tcPr>
            <w:tcW w:type="dxa" w:w="2016"/>
          </w:tcPr>
          <w:p>
            <w:r>
              <w:t>Yes</w:t>
            </w:r>
          </w:p>
        </w:tc>
        <w:tc>
          <w:tcPr>
            <w:tcW w:type="dxa" w:w="2016"/>
          </w:tcPr>
          <w:p>
            <w:r>
              <w:t>What users see in the app.</w:t>
            </w:r>
          </w:p>
        </w:tc>
      </w:tr>
      <w:tr>
        <w:tc>
          <w:tcPr>
            <w:tcW w:type="dxa" w:w="2016"/>
          </w:tcPr>
          <w:p>
            <w:r>
              <w:t>chemistry_risk_note</w:t>
            </w:r>
          </w:p>
        </w:tc>
        <w:tc>
          <w:tcPr>
            <w:tcW w:type="dxa" w:w="2016"/>
          </w:tcPr>
          <w:p>
            <w:r>
              <w:t>text enum</w:t>
            </w:r>
          </w:p>
        </w:tc>
        <w:tc>
          <w:tcPr>
            <w:tcW w:type="dxa" w:w="2016"/>
          </w:tcPr>
          <w:p>
            <w:r>
              <w:t>Yes when relevant</w:t>
            </w:r>
          </w:p>
        </w:tc>
        <w:tc>
          <w:tcPr>
            <w:tcW w:type="dxa" w:w="2016"/>
          </w:tcPr>
          <w:p>
            <w:r>
              <w:t>Yes</w:t>
            </w:r>
          </w:p>
        </w:tc>
        <w:tc>
          <w:tcPr>
            <w:tcW w:type="dxa" w:w="2016"/>
          </w:tcPr>
          <w:p>
            <w:r>
              <w:t>Caution banner if attraction lies.</w:t>
            </w:r>
          </w:p>
        </w:tc>
      </w:tr>
    </w:tbl>
    <w:p>
      <w:r>
        <w:t>Users should see translated chemistry language, not raw hidden risk flags. Matches should never see a full internal polarity diagnostic dump. AI may use the full dimensional map for explanation, coaching, and compatibility narratives, but not to expose private internal flags to other users.</w:t>
      </w:r>
    </w:p>
    <w:p>
      <w:pPr>
        <w:pStyle w:val="H1"/>
      </w:pPr>
      <w:r>
        <w:t>9. UX Translation Law</w:t>
      </w:r>
    </w:p>
    <w:p>
      <w:r>
        <w:t>Public chemistry output should be readable, specific, and not spiritually drunk. Recommended user-facing buckets:</w:t>
      </w:r>
    </w:p>
    <w:p>
      <w:pPr>
        <w:ind w:left="0"/>
      </w:pPr>
      <w:r>
        <w:rPr>
          <w:b/>
        </w:rPr>
        <w:t xml:space="preserve">• </w:t>
      </w:r>
      <w:r>
        <w:t>Strong and grounded</w:t>
      </w:r>
    </w:p>
    <w:p>
      <w:pPr>
        <w:ind w:left="0"/>
      </w:pPr>
      <w:r>
        <w:rPr>
          <w:b/>
        </w:rPr>
        <w:t xml:space="preserve">• </w:t>
      </w:r>
      <w:r>
        <w:t>Strong but volatile</w:t>
      </w:r>
    </w:p>
    <w:p>
      <w:pPr>
        <w:ind w:left="0"/>
      </w:pPr>
      <w:r>
        <w:rPr>
          <w:b/>
        </w:rPr>
        <w:t xml:space="preserve">• </w:t>
      </w:r>
      <w:r>
        <w:t>Slow-build chemistry</w:t>
      </w:r>
    </w:p>
    <w:p>
      <w:pPr>
        <w:ind w:left="0"/>
      </w:pPr>
      <w:r>
        <w:rPr>
          <w:b/>
        </w:rPr>
        <w:t xml:space="preserve">• </w:t>
      </w:r>
      <w:r>
        <w:t>Mutual ease, lower tension</w:t>
      </w:r>
    </w:p>
    <w:p>
      <w:pPr>
        <w:ind w:left="0"/>
      </w:pPr>
      <w:r>
        <w:rPr>
          <w:b/>
        </w:rPr>
        <w:t xml:space="preserve">• </w:t>
      </w:r>
      <w:r>
        <w:t>Hot-cold pursuit pattern</w:t>
      </w:r>
    </w:p>
    <w:p>
      <w:pPr>
        <w:ind w:left="0"/>
      </w:pPr>
      <w:r>
        <w:rPr>
          <w:b/>
        </w:rPr>
        <w:t xml:space="preserve">• </w:t>
      </w:r>
      <w:r>
        <w:t>Desire / safety split</w:t>
      </w:r>
    </w:p>
    <w:p>
      <w:r>
        <w:t>Every chemistry explanation should answer three things:</w:t>
      </w:r>
    </w:p>
    <w:p>
      <w:pPr>
        <w:ind w:left="0"/>
      </w:pPr>
      <w:r>
        <w:rPr>
          <w:b/>
        </w:rPr>
        <w:t xml:space="preserve">• </w:t>
      </w:r>
      <w:r>
        <w:t>What is pulling these two people together?</w:t>
      </w:r>
    </w:p>
    <w:p>
      <w:pPr>
        <w:ind w:left="0"/>
      </w:pPr>
      <w:r>
        <w:rPr>
          <w:b/>
        </w:rPr>
        <w:t xml:space="preserve">• </w:t>
      </w:r>
      <w:r>
        <w:t>What rhythm problem could make the attraction stall or mislead them?</w:t>
      </w:r>
    </w:p>
    <w:p>
      <w:pPr>
        <w:ind w:left="0"/>
      </w:pPr>
      <w:r>
        <w:rPr>
          <w:b/>
        </w:rPr>
        <w:t xml:space="preserve">• </w:t>
      </w:r>
      <w:r>
        <w:t>What would make this chemistry safer and more sustainable?</w:t>
      </w:r>
    </w:p>
    <w:p>
      <w:pPr>
        <w:pStyle w:val="H1"/>
      </w:pPr>
      <w:r>
        <w:t>10. Authoring and Data Quality Rules</w:t>
      </w:r>
    </w:p>
    <w:p>
      <w:r>
        <w:t>The rewrite rules from v10 are mandatory for any future polarity answer expansion. Score anchors are allowed to stay stable, but sentence rhythm, center of gravity, and voice shape must rotate so the data reflects real people instead of a templated role costume.</w:t>
      </w:r>
    </w:p>
    <w:p>
      <w:pPr>
        <w:ind w:left="0"/>
      </w:pPr>
      <w:r>
        <w:rPr>
          <w:b/>
        </w:rPr>
        <w:t xml:space="preserve">• </w:t>
      </w:r>
      <w:r>
        <w:t>Use role seeds as scoring anchors, not writing cages.</w:t>
      </w:r>
    </w:p>
    <w:p>
      <w:pPr>
        <w:ind w:left="0"/>
      </w:pPr>
      <w:r>
        <w:rPr>
          <w:b/>
        </w:rPr>
        <w:t xml:space="preserve">• </w:t>
      </w:r>
      <w:r>
        <w:t>Rotate cadence types across answer options and questions.</w:t>
      </w:r>
    </w:p>
    <w:p>
      <w:pPr>
        <w:ind w:left="0"/>
      </w:pPr>
      <w:r>
        <w:rPr>
          <w:b/>
        </w:rPr>
        <w:t xml:space="preserve">• </w:t>
      </w:r>
      <w:r>
        <w:t>Avoid repeated openers and repeated certainty language.</w:t>
      </w:r>
    </w:p>
    <w:p>
      <w:pPr>
        <w:ind w:left="0"/>
      </w:pPr>
      <w:r>
        <w:rPr>
          <w:b/>
        </w:rPr>
        <w:t xml:space="preserve">• </w:t>
      </w:r>
      <w:r>
        <w:t>Let the first internal movement drive the sentence, not the label.</w:t>
      </w:r>
    </w:p>
    <w:p>
      <w:pPr>
        <w:pStyle w:val="H1"/>
      </w:pPr>
      <w:r>
        <w:t>11. QA / Launch Checklist</w:t>
      </w:r>
    </w:p>
    <w:p>
      <w:pPr>
        <w:ind w:left="0"/>
      </w:pPr>
      <w:r>
        <w:rPr>
          <w:b/>
        </w:rPr>
        <w:t xml:space="preserve">• </w:t>
      </w:r>
      <w:r>
        <w:t>Confirm each polarity-mapped answer writes axis values correctly.</w:t>
      </w:r>
    </w:p>
    <w:p>
      <w:pPr>
        <w:ind w:left="0"/>
      </w:pPr>
      <w:r>
        <w:rPr>
          <w:b/>
        </w:rPr>
        <w:t xml:space="preserve">• </w:t>
      </w:r>
      <w:r>
        <w:t>Confirm all ten axis scores normalize to 0–1 and roll into a 0–100 polarity dimension score.</w:t>
      </w:r>
    </w:p>
    <w:p>
      <w:pPr>
        <w:ind w:left="0"/>
      </w:pPr>
      <w:r>
        <w:rPr>
          <w:b/>
        </w:rPr>
        <w:t xml:space="preserve">• </w:t>
      </w:r>
      <w:r>
        <w:t>Confirm polarity_fit and pursuit_fit stay bounded between 0 and 1.</w:t>
      </w:r>
    </w:p>
    <w:p>
      <w:pPr>
        <w:ind w:left="0"/>
      </w:pPr>
      <w:r>
        <w:rPr>
          <w:b/>
        </w:rPr>
        <w:t xml:space="preserve">• </w:t>
      </w:r>
      <w:r>
        <w:t>Confirm chemistry contributes exactly 13% of compatibility and no more.</w:t>
      </w:r>
    </w:p>
    <w:p>
      <w:pPr>
        <w:ind w:left="0"/>
      </w:pPr>
      <w:r>
        <w:rPr>
          <w:b/>
        </w:rPr>
        <w:t xml:space="preserve">• </w:t>
      </w:r>
      <w:r>
        <w:t>Confirm chemistry remains visible even when gating lowers compatibility, but never rescues a gated score.</w:t>
      </w:r>
    </w:p>
    <w:p>
      <w:pPr>
        <w:ind w:left="0"/>
      </w:pPr>
      <w:r>
        <w:rPr>
          <w:b/>
        </w:rPr>
        <w:t xml:space="preserve">• </w:t>
      </w:r>
      <w:r>
        <w:t>Confirm user-facing explanations never expose hidden shadow or contradiction internals.</w:t>
      </w:r>
    </w:p>
    <w:p>
      <w:pPr>
        <w:ind w:left="0"/>
      </w:pPr>
      <w:r>
        <w:rPr>
          <w:b/>
        </w:rPr>
        <w:t xml:space="preserve">• </w:t>
      </w:r>
      <w:r>
        <w:t>Confirm missing data returns ‘insufficient chemistry data’ rather than fake certainty.</w:t>
      </w:r>
    </w:p>
    <w:p>
      <w:pPr>
        <w:pStyle w:val="H1"/>
      </w:pPr>
      <w:r>
        <w:t>12. Final Law</w:t>
      </w:r>
    </w:p>
    <w:p>
      <w:r>
        <w:t>Polarity is now officially integrated as a deterministic chemistry layer inside Genesis OS. It exists to quantify attraction rhythm, explain energetic complement, and tell the truth when chemistry is grounded versus when it is inflated by instability. It matters, but it does not outrank safety.</w:t>
      </w:r>
    </w:p>
    <w:p>
      <w:pPr>
        <w:jc w:val="center"/>
      </w:pPr>
      <w:r>
        <w:rPr>
          <w:b/>
        </w:rPr>
        <w:t>Official principle: attraction may color the score; it may never counterfeit character.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20"/>
    </w:pPr>
    <w:rPr>
      <w:rFonts w:ascii="Aptos" w:hAnsi="Aptos"/>
      <w:b/>
      <w:color w:val="1F3864"/>
      <w:sz w:val="40"/>
    </w:rPr>
  </w:style>
  <w:style w:type="paragraph" w:customStyle="1" w:styleId="SubtitleCustom">
    <w:name w:val="SubtitleCustom"/>
    <w:basedOn w:val="Normal"/>
    <w:pPr>
      <w:spacing w:before="0" w:after="200"/>
    </w:pPr>
    <w:rPr>
      <w:rFonts w:ascii="Aptos" w:hAnsi="Aptos"/>
      <w:b w:val="0"/>
      <w:color w:val="5A5A5A"/>
      <w:sz w:val="21"/>
    </w:rPr>
  </w:style>
  <w:style w:type="paragraph" w:customStyle="1" w:styleId="H1">
    <w:name w:val="H1"/>
    <w:basedOn w:val="Normal"/>
    <w:pPr>
      <w:spacing w:before="200" w:after="100"/>
    </w:pPr>
    <w:rPr>
      <w:rFonts w:ascii="Aptos" w:hAnsi="Aptos"/>
      <w:b/>
      <w:color w:val="1F3864"/>
      <w:sz w:val="28"/>
    </w:rPr>
  </w:style>
  <w:style w:type="paragraph" w:customStyle="1" w:styleId="H2">
    <w:name w:val="H2"/>
    <w:basedOn w:val="Normal"/>
    <w:pPr>
      <w:spacing w:before="160" w:after="60"/>
    </w:pPr>
    <w:rPr>
      <w:rFonts w:ascii="Aptos" w:hAnsi="Aptos"/>
      <w:b/>
      <w:color w:val="374F79"/>
      <w:sz w:val="23"/>
    </w:rPr>
  </w:style>
  <w:style w:type="paragraph" w:customStyle="1" w:styleId="Small">
    <w:name w:val="Small"/>
    <w:basedOn w:val="Normal"/>
    <w:pPr>
      <w:spacing w:before="0" w:after="0"/>
    </w:pPr>
    <w:rPr>
      <w:rFonts w:ascii="Aptos" w:hAnsi="Aptos"/>
      <w:b w:val="0"/>
      <w:color w:val="5A5A5A"/>
      <w:sz w:val="18"/>
    </w:rPr>
  </w:style>
  <w:style w:type="paragraph" w:customStyle="1" w:styleId="Callout">
    <w:name w:val="Callout"/>
    <w:basedOn w:val="Normal"/>
    <w:pPr>
      <w:spacing w:before="40" w:after="40"/>
    </w:pPr>
    <w:rPr>
      <w:rFonts w:ascii="Aptos" w:hAnsi="Aptos"/>
      <w:b w:val="0"/>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