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D8E"/>
          <w:sz w:val="26"/>
        </w:rPr>
        <w:t>GENESIS OS / RELATIONSHIP SCORES</w:t>
      </w:r>
    </w:p>
    <w:p>
      <w:pPr>
        <w:pStyle w:val="Title"/>
        <w:jc w:val="center"/>
      </w:pPr>
      <w:r>
        <w:rPr>
          <w:b/>
        </w:rPr>
        <w:t>Unified v1 Score Contract</w:t>
        <w:br/>
        <w:t>and Build Governance</w:t>
      </w:r>
    </w:p>
    <w:p>
      <w:pPr>
        <w:spacing w:after="200"/>
        <w:jc w:val="center"/>
      </w:pPr>
      <w:r>
        <w:rPr>
          <w:i/>
          <w:color w:val="5A5A5A"/>
        </w:rPr>
        <w:t>Merged from the Quantum scoring workbooks, Master Engineering Blueprint, Companion Systems Guidebook, Missing Data Layers blueprint, and Quantum Mirror materials.</w:t>
      </w:r>
    </w:p>
    <w:tbl>
      <w:tblPr>
        <w:tblStyle w:val="TableGrid"/>
        <w:tblW w:type="auto" w:w="0"/>
        <w:jc w:val="center"/>
        <w:tblLook w:firstColumn="1" w:firstRow="1" w:lastColumn="0" w:lastRow="0" w:noHBand="0" w:noVBand="1" w:val="04A0"/>
      </w:tblPr>
      <w:tblGrid>
        <w:gridCol w:w="2448"/>
        <w:gridCol w:w="6912"/>
      </w:tblGrid>
      <w:tr>
        <w:tc>
          <w:tcPr>
            <w:tcW w:type="dxa" w:w="4968"/>
            <w:tcMar>
              <w:top w:w="80" w:type="dxa"/>
              <w:start w:w="100" w:type="dxa"/>
              <w:bottom w:w="80" w:type="dxa"/>
              <w:end w:w="100" w:type="dxa"/>
            </w:tcMar>
            <w:vAlign w:val="center"/>
            <w:shd w:fill="0C7C8C"/>
            <w:shd w:fill="D8F1F4"/>
          </w:tcPr>
          <w:p>
            <w:pPr>
              <w:spacing w:after="0" w:before="0" w:line="252" w:lineRule="auto"/>
              <w:jc w:val="center"/>
            </w:pPr>
            <w:r>
              <w:rPr>
                <w:rFonts w:ascii="Aptos" w:hAnsi="Aptos"/>
                <w:b/>
                <w:color w:val="007D8E"/>
                <w:sz w:val="18"/>
              </w:rPr>
              <w:t>Purpose</w:t>
            </w:r>
          </w:p>
        </w:tc>
        <w:tc>
          <w:tcPr>
            <w:tcW w:type="dxa" w:w="4968"/>
            <w:tcMar>
              <w:top w:w="80" w:type="dxa"/>
              <w:start w:w="100" w:type="dxa"/>
              <w:bottom w:w="80" w:type="dxa"/>
              <w:end w:w="100" w:type="dxa"/>
            </w:tcMar>
            <w:vAlign w:val="center"/>
            <w:shd w:fill="0C7C8C"/>
          </w:tcPr>
          <w:p>
            <w:pPr>
              <w:spacing w:after="0" w:before="0" w:line="252" w:lineRule="auto"/>
              <w:jc w:val="center"/>
            </w:pPr>
            <w:r>
              <w:rPr>
                <w:rFonts w:ascii="Aptos" w:hAnsi="Aptos"/>
                <w:b/>
                <w:color w:val="FFFFFF"/>
                <w:sz w:val="18"/>
              </w:rPr>
              <w:t>One source of truth for v1 scoring, forecasting, chemistry, runtime governance, data capture, and AI write boundaries.</w:t>
            </w:r>
          </w:p>
        </w:tc>
      </w:tr>
      <w:tr>
        <w:tc>
          <w:tcPr>
            <w:tcW w:type="dxa" w:w="4968"/>
            <w:tcMar>
              <w:top w:w="80" w:type="dxa"/>
              <w:start w:w="100" w:type="dxa"/>
              <w:bottom w:w="80" w:type="dxa"/>
              <w:end w:w="100" w:type="dxa"/>
            </w:tcMar>
            <w:vAlign w:val="center"/>
            <w:shd w:fill="D8F1F4"/>
          </w:tcPr>
          <w:p>
            <w:pPr>
              <w:spacing w:after="0" w:before="0" w:line="252" w:lineRule="auto"/>
            </w:pPr>
            <w:r>
              <w:rPr>
                <w:rFonts w:ascii="Aptos" w:hAnsi="Aptos"/>
                <w:b/>
                <w:color w:val="007D8E"/>
                <w:sz w:val="18"/>
              </w:rPr>
              <w:t>Status</w:t>
            </w:r>
          </w:p>
        </w:tc>
        <w:tc>
          <w:tcPr>
            <w:tcW w:type="dxa" w:w="4968"/>
            <w:tcMar>
              <w:top w:w="80" w:type="dxa"/>
              <w:start w:w="100" w:type="dxa"/>
              <w:bottom w:w="80" w:type="dxa"/>
              <w:end w:w="100" w:type="dxa"/>
            </w:tcMar>
            <w:vAlign w:val="center"/>
          </w:tcPr>
          <w:p>
            <w:pPr>
              <w:spacing w:after="0" w:before="0" w:line="252" w:lineRule="auto"/>
            </w:pPr>
            <w:r>
              <w:rPr>
                <w:rFonts w:ascii="Aptos" w:hAnsi="Aptos"/>
                <w:sz w:val="18"/>
              </w:rPr>
              <w:t>Build-ready at logic level. Final per-answer scoring appendix still depends on the locked question bank.</w:t>
            </w:r>
          </w:p>
        </w:tc>
      </w:tr>
      <w:tr>
        <w:tc>
          <w:tcPr>
            <w:tcW w:type="dxa" w:w="4968"/>
            <w:tcMar>
              <w:top w:w="80" w:type="dxa"/>
              <w:start w:w="100" w:type="dxa"/>
              <w:bottom w:w="80" w:type="dxa"/>
              <w:end w:w="100" w:type="dxa"/>
            </w:tcMar>
            <w:vAlign w:val="center"/>
            <w:shd w:fill="F3FBFC"/>
            <w:shd w:fill="D8F1F4"/>
          </w:tcPr>
          <w:p>
            <w:pPr>
              <w:spacing w:after="0" w:before="0" w:line="252" w:lineRule="auto"/>
            </w:pPr>
            <w:r>
              <w:rPr>
                <w:rFonts w:ascii="Aptos" w:hAnsi="Aptos"/>
                <w:b/>
                <w:color w:val="007D8E"/>
                <w:sz w:val="18"/>
              </w:rPr>
              <w:t>What this solves</w:t>
            </w:r>
          </w:p>
        </w:tc>
        <w:tc>
          <w:tcPr>
            <w:tcW w:type="dxa" w:w="4968"/>
            <w:tcMar>
              <w:top w:w="80" w:type="dxa"/>
              <w:start w:w="100" w:type="dxa"/>
              <w:bottom w:w="80" w:type="dxa"/>
              <w:end w:w="100" w:type="dxa"/>
            </w:tcMar>
            <w:vAlign w:val="center"/>
            <w:shd w:fill="F3FBFC"/>
          </w:tcPr>
          <w:p>
            <w:pPr>
              <w:spacing w:after="0" w:before="0" w:line="252" w:lineRule="auto"/>
            </w:pPr>
            <w:r>
              <w:rPr>
                <w:rFonts w:ascii="Aptos" w:hAnsi="Aptos"/>
                <w:sz w:val="18"/>
              </w:rPr>
              <w:t>Stops workbook logic, PDFs, and founder memory from drifting apart.</w:t>
            </w:r>
          </w:p>
        </w:tc>
      </w:tr>
      <w:tr>
        <w:tc>
          <w:tcPr>
            <w:tcW w:type="dxa" w:w="4968"/>
            <w:tcMar>
              <w:top w:w="80" w:type="dxa"/>
              <w:start w:w="100" w:type="dxa"/>
              <w:bottom w:w="80" w:type="dxa"/>
              <w:end w:w="100" w:type="dxa"/>
            </w:tcMar>
            <w:vAlign w:val="center"/>
            <w:shd w:fill="D8F1F4"/>
          </w:tcPr>
          <w:p>
            <w:pPr>
              <w:spacing w:after="0" w:before="0" w:line="252" w:lineRule="auto"/>
            </w:pPr>
            <w:r>
              <w:rPr>
                <w:rFonts w:ascii="Aptos" w:hAnsi="Aptos"/>
                <w:b/>
                <w:color w:val="007D8E"/>
                <w:sz w:val="18"/>
              </w:rPr>
              <w:t>Recommended use</w:t>
            </w:r>
          </w:p>
        </w:tc>
        <w:tc>
          <w:tcPr>
            <w:tcW w:type="dxa" w:w="4968"/>
            <w:tcMar>
              <w:top w:w="80" w:type="dxa"/>
              <w:start w:w="100" w:type="dxa"/>
              <w:bottom w:w="80" w:type="dxa"/>
              <w:end w:w="100" w:type="dxa"/>
            </w:tcMar>
            <w:vAlign w:val="center"/>
          </w:tcPr>
          <w:p>
            <w:pPr>
              <w:spacing w:after="0" w:before="0" w:line="252" w:lineRule="auto"/>
            </w:pPr>
            <w:r>
              <w:rPr>
                <w:rFonts w:ascii="Aptos" w:hAnsi="Aptos"/>
                <w:sz w:val="18"/>
              </w:rPr>
              <w:t>Give this to product, backend, data, AI, and QA teams as the canonical contract before implementation starts.</w:t>
            </w:r>
          </w:p>
        </w:tc>
      </w:tr>
    </w:tbl>
    <w:p>
      <w:r>
        <w:br w:type="page"/>
      </w:r>
    </w:p>
    <w:p>
      <w:pPr>
        <w:pStyle w:val="Heading1"/>
        <w:spacing w:after="100"/>
      </w:pPr>
      <w:r>
        <w:rPr>
          <w:b w:val="0"/>
        </w:rPr>
        <w:t>1. Executive Read on the Uploaded Materials</w:t>
      </w:r>
    </w:p>
    <w:p>
      <w:pPr>
        <w:spacing w:after="100"/>
      </w:pPr>
      <w:r>
        <w:rPr>
          <w:b w:val="0"/>
          <w:sz w:val="21"/>
        </w:rPr>
        <w:t>These additional files do complement the system. They do not change the core math from the workbooks; they harden the system around that math so it can survive real users, AI, drift, grief, chat telemetry, and future calibration.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8"/>
              </w:rPr>
              <w:t>Source</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8"/>
              </w:rPr>
              <w:t>What it already locks</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8"/>
              </w:rPr>
              <w:t>Why it matters</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8"/>
              </w:rPr>
              <w:t>Quantum workbooks</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Core 350-850 logic, answer-pair quantum model, archetype/shadow/cosmic layers, and polarity dimensional upgrade.</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This remains the deterministic heart of v1.</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Master Engineering Blueprint</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Readiness, compatibility, relationship forecast, clusters, pair rules, Emotional Hex, drift, messaging, couple mode, Sanctuary, AI layer.</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This turns the score into a product system.</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8"/>
              </w:rPr>
              <w:t>Companion Systems Guidebook</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Governor model, update lanes, Emotional Genome, Anger Hex runtime, DriftEligibility, influence caps, AI proposal rules.</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This prevents AI or companion modules from corrupting core identity and score logic.</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Missing Data Layers blueprint</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Event-sourced state tracking, perception-vs-reality, trigger capture, packet builder, failure handling, growth snapshots.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8"/>
              </w:rPr>
              <w:t>This closes the logging and forecasting gaps that make the engine learnable later.</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8"/>
              </w:rPr>
              <w:t>Quantum Mirror material</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Pair thresholds, match pool rules, Symphonic Match, drift framing, Sanctuary adaptation, long-horizon vision.</w:t>
            </w:r>
          </w:p>
        </w:tc>
        <w:tc>
          <w:tcPr>
            <w:tcW w:type="dxa" w:w="3312"/>
            <w:tcMar>
              <w:top w:w="80" w:type="dxa"/>
              <w:start w:w="100" w:type="dxa"/>
              <w:bottom w:w="80" w:type="dxa"/>
              <w:end w:w="100" w:type="dxa"/>
            </w:tcMar>
            <w:vAlign w:val="center"/>
          </w:tcPr>
          <w:p>
            <w:pPr>
              <w:spacing w:after="0" w:before="0" w:line="252" w:lineRule="auto"/>
            </w:pPr>
            <w:r>
              <w:rPr>
                <w:rFonts w:ascii="Aptos" w:hAnsi="Aptos"/>
                <w:sz w:val="18"/>
              </w:rPr>
              <w:t>This helps keep v1 aligned with the larger platform without bloating launch scope.</w:t>
            </w:r>
          </w:p>
        </w:tc>
      </w:tr>
    </w:tbl>
    <w:p/>
    <w:p>
      <w:pPr>
        <w:pStyle w:val="Heading1"/>
        <w:spacing w:after="100"/>
      </w:pPr>
      <w:r>
        <w:rPr>
          <w:b w:val="0"/>
        </w:rPr>
        <w:t>2. Canonical v1 Architecture</w:t>
      </w:r>
    </w:p>
    <w:p>
      <w:pPr>
        <w:spacing w:after="100"/>
      </w:pPr>
      <w:r>
        <w:rPr>
          <w:b w:val="0"/>
          <w:sz w:val="21"/>
        </w:rPr>
        <w:t>The cleanest way to hold everything in one place is to separate the system into four layers. That keeps the engine auditable and stops future feature creep from punching holes in the score.</w:t>
      </w:r>
    </w:p>
    <w:p>
      <w:pPr>
        <w:pStyle w:val="ListBullet"/>
        <w:spacing w:after="40"/>
      </w:pPr>
      <w:r>
        <w:t>Layer 1 - Deterministic intake: Assessment answers, answer-bank mappings, pair rules, archetype/shadow matrices, zodiac, numerology, contradiction logic, and polarity axes.</w:t>
      </w:r>
    </w:p>
    <w:p>
      <w:pPr>
        <w:pStyle w:val="ListBullet"/>
        <w:spacing w:after="40"/>
      </w:pPr>
      <w:r>
        <w:t>Layer 2 - Pair scoring engine: Compatibility score, Relationship Forecast, chemistry subscore, risk gates, penalties, and access thresholds.</w:t>
      </w:r>
    </w:p>
    <w:p>
      <w:pPr>
        <w:pStyle w:val="ListBullet"/>
        <w:spacing w:after="40"/>
      </w:pPr>
      <w:r>
        <w:t>Layer 3 - Runtime evidence engine: Messaging telemetry, Sanctuary events, Emotional Hex states, Anger Hex, drift vectors, grief overlays, ExsAnonymous, and validated game evidence.</w:t>
      </w:r>
    </w:p>
    <w:p>
      <w:pPr>
        <w:pStyle w:val="ListBullet"/>
        <w:spacing w:after="40"/>
      </w:pPr>
      <w:r>
        <w:t>Layer 4 - AI interpretation layer: Narratives, prompts, explainers, moderation support, and strategy suggestions built on top of structured packets and governor-approved data.</w:t>
      </w:r>
    </w:p>
    <w:p/>
    <w:p>
      <w:pPr>
        <w:pStyle w:val="Heading1"/>
        <w:spacing w:after="100"/>
      </w:pPr>
      <w:r>
        <w:rPr>
          <w:b w:val="0"/>
        </w:rPr>
        <w:t>3. Official v1 Score Stack</w:t>
      </w:r>
    </w:p>
    <w:p>
      <w:pPr>
        <w:spacing w:after="100"/>
      </w:pPr>
      <w:r>
        <w:rPr>
          <w:b w:val="0"/>
          <w:sz w:val="21"/>
        </w:rPr>
        <w:t>This section should be treated as the canonical contract unless later recalibration is explicitly versioned.</w:t>
      </w:r>
    </w:p>
    <w:p>
      <w:pPr>
        <w:pStyle w:val="Heading2"/>
        <w:spacing w:after="100"/>
      </w:pPr>
      <w:r>
        <w:rPr>
          <w:b w:val="0"/>
        </w:rPr>
        <w:t>3.1 Compatibility Score (350-850)</w:t>
      </w:r>
    </w:p>
    <w:p>
      <w:pPr>
        <w:spacing w:after="100"/>
      </w:pPr>
      <w:r>
        <w:rPr>
          <w:b/>
        </w:rPr>
        <w:t>Canonical production formula:</w:t>
      </w:r>
    </w:p>
    <w:p>
      <w:pPr>
        <w:spacing w:after="120"/>
        <w:ind w:left="432"/>
      </w:pPr>
      <w:r>
        <w:rPr>
          <w:rFonts w:ascii="Courier New" w:hAnsi="Courier New"/>
          <w:sz w:val="19"/>
        </w:rPr>
        <w:t>CompatibilityScore = clamp(350, 850, 350 + 500 * (0.30*B + 0.22*A + 0.18*(1 - S_risk) + 0.12*P + 0.08*Astro + 0.05*Num) - IntegrityPenalty - ClusterPenaltyPair + InteractionCompatModifier)</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Component</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Definition</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Implementation note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B - Behavioral Alignment</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Derived from answer-pair quantum aggregation across communication, regulation, love language, readiness, and other tagged behavioral fits.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Primary pair evidence.</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A - Archetype Chemistry</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Weighted matrix using primary-primary, primary-secondary, secondary-primary, and secondary-secondary interactions.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Use the matrix as expert-logic v1 and recalibrate later.</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S_risk - Shadow Risk</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Risk matrix, not chemistry matrix. Higher danger lowers score.</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Subtracts stability even when spark is high.</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P - Polarity Dynamics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Use the v10 dimensional polarity model, not vague masculine/feminine labels.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This is the chemistry layer anchor.</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Astro / Num</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Normalized cosmic overlays from lookup tables.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Helpful but capped; cannot overpower behavior.</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IntegrityPenalty / ClusterPenaltyPair / InteractionCompatModifier</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Penalties and pair-specific rule modifiers from contradiction, severe combo, or cross-category interaction rules.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Version these aggressively.</w:t>
            </w:r>
          </w:p>
        </w:tc>
      </w:tr>
    </w:tbl>
    <w:p>
      <w:pPr>
        <w:pStyle w:val="Heading2"/>
        <w:spacing w:after="100"/>
      </w:pPr>
      <w:r>
        <w:rPr>
          <w:b w:val="0"/>
        </w:rPr>
        <w:t>3.2 Relationship Forecast (0-100)</w:t>
      </w:r>
    </w:p>
    <w:p>
      <w:pPr>
        <w:spacing w:after="100"/>
      </w:pPr>
      <w:r>
        <w:rPr>
          <w:b w:val="0"/>
          <w:sz w:val="21"/>
        </w:rPr>
        <w:t>Forecast is pair-level stability guidance. It is not a personal shame grade and it should not be used as a monetized gate.</w:t>
      </w:r>
    </w:p>
    <w:p>
      <w:pPr>
        <w:ind w:left="432"/>
      </w:pPr>
      <w:r>
        <w:rPr>
          <w:rFonts w:ascii="Courier New" w:hAnsi="Courier New"/>
          <w:sz w:val="19"/>
        </w:rPr>
        <w:t>RelationshipForecast = clamp(0, 100, 100 * (0.30*EmotionalRegulationCompat + 0.25*ConflictRepairAlign + 0.20*CommunicationHealth + 0.15*CommitmentPaceAlign + 0.10*PatternStability) - ShadowPenalty - LoopPenalty)</w:t>
      </w:r>
    </w:p>
    <w:p>
      <w:pPr>
        <w:pStyle w:val="Heading2"/>
        <w:spacing w:after="100"/>
      </w:pPr>
      <w:r>
        <w:rPr>
          <w:b w:val="0"/>
        </w:rPr>
        <w:t>3.3 Internal readiness remains real, but user-facing forecast wins</w:t>
      </w:r>
    </w:p>
    <w:p>
      <w:pPr>
        <w:spacing w:after="100"/>
      </w:pPr>
      <w:r>
        <w:rPr>
          <w:b w:val="0"/>
          <w:sz w:val="21"/>
        </w:rPr>
        <w:t>The documents are slightly split here: some materials preserve an internal readiness layer while others deprecate a public readiness grade in favor of a pair forecast. The clean v1 rule is this: keep internal readiness variables for engine logic, but expose Relationship Forecast as the public 0-100 guidance score.</w:t>
      </w:r>
    </w:p>
    <w:p>
      <w:pPr>
        <w:pStyle w:val="Heading1"/>
        <w:spacing w:after="100"/>
      </w:pPr>
      <w:r>
        <w:rPr>
          <w:b w:val="0"/>
        </w:rPr>
        <w:t>4. Chemistry Layer - Final Polarity Integration</w:t>
      </w:r>
    </w:p>
    <w:p>
      <w:pPr>
        <w:spacing w:after="100"/>
      </w:pPr>
      <w:r>
        <w:rPr>
          <w:b w:val="0"/>
          <w:sz w:val="21"/>
        </w:rPr>
        <w:t>The polarity workbook solves a major weakness. Chemistry should now be quantified with ten axes and fed into the 13% chemistry layer already implied by the workbook.</w:t>
      </w:r>
    </w:p>
    <w:p>
      <w:pPr>
        <w:ind w:left="432"/>
      </w:pPr>
      <w:r>
        <w:rPr>
          <w:rFonts w:ascii="Courier New" w:hAnsi="Courier New"/>
          <w:sz w:val="19"/>
        </w:rPr>
        <w:t>ChemistryLayerContribution = (0.08 * PolarityNorm) + (0.05 * AttractionPatternNorm)</w:t>
      </w:r>
    </w:p>
    <w:p>
      <w:pPr>
        <w:ind w:left="432"/>
      </w:pPr>
      <w:r>
        <w:rPr>
          <w:rFonts w:ascii="Courier New" w:hAnsi="Courier New"/>
          <w:sz w:val="19"/>
        </w:rPr>
        <w:t>PolarityNorm = PolarityDimensionScore_0_100 / 100</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Axis</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Fit type</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Inside chemistry weight</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Why it exists</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Initiation</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Complement</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0.18</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Prevents mutual passivity or double-push chaos.</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Pursuit Preference</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Complement</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0.14</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Captures chase rhythm, alternation, and engagement style.</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Leadership Comfort</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Complement</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0.12</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Measures whether structure can be carried without backlash.</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Surrender Safety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Similarity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0.12</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Attraction collapses if closeness feels unsafe.</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Calm Receptivity</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Similarity</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0.12</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Separates peace from nervous-system boredom.</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Tension Attraction</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Balance @ 0.45</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0.10</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Too much on both sides creates drama addiction.</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Structure Preference</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Similarity</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0.08</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Measures desired shape of the dynamic.</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Energetic Flexibility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Similarity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0.06</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Repair gets easier when roles can flex.</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Validation Dependency</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Balance @ 0.40</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0.04</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Prevents fake chemistry inflated by needing approval.</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Erotic-Safety Alignment</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Similarity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0.04</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Best pairings align desire with safety.</w:t>
            </w:r>
          </w:p>
        </w:tc>
      </w:tr>
    </w:tbl>
    <w:p>
      <w:pPr>
        <w:pStyle w:val="Heading1"/>
        <w:spacing w:after="100"/>
      </w:pPr>
      <w:r>
        <w:rPr>
          <w:b w:val="0"/>
        </w:rPr>
        <w:t>5. Reflection Clusters and Pair Rules</w:t>
      </w:r>
    </w:p>
    <w:p>
      <w:pPr>
        <w:spacing w:after="100"/>
      </w:pPr>
      <w:r>
        <w:rPr>
          <w:b w:val="0"/>
          <w:sz w:val="21"/>
        </w:rPr>
        <w:t>Clusters should stop being fuzzy ideas in founder memory and become real deterministic rules with fixed IDs, trigger conditions, penalties, visibility, and assigned prompts.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Cluster</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Meaning</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Suggested penalty</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Display rule</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VULNERABILITY_LOOP</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Claims openness but avoids exposure when closeness becomes real.</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Readiness -3, Forecast -2</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Show reflection prompt to self only.</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CONTROL_AVOIDANCE</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Wants connection without accountability or shared structure.</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Readiness -2, Forecast -2</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Show soft prompt; keep engine details hidden from matches.</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FANTASY_REPAIR_GAP</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Idealistic bonding language paired with poor conflict repair.</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Readiness -3, Forecast -3</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Self-facing language only.</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SAFETY_SEEKING_VS_CHAOS</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Says peace matters but keeps choosing volatile intensity.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Readiness -2, Forecast -3</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Self-facing language only.</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FAIRNESS_DISSONANCE / SELF_IMAGE_SPLIT</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Recommended canonical additions from companion guide taxonomy.</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Versioned after question bank lock.</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Internal until evidence is stable.</w:t>
            </w:r>
          </w:p>
        </w:tc>
      </w:tr>
    </w:tbl>
    <w:p>
      <w:pPr>
        <w:spacing w:after="100"/>
      </w:pPr>
      <w:r>
        <w:rPr>
          <w:b w:val="0"/>
          <w:sz w:val="20"/>
        </w:rPr>
        <w:t>Cross-category pair rules are mandatory in v1. They are the bridge between isolated labels and real relational behavior. Rule rows should store source_type, source_value, target_type, target_value, pair_effect, compatibility_modifier, forecast_modifier, and explanation_template.</w:t>
      </w:r>
    </w:p>
    <w:p>
      <w:pPr>
        <w:pStyle w:val="Heading1"/>
        <w:spacing w:after="100"/>
      </w:pPr>
      <w:r>
        <w:rPr>
          <w:b w:val="0"/>
        </w:rPr>
        <w:t>6. Runtime Governance - What the PDFs Add That the Workbook Did Not</w:t>
      </w:r>
    </w:p>
    <w:p>
      <w:pPr>
        <w:spacing w:after="100"/>
      </w:pPr>
      <w:r>
        <w:rPr>
          <w:b w:val="0"/>
          <w:sz w:val="21"/>
        </w:rPr>
        <w:t>This is the part you needed. The extra PDFs add the discipline that keeps Genesis OS from becoming a clever but unstable scoring machine.</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Update lane</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What belongs there</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Write rule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Fast state</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Emotion cell, anger band, grief tier, conversation heat, daily drag/boost.</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Can update instantly from validated events; decays quickly.</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Medium traits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Cluster confidence, communication style confidence, regulation style confidence, pattern fingerprint.</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Requires rolling-window evidence and lower contradiction pressure.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Slow identity</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Primary archetype, secondary archetype, primary shadow, baseline polarity, energy type.</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May update only when DriftEligibility passes and confidence is high across multiple sources.</w:t>
            </w:r>
          </w:p>
        </w:tc>
      </w:tr>
    </w:tbl>
    <w:p>
      <w:pPr>
        <w:pStyle w:val="Heading2"/>
        <w:spacing w:after="100"/>
      </w:pPr>
      <w:r>
        <w:rPr>
          <w:b w:val="0"/>
        </w:rPr>
        <w:t>Non-negotiable governance rule:</w:t>
      </w:r>
    </w:p>
    <w:p>
      <w:pPr>
        <w:spacing w:after="100"/>
      </w:pPr>
      <w:r>
        <w:rPr>
          <w:b w:val="0"/>
          <w:sz w:val="21"/>
        </w:rPr>
        <w:t>No companion module may directly overwrite a slow identity trait on its own. Every module produces evidence. The governor decides whether the evidence affects fast state, medium traits, slow identity, or nothing.</w:t>
      </w:r>
    </w:p>
    <w:p>
      <w:pPr>
        <w:pStyle w:val="Heading1"/>
        <w:spacing w:after="100"/>
      </w:pPr>
      <w:r>
        <w:rPr>
          <w:b w:val="0"/>
        </w:rPr>
        <w:t>7. Companion Systems That Belong in the Unified Contract</w:t>
      </w:r>
    </w:p>
    <w:p>
      <w:pPr>
        <w:pStyle w:val="ListBullet"/>
        <w:spacing w:after="40"/>
      </w:pPr>
      <w:r>
        <w:t>Emotional Genome: weighted merge model that keeps assessment as anchor while allowing messaging, Sanctuary, grief, ExsAnonymous, and games to enrich confidence.</w:t>
      </w:r>
    </w:p>
    <w:p>
      <w:pPr>
        <w:pStyle w:val="ListBullet"/>
        <w:spacing w:after="40"/>
      </w:pPr>
      <w:r>
        <w:t>Anger Hex: fast-state classifier that influences forecast and interventions immediately, without becoming permanent identity.</w:t>
      </w:r>
    </w:p>
    <w:p>
      <w:pPr>
        <w:pStyle w:val="ListBullet"/>
        <w:spacing w:after="40"/>
      </w:pPr>
      <w:r>
        <w:t>Emotional Hex: machine-readable emotion code layer for Sanctuary, drift, and AI interpretation.</w:t>
      </w:r>
    </w:p>
    <w:p>
      <w:pPr>
        <w:pStyle w:val="ListBullet"/>
        <w:spacing w:after="40"/>
      </w:pPr>
      <w:r>
        <w:t>DriftEligibility: gate that decides when enough evidence exists to adjust identity or confidence.</w:t>
      </w:r>
    </w:p>
    <w:p>
      <w:pPr>
        <w:pStyle w:val="ListBullet"/>
        <w:spacing w:after="40"/>
      </w:pPr>
      <w:r>
        <w:t>ExsAnonymous and validated games: useful as evidence modules with influence caps, not core score rewrites.</w:t>
      </w:r>
    </w:p>
    <w:p>
      <w:pPr>
        <w:pStyle w:val="ListBullet"/>
        <w:spacing w:after="40"/>
      </w:pPr>
      <w:r>
        <w:t>BondingIndex: couple runtime health metric that remains separate from baseline compatibility.</w:t>
      </w:r>
    </w:p>
    <w:p>
      <w:pPr>
        <w:pStyle w:val="Heading2"/>
        <w:spacing w:after="100"/>
      </w:pPr>
      <w:r>
        <w:rPr>
          <w:b w:val="0"/>
        </w:rPr>
        <w:t>Recommended influence caps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Module</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May affect</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Recommended cap</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Messaging</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Forecast, drift, shadow activation, communication health.</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High. This is primary live relational evidence.</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Sanctuary</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Fast state, readiness support, grief state.</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Medium. It supports, not redefines identity.</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ExsAnonymous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Readiness calibration, medium traits, grief state.</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Cap readiness drift to +/-5 over 14 days.</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Singles games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Soft tags, growth points, communication hints.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Cap at +3 readiness over 30 days. No compatibility rewrite.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Couple games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BondingIndex, runtime forecast, Symphonic evolution.</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Moderate. No baseline compatibility mutation.</w:t>
            </w:r>
          </w:p>
        </w:tc>
      </w:tr>
    </w:tbl>
    <w:p>
      <w:pPr>
        <w:pStyle w:val="Heading1"/>
        <w:spacing w:after="100"/>
      </w:pPr>
      <w:r>
        <w:rPr>
          <w:b w:val="0"/>
        </w:rPr>
        <w:t>8. Data Foundation That Must Exist Before AI Gets Cute</w:t>
      </w:r>
    </w:p>
    <w:p>
      <w:pPr>
        <w:spacing w:after="100"/>
      </w:pPr>
      <w:r>
        <w:rPr>
          <w:b w:val="0"/>
          <w:sz w:val="21"/>
        </w:rPr>
        <w:t>The Missing Data Layers blueprint adds the event-sourced foundation that makes the system learnable instead of theatrical.</w:t>
      </w:r>
    </w:p>
    <w:p>
      <w:pPr>
        <w:pStyle w:val="ListBullet"/>
        <w:spacing w:after="40"/>
      </w:pPr>
      <w:r>
        <w:t>State-based emotional tracking at daily, pre-chat, post-chat, post-conflict, post-silence, post-date, and post-ritual checkpoints.</w:t>
      </w:r>
    </w:p>
    <w:p>
      <w:pPr>
        <w:pStyle w:val="ListBullet"/>
        <w:spacing w:after="40"/>
      </w:pPr>
      <w:r>
        <w:t>Behavior event logging for initiation, reply delay, silence, escalation, apology, repair, reassurance seeking, reconnection, and tone movement.</w:t>
      </w:r>
    </w:p>
    <w:p>
      <w:pPr>
        <w:pStyle w:val="ListBullet"/>
        <w:spacing w:after="40"/>
      </w:pPr>
      <w:r>
        <w:t>Perception-vs-reality checks that compare self-report against observed interaction metrics.</w:t>
      </w:r>
    </w:p>
    <w:p>
      <w:pPr>
        <w:pStyle w:val="ListBullet"/>
        <w:spacing w:after="40"/>
      </w:pPr>
      <w:r>
        <w:t>Attachment trigger capture: ambiguity, delayed reply, mixed signals, criticism, conflict, vulnerability exposure, lack of reassurance, and more.</w:t>
      </w:r>
    </w:p>
    <w:p>
      <w:pPr>
        <w:pStyle w:val="ListBullet"/>
        <w:spacing w:after="40"/>
      </w:pPr>
      <w:r>
        <w:t>Versioned snapshots for monthly, quarterly, and major-event growth tracking.</w:t>
      </w:r>
    </w:p>
    <w:p>
      <w:pPr>
        <w:pStyle w:val="ListBullet"/>
        <w:spacing w:after="40"/>
      </w:pPr>
      <w:r>
        <w:t>A standardized AI packet so every insight and forecast reads from the same payload.</w:t>
      </w:r>
    </w:p>
    <w:p>
      <w:pPr>
        <w:pStyle w:val="Heading2"/>
        <w:spacing w:after="100"/>
      </w:pPr>
      <w:r>
        <w:rPr>
          <w:b w:val="0"/>
        </w:rPr>
        <w:t>Minimum canonical objects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Object</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Why it exists</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Examples of core fields</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user_emotional_state</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Captures felt state at key checkpoints.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valence, intensity, clarity, felt_safety, felt_closeness, urge_to_pursue, urge_to_withdraw, regulation.</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behavior_event</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Stores immutable interaction evidence.</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event_type, actor, target, timestamp, payload, derived_metrics, source.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perception_check</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Captures subjective interpretation.</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felt_heard, felt_connected, felt_ignored, felt_misunderstood, calm_after.</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trigger_activation</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Builds individual trigger maps.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trigger_type, context, intensity, body reaction, followed_behavior, repair outcome.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profile_snapshot / forecast_record</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Enables growth and calibration.</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scores, archetype confidence, shadow confidence, trigger summary, forecast outputs, version stamps.</w:t>
            </w:r>
          </w:p>
        </w:tc>
      </w:tr>
    </w:tbl>
    <w:p>
      <w:pPr>
        <w:pStyle w:val="Heading1"/>
        <w:spacing w:after="100"/>
      </w:pPr>
      <w:r>
        <w:rPr>
          <w:b w:val="0"/>
        </w:rPr>
        <w:t>9. AI Governance and Visibility Contract</w:t>
      </w:r>
    </w:p>
    <w:p>
      <w:pPr>
        <w:spacing w:after="100"/>
      </w:pPr>
      <w:r>
        <w:rPr>
          <w:b w:val="0"/>
          <w:sz w:val="21"/>
        </w:rPr>
        <w:t>AI should be treated like a specialist narrator, not a drunk wizard with database access.</w:t>
      </w:r>
    </w:p>
    <w:tbl>
      <w:tblPr>
        <w:tblStyle w:val="TableGrid"/>
        <w:tblW w:type="auto" w:w="0"/>
        <w:jc w:val="center"/>
        <w:tblLook w:firstColumn="1" w:firstRow="1" w:lastColumn="0" w:lastRow="0" w:noHBand="0" w:noVBand="1" w:val="04A0"/>
      </w:tblPr>
      <w:tblGrid>
        <w:gridCol w:w="3312"/>
        <w:gridCol w:w="3312"/>
        <w:gridCol w:w="3312"/>
      </w:tblGrid>
      <w:tr>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AI may do</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AI must not do</w:t>
            </w:r>
          </w:p>
        </w:tc>
        <w:tc>
          <w:tcPr>
            <w:tcW w:type="dxa" w:w="3312"/>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Implementation rule</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Read sanitized text, metadata, state vectors, compatibility components, and structured evidence packets.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Directly overwrite archetype_id, primary_shadow_type_id, or baseline polarity.</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All AI outputs first become proposals.</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Write structured proposals, explanations, rituals, prompts, summaries, and strategy suggestions.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Invent new taxonomy labels outside canonical enums.</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Rule engine validates every proposal.</w:t>
            </w:r>
          </w:p>
        </w:tc>
      </w:tr>
      <w:tr>
        <w:tc>
          <w:tcPr>
            <w:tcW w:type="dxa" w:w="3312"/>
            <w:tcMar>
              <w:top w:w="80" w:type="dxa"/>
              <w:start w:w="100" w:type="dxa"/>
              <w:bottom w:w="80" w:type="dxa"/>
              <w:end w:w="100" w:type="dxa"/>
            </w:tcMar>
            <w:vAlign w:val="center"/>
          </w:tcPr>
          <w:p>
            <w:pPr>
              <w:spacing w:after="0" w:before="0" w:line="252" w:lineRule="auto"/>
            </w:pPr>
            <w:r>
              <w:rPr>
                <w:rFonts w:ascii="Aptos" w:hAnsi="Aptos"/>
                <w:sz w:val="17"/>
              </w:rPr>
              <w:t>Support moderation, reflection composing, pair explanation, and Governor Assistant recommendations.</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Surface hidden internal risk fields publicly in a shaming way.</w:t>
            </w:r>
          </w:p>
        </w:tc>
        <w:tc>
          <w:tcPr>
            <w:tcW w:type="dxa" w:w="3312"/>
            <w:tcMar>
              <w:top w:w="80" w:type="dxa"/>
              <w:start w:w="100" w:type="dxa"/>
              <w:bottom w:w="80" w:type="dxa"/>
              <w:end w:w="100" w:type="dxa"/>
            </w:tcMar>
            <w:vAlign w:val="center"/>
          </w:tcPr>
          <w:p>
            <w:pPr>
              <w:spacing w:after="0" w:before="0" w:line="252" w:lineRule="auto"/>
            </w:pPr>
            <w:r>
              <w:rPr>
                <w:rFonts w:ascii="Aptos" w:hAnsi="Aptos"/>
                <w:sz w:val="17"/>
              </w:rPr>
              <w:t>Visibility is role- and consent-gated.</w:t>
            </w:r>
          </w:p>
        </w:tc>
      </w:tr>
      <w:tr>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Operate in degraded mode when chat consent is partial or AI is unavailable.</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Manipulate match rank or compatibility for monetization.</w:t>
            </w:r>
          </w:p>
        </w:tc>
        <w:tc>
          <w:tcPr>
            <w:tcW w:type="dxa" w:w="3312"/>
            <w:tcMar>
              <w:top w:w="80" w:type="dxa"/>
              <w:start w:w="100" w:type="dxa"/>
              <w:bottom w:w="80" w:type="dxa"/>
              <w:end w:w="100" w:type="dxa"/>
            </w:tcMar>
            <w:vAlign w:val="center"/>
            <w:shd w:fill="EDF3F8"/>
          </w:tcPr>
          <w:p>
            <w:pPr>
              <w:spacing w:after="0" w:before="0" w:line="252" w:lineRule="auto"/>
            </w:pPr>
            <w:r>
              <w:rPr>
                <w:rFonts w:ascii="Aptos" w:hAnsi="Aptos"/>
                <w:sz w:val="17"/>
              </w:rPr>
              <w:t>Deterministic logic remains primary.</w:t>
            </w:r>
          </w:p>
        </w:tc>
      </w:tr>
    </w:tbl>
    <w:p>
      <w:pPr>
        <w:pStyle w:val="Heading2"/>
        <w:spacing w:after="100"/>
      </w:pPr>
      <w:r>
        <w:rPr>
          <w:b w:val="0"/>
        </w:rPr>
        <w:t>Required consent rules</w:t>
      </w:r>
    </w:p>
    <w:p>
      <w:pPr>
        <w:pStyle w:val="ListBullet"/>
        <w:spacing w:after="40"/>
      </w:pPr>
      <w:r>
        <w:t>If one user has not consented to chat analysis, AI must not read shared chat content and the system falls back to self-report plus app events.</w:t>
      </w:r>
    </w:p>
    <w:p>
      <w:pPr>
        <w:pStyle w:val="ListBullet"/>
        <w:spacing w:after="40"/>
      </w:pPr>
      <w:r>
        <w:t>Raw source data and AI inferences must be stored separately and versioned independently.</w:t>
      </w:r>
    </w:p>
    <w:p>
      <w:pPr>
        <w:pStyle w:val="ListBullet"/>
        <w:spacing w:after="40"/>
      </w:pPr>
      <w:r>
        <w:t>Packet completeness and freshness scores must be tracked so every AI output can be judged against data quality.</w:t>
      </w:r>
    </w:p>
    <w:p>
      <w:pPr>
        <w:pStyle w:val="ListBullet"/>
        <w:spacing w:after="40"/>
      </w:pPr>
      <w:r>
        <w:t>Every derived row should log rules_version, ai_version, taxonomy_version, scoring_version, and prompt_version.</w:t>
      </w:r>
    </w:p>
    <w:p>
      <w:pPr>
        <w:pStyle w:val="Heading1"/>
        <w:spacing w:after="100"/>
      </w:pPr>
      <w:r>
        <w:rPr>
          <w:b w:val="0"/>
        </w:rPr>
        <w:t>10. User-Facing Output Rules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Surface</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Show</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Hide</w:t>
            </w:r>
          </w:p>
        </w:tc>
        <w:tc>
          <w:tcPr>
            <w:tcW w:type="dxa" w:w="2484"/>
            <w:tcMar>
              <w:top w:w="80" w:type="dxa"/>
              <w:start w:w="100" w:type="dxa"/>
              <w:bottom w:w="80" w:type="dxa"/>
              <w:end w:w="100" w:type="dxa"/>
            </w:tcMar>
            <w:vAlign w:val="center"/>
            <w:shd w:fill="163B66"/>
          </w:tcPr>
          <w:p>
            <w:pPr>
              <w:spacing w:after="0" w:before="0" w:line="252" w:lineRule="auto"/>
              <w:jc w:val="center"/>
            </w:pPr>
            <w:r>
              <w:rPr>
                <w:rFonts w:ascii="Aptos" w:hAnsi="Aptos"/>
                <w:b/>
                <w:color w:val="FFFFFF"/>
                <w:sz w:val="17"/>
              </w:rPr>
              <w:t>Reason</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Self profile</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Archetype, growth tags, selected insights, optional soft shadow framing, internal progress metrics.</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Raw internal risk fields, hidden confidence scores, unvalidated trigger inferences.</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Insight without humiliation.</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Match preview</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Compatibility score tier, Relationship Forecast, curated pair explanation, maybe chemistry badge.</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Internal penalties, raw contradiction flags, partner hidden traits.</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Protect trust and reduce misuse.</w:t>
            </w:r>
          </w:p>
        </w:tc>
      </w:tr>
      <w:tr>
        <w:tc>
          <w:tcPr>
            <w:tcW w:type="dxa" w:w="2484"/>
            <w:tcMar>
              <w:top w:w="80" w:type="dxa"/>
              <w:start w:w="100" w:type="dxa"/>
              <w:bottom w:w="80" w:type="dxa"/>
              <w:end w:w="100" w:type="dxa"/>
            </w:tcMar>
            <w:vAlign w:val="center"/>
          </w:tcPr>
          <w:p>
            <w:pPr>
              <w:spacing w:after="0" w:before="0" w:line="252" w:lineRule="auto"/>
            </w:pPr>
            <w:r>
              <w:rPr>
                <w:rFonts w:ascii="Aptos" w:hAnsi="Aptos"/>
                <w:sz w:val="17"/>
              </w:rPr>
              <w:t>Couple mode</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BondingIndex, drift support, repair suggestions, Symphonic evolution, Sanctuary pathways.</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Private pre-match raw data unless both users have proper scope.</w:t>
            </w:r>
          </w:p>
        </w:tc>
        <w:tc>
          <w:tcPr>
            <w:tcW w:type="dxa" w:w="2484"/>
            <w:tcMar>
              <w:top w:w="80" w:type="dxa"/>
              <w:start w:w="100" w:type="dxa"/>
              <w:bottom w:w="80" w:type="dxa"/>
              <w:end w:w="100" w:type="dxa"/>
            </w:tcMar>
            <w:vAlign w:val="center"/>
          </w:tcPr>
          <w:p>
            <w:pPr>
              <w:spacing w:after="0" w:before="0" w:line="252" w:lineRule="auto"/>
            </w:pPr>
            <w:r>
              <w:rPr>
                <w:rFonts w:ascii="Aptos" w:hAnsi="Aptos"/>
                <w:sz w:val="17"/>
              </w:rPr>
              <w:t>Shared tools should focus on growth.</w:t>
            </w:r>
          </w:p>
        </w:tc>
      </w:tr>
      <w:tr>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Admin / QA tools</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Everything needed for auditability.</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Nothing except legally required restricted content handling.</w:t>
            </w:r>
          </w:p>
        </w:tc>
        <w:tc>
          <w:tcPr>
            <w:tcW w:type="dxa" w:w="2484"/>
            <w:tcMar>
              <w:top w:w="80" w:type="dxa"/>
              <w:start w:w="100" w:type="dxa"/>
              <w:bottom w:w="80" w:type="dxa"/>
              <w:end w:w="100" w:type="dxa"/>
            </w:tcMar>
            <w:vAlign w:val="center"/>
            <w:shd w:fill="EDF3F8"/>
          </w:tcPr>
          <w:p>
            <w:pPr>
              <w:spacing w:after="0" w:before="0" w:line="252" w:lineRule="auto"/>
            </w:pPr>
            <w:r>
              <w:rPr>
                <w:rFonts w:ascii="Aptos" w:hAnsi="Aptos"/>
                <w:sz w:val="17"/>
              </w:rPr>
              <w:t>The system must stay debuggable.</w:t>
            </w:r>
          </w:p>
        </w:tc>
      </w:tr>
    </w:tbl>
    <w:p>
      <w:pPr>
        <w:pStyle w:val="Heading1"/>
        <w:spacing w:after="100"/>
      </w:pPr>
      <w:r>
        <w:rPr>
          <w:b w:val="0"/>
        </w:rPr>
        <w:t>11. Recommended Implementation Order</w:t>
      </w:r>
    </w:p>
    <w:p>
      <w:pPr>
        <w:pStyle w:val="ListBullet"/>
        <w:spacing w:after="40"/>
      </w:pPr>
      <w:r>
        <w:t>Phase 1 - Canonical data foundation: enums, tables, indices, event catalog, write endpoints, migrations, version fields.</w:t>
      </w:r>
    </w:p>
    <w:p>
      <w:pPr>
        <w:pStyle w:val="ListBullet"/>
        <w:spacing w:after="40"/>
      </w:pPr>
      <w:r>
        <w:t>Phase 2 - Deterministic score services: answer-bank processing, pair engine, compatibility, forecast, pair rules, thresholds.</w:t>
      </w:r>
    </w:p>
    <w:p>
      <w:pPr>
        <w:pStyle w:val="ListBullet"/>
        <w:spacing w:after="40"/>
      </w:pPr>
      <w:r>
        <w:t>Phase 3 - Event instrumentation: messaging telemetry, state capture, trigger logging, perception checks.</w:t>
      </w:r>
    </w:p>
    <w:p>
      <w:pPr>
        <w:pStyle w:val="ListBullet"/>
        <w:spacing w:after="40"/>
      </w:pPr>
      <w:r>
        <w:t>Phase 4 - Packet builder + AI insight service: structured JSON first, narrative second.</w:t>
      </w:r>
    </w:p>
    <w:p>
      <w:pPr>
        <w:pStyle w:val="ListBullet"/>
        <w:spacing w:after="40"/>
      </w:pPr>
      <w:r>
        <w:t>Phase 5 - Drift and companion modules: Emotional Hex, Anger Hex, Genome rollups, DriftEligibility, influence caps.</w:t>
      </w:r>
    </w:p>
    <w:p>
      <w:pPr>
        <w:pStyle w:val="ListBullet"/>
        <w:spacing w:after="40"/>
      </w:pPr>
      <w:r>
        <w:t>Phase 6 - Intervention loop: Sanctuary prompts, repair suggestions, pacing nudges, couple tools.</w:t>
      </w:r>
    </w:p>
    <w:p>
      <w:pPr>
        <w:pStyle w:val="ListBullet"/>
        <w:spacing w:after="40"/>
      </w:pPr>
      <w:r>
        <w:t>Phase 7 - QA and calibration: forecast vs outcome, packet completeness, false trigger review, rule tuning.</w:t>
      </w:r>
    </w:p>
    <w:p>
      <w:pPr>
        <w:pStyle w:val="Heading2"/>
        <w:spacing w:after="100"/>
      </w:pPr>
      <w:r>
        <w:rPr>
          <w:b w:val="0"/>
        </w:rPr>
        <w:t>Launch rule:</w:t>
      </w:r>
    </w:p>
    <w:p>
      <w:pPr>
        <w:spacing w:after="100"/>
      </w:pPr>
      <w:r>
        <w:rPr>
          <w:b w:val="0"/>
          <w:sz w:val="21"/>
        </w:rPr>
        <w:t>Start with transparent rules and weighted features. Bring in model-assisted prediction later, after enough labeled outcomes exist. Fancy before stable is how apps become expensive mood boards.</w:t>
      </w:r>
    </w:p>
    <w:p>
      <w:pPr>
        <w:pStyle w:val="Heading1"/>
        <w:spacing w:after="100"/>
      </w:pPr>
      <w:r>
        <w:rPr>
          <w:b w:val="0"/>
        </w:rPr>
        <w:t>12. Hard Decisions Locked by This Unified Contract</w:t>
      </w:r>
    </w:p>
    <w:p>
      <w:pPr>
        <w:pStyle w:val="ListBullet"/>
        <w:spacing w:after="40"/>
      </w:pPr>
      <w:r>
        <w:t>The workbooks remain the deterministic scoring anchor.</w:t>
      </w:r>
    </w:p>
    <w:p>
      <w:pPr>
        <w:pStyle w:val="ListBullet"/>
        <w:spacing w:after="40"/>
      </w:pPr>
      <w:r>
        <w:t>The v10 polarity model replaces vague chemistry labels and officially powers the 13% chemistry layer.</w:t>
      </w:r>
    </w:p>
    <w:p>
      <w:pPr>
        <w:pStyle w:val="ListBullet"/>
        <w:spacing w:after="40"/>
      </w:pPr>
      <w:r>
        <w:t>Compatibility is the main 350-850 ranking score.</w:t>
      </w:r>
    </w:p>
    <w:p>
      <w:pPr>
        <w:pStyle w:val="ListBullet"/>
        <w:spacing w:after="40"/>
      </w:pPr>
      <w:r>
        <w:t>Relationship Forecast is the public 0-100 pair guidance score.</w:t>
      </w:r>
    </w:p>
    <w:p>
      <w:pPr>
        <w:pStyle w:val="ListBullet"/>
        <w:spacing w:after="40"/>
      </w:pPr>
      <w:r>
        <w:t>Internal readiness variables may exist, but a public personal readiness grade is not required for v1.</w:t>
      </w:r>
    </w:p>
    <w:p>
      <w:pPr>
        <w:pStyle w:val="ListBullet"/>
        <w:spacing w:after="40"/>
      </w:pPr>
      <w:r>
        <w:t>Companion modules may enrich evidence, not overwrite identity.</w:t>
      </w:r>
    </w:p>
    <w:p>
      <w:pPr>
        <w:pStyle w:val="ListBullet"/>
        <w:spacing w:after="40"/>
      </w:pPr>
      <w:r>
        <w:t>AI is proposal-only and governor-controlled.</w:t>
      </w:r>
    </w:p>
    <w:p>
      <w:pPr>
        <w:pStyle w:val="ListBullet"/>
        <w:spacing w:after="40"/>
      </w:pPr>
      <w:r>
        <w:t>Coins can buy insight and cosmetics, never better match rank.</w:t>
      </w:r>
    </w:p>
    <w:p>
      <w:pPr>
        <w:pStyle w:val="ListBullet"/>
        <w:spacing w:after="40"/>
      </w:pPr>
      <w:r>
        <w:t>All meaningful emotional signals must exist as a durable profile attribute, a timestamped event, or a computed metric.</w:t>
      </w:r>
    </w:p>
    <w:p>
      <w:pPr>
        <w:pStyle w:val="Heading1"/>
        <w:spacing w:after="100"/>
      </w:pPr>
      <w:r>
        <w:rPr>
          <w:b w:val="0"/>
        </w:rPr>
        <w:t>13. Final Verdict</w:t>
      </w:r>
    </w:p>
    <w:p>
      <w:pPr>
        <w:spacing w:after="100"/>
      </w:pPr>
      <w:r>
        <w:rPr>
          <w:b w:val="0"/>
          <w:sz w:val="21"/>
        </w:rPr>
        <w:t>The uploaded PDFs absolutely strengthen the system. The workbook gave you the engine. The blueprints add governance, event memory, drift discipline, AI boundaries, and data structures. Together, they form a much more developer-proof v1. What was missing was not more theory. It was operational law. This document is that law.</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ptos" w:hAnsi="Aptos" w:eastAsia="Aptos"/>
      <w:b/>
      <w:bCs/>
      <w:color w:val="172B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72B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w:hAnsi="Aptos" w:eastAsia="Aptos"/>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