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rPr>
          <w:b/>
        </w:rPr>
        <w:t>Genesis OS / Relationship Scores</w:t>
        <w:br/>
        <w:t>Readiness &amp; Forecast Contract v1</w:t>
      </w:r>
    </w:p>
    <w:p>
      <w:pPr>
        <w:pStyle w:val="TitleX"/>
        <w:jc w:val="center"/>
      </w:pPr>
      <w:r>
        <w:rPr>
          <w:sz w:val="36"/>
        </w:rPr>
        <w:t>Part 2 Appendix Pack</w:t>
      </w:r>
    </w:p>
    <w:p>
      <w:pPr>
        <w:pStyle w:val="SubtitleX"/>
        <w:jc w:val="center"/>
      </w:pPr>
      <w:r>
        <w:t>Engineering appendices freezing formulas, pair-state outputs, drift eligibility mechanics, and safe user-facing language.</w:t>
      </w:r>
    </w:p>
    <w:p>
      <w:pPr>
        <w:pStyle w:val="SubtitleX"/>
        <w:jc w:val="center"/>
      </w:pPr>
      <w:r>
        <w:t>Status: Implementation reference  •  Version: v1.0  •  Date: 2026-03-21</w:t>
      </w:r>
    </w:p>
    <w:tbl>
      <w:tblPr>
        <w:tblW w:type="auto" w:w="0"/>
        <w:jc w:val="center"/>
        <w:tblLook w:firstColumn="1" w:firstRow="1" w:lastColumn="0" w:lastRow="0" w:noHBand="0" w:noVBand="1" w:val="04A0"/>
      </w:tblPr>
      <w:tblGrid>
        <w:gridCol w:w="8928"/>
      </w:tblGrid>
      <w:tr>
        <w:tc>
          <w:tcPr>
            <w:tcW w:type="dxa" w:w="9936"/>
            <w:shd w:fill="EAF2F8"/>
            <w:tcMar>
              <w:top w:w="120" w:type="dxa"/>
              <w:start w:w="140" w:type="dxa"/>
              <w:bottom w:w="120" w:type="dxa"/>
              <w:end w:w="140" w:type="dxa"/>
            </w:tcMar>
          </w:tcPr>
          <w:p>
            <w:pPr>
              <w:pStyle w:val="BodyX"/>
            </w:pPr>
            <w:r>
              <w:rPr>
                <w:b/>
              </w:rPr>
              <w:t xml:space="preserve">Authority note. </w:t>
            </w:r>
            <w:r>
              <w:t xml:space="preserve">This appendix pack binds to Readiness &amp; Forecast Contract v1. When workbook math, approved scoring service output, and these appendices conflict, resolution order is: </w:t>
            </w:r>
            <w:r>
              <w:rPr>
                <w:b/>
              </w:rPr>
              <w:t>approved workbook / scoring service &gt; main contract &gt; appendix pack &gt; UI copy.</w:t>
            </w:r>
            <w:r>
              <w:t xml:space="preserve"> These appendices exist to remove gray area for engineering while preserving the workbook as the canonical scoring source where already frozen.</w:t>
            </w:r>
          </w:p>
        </w:tc>
      </w:tr>
    </w:tbl>
    <w:p/>
    <w:p>
      <w:pPr>
        <w:pStyle w:val="H1X"/>
      </w:pPr>
      <w:r>
        <w:t>Contents</w:t>
      </w:r>
    </w:p>
    <w:p>
      <w:pPr>
        <w:pStyle w:val="BulletX"/>
        <w:ind w:left="288"/>
      </w:pPr>
      <w:r>
        <w:rPr>
          <w:b/>
        </w:rPr>
        <w:t xml:space="preserve">• </w:t>
      </w:r>
      <w:r>
        <w:t>Appendix A - Readiness Formula Appendix</w:t>
      </w:r>
    </w:p>
    <w:p>
      <w:pPr>
        <w:pStyle w:val="BulletX"/>
        <w:ind w:left="288"/>
      </w:pPr>
      <w:r>
        <w:rPr>
          <w:b/>
        </w:rPr>
        <w:t xml:space="preserve">• </w:t>
      </w:r>
      <w:r>
        <w:t>Appendix B - Forecast Output Appendix</w:t>
      </w:r>
    </w:p>
    <w:p>
      <w:pPr>
        <w:pStyle w:val="BulletX"/>
        <w:ind w:left="288"/>
      </w:pPr>
      <w:r>
        <w:rPr>
          <w:b/>
        </w:rPr>
        <w:t xml:space="preserve">• </w:t>
      </w:r>
      <w:r>
        <w:t>Appendix C - DriftEligibility Technical Appendix</w:t>
      </w:r>
    </w:p>
    <w:p>
      <w:pPr>
        <w:pStyle w:val="BulletX"/>
        <w:ind w:left="288"/>
      </w:pPr>
      <w:r>
        <w:rPr>
          <w:b/>
        </w:rPr>
        <w:t xml:space="preserve">• </w:t>
      </w:r>
      <w:r>
        <w:t>Appendix D - User-Facing Copy Library</w:t>
      </w:r>
    </w:p>
    <w:p>
      <w:r>
        <w:br w:type="page"/>
      </w:r>
    </w:p>
    <w:p>
      <w:pPr>
        <w:pStyle w:val="H1X"/>
      </w:pPr>
      <w:r>
        <w:t>Appendix A - Readiness Formula Appendix</w:t>
      </w:r>
    </w:p>
    <w:p>
      <w:pPr>
        <w:pStyle w:val="H2X"/>
      </w:pPr>
      <w:r>
        <w:t>A1. Purpose</w:t>
      </w:r>
    </w:p>
    <w:p>
      <w:pPr>
        <w:pStyle w:val="BodyX"/>
      </w:pPr>
      <w:r>
        <w:t>This appendix defines the v1 engineering formula for Readiness, including fallback behavior when the system has only assessment data, confidence scoring, suppression rules, and the exact contract for how penalties are applied. The objective is consistent public-safe readiness scoring without pretending that sparse evidence is rich evidence.</w:t>
      </w:r>
    </w:p>
    <w:p>
      <w:pPr>
        <w:pStyle w:val="H2X"/>
      </w:pPr>
      <w:r>
        <w:t>A2. Canonical readiness question</w:t>
      </w:r>
    </w:p>
    <w:p>
      <w:pPr>
        <w:pStyle w:val="BodyX"/>
      </w:pPr>
      <w:r>
        <w:t>Readiness measures how prepared a user is, at the current evidence state, to participate in a healthy relationship without forcing another person to carry unmanaged contradiction, instability, active shadow pressure, or unresolved pattern disruption.</w:t>
      </w:r>
    </w:p>
    <w:p>
      <w:pPr>
        <w:pStyle w:val="H2X"/>
      </w:pPr>
      <w:r>
        <w:t>A3. Stored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8E7F3"/>
            <w:vAlign w:val="center"/>
            <w:tcMar>
              <w:top w:w="100" w:type="dxa"/>
              <w:start w:w="100" w:type="dxa"/>
              <w:bottom w:w="100" w:type="dxa"/>
              <w:end w:w="100" w:type="dxa"/>
            </w:tcMar>
          </w:tcPr>
          <w:p>
            <w:pPr>
              <w:pStyle w:val="BodyX"/>
            </w:pPr>
            <w:r>
              <w:t>Field</w:t>
            </w:r>
          </w:p>
        </w:tc>
        <w:tc>
          <w:tcPr>
            <w:tcW w:type="dxa" w:w="2484"/>
            <w:shd w:fill="D8E7F3"/>
            <w:vAlign w:val="center"/>
            <w:tcMar>
              <w:top w:w="100" w:type="dxa"/>
              <w:start w:w="100" w:type="dxa"/>
              <w:bottom w:w="100" w:type="dxa"/>
              <w:end w:w="100" w:type="dxa"/>
            </w:tcMar>
          </w:tcPr>
          <w:p>
            <w:pPr>
              <w:pStyle w:val="BodyX"/>
            </w:pPr>
            <w:r>
              <w:t>Type</w:t>
            </w:r>
          </w:p>
        </w:tc>
        <w:tc>
          <w:tcPr>
            <w:tcW w:type="dxa" w:w="2484"/>
            <w:shd w:fill="D8E7F3"/>
            <w:vAlign w:val="center"/>
            <w:tcMar>
              <w:top w:w="100" w:type="dxa"/>
              <w:start w:w="100" w:type="dxa"/>
              <w:bottom w:w="100" w:type="dxa"/>
              <w:end w:w="100" w:type="dxa"/>
            </w:tcMar>
          </w:tcPr>
          <w:p>
            <w:pPr>
              <w:pStyle w:val="BodyX"/>
            </w:pPr>
            <w:r>
              <w:t>Range</w:t>
            </w:r>
          </w:p>
        </w:tc>
        <w:tc>
          <w:tcPr>
            <w:tcW w:type="dxa" w:w="2484"/>
            <w:shd w:fill="D8E7F3"/>
            <w:vAlign w:val="center"/>
            <w:tcMar>
              <w:top w:w="100" w:type="dxa"/>
              <w:start w:w="100" w:type="dxa"/>
              <w:bottom w:w="100" w:type="dxa"/>
              <w:end w:w="100" w:type="dxa"/>
            </w:tcMar>
          </w:tcPr>
          <w:p>
            <w:pPr>
              <w:pStyle w:val="BodyX"/>
            </w:pPr>
            <w:r>
              <w:t>Purpose</w:t>
            </w:r>
          </w:p>
        </w:tc>
      </w:tr>
      <w:tr>
        <w:tc>
          <w:tcPr>
            <w:tcW w:type="dxa" w:w="2484"/>
            <w:vAlign w:val="center"/>
            <w:tcMar>
              <w:top w:w="90" w:type="dxa"/>
              <w:start w:w="90" w:type="dxa"/>
              <w:bottom w:w="90" w:type="dxa"/>
              <w:end w:w="90" w:type="dxa"/>
            </w:tcMar>
          </w:tcPr>
          <w:p>
            <w:pPr>
              <w:pStyle w:val="BodyX"/>
            </w:pPr>
            <w:r>
              <w:t>readiness_score</w:t>
            </w:r>
          </w:p>
        </w:tc>
        <w:tc>
          <w:tcPr>
            <w:tcW w:type="dxa" w:w="2484"/>
            <w:vAlign w:val="center"/>
            <w:tcMar>
              <w:top w:w="90" w:type="dxa"/>
              <w:start w:w="90" w:type="dxa"/>
              <w:bottom w:w="90" w:type="dxa"/>
              <w:end w:w="90" w:type="dxa"/>
            </w:tcMar>
          </w:tcPr>
          <w:p>
            <w:pPr>
              <w:pStyle w:val="BodyX"/>
            </w:pPr>
            <w:r>
              <w:t>int</w:t>
            </w:r>
          </w:p>
        </w:tc>
        <w:tc>
          <w:tcPr>
            <w:tcW w:type="dxa" w:w="2484"/>
            <w:vAlign w:val="center"/>
            <w:tcMar>
              <w:top w:w="90" w:type="dxa"/>
              <w:start w:w="90" w:type="dxa"/>
              <w:bottom w:w="90" w:type="dxa"/>
              <w:end w:w="90" w:type="dxa"/>
            </w:tcMar>
          </w:tcPr>
          <w:p>
            <w:pPr>
              <w:pStyle w:val="BodyX"/>
            </w:pPr>
            <w:r>
              <w:t>0-100</w:t>
            </w:r>
          </w:p>
        </w:tc>
        <w:tc>
          <w:tcPr>
            <w:tcW w:type="dxa" w:w="2484"/>
            <w:vAlign w:val="center"/>
            <w:tcMar>
              <w:top w:w="90" w:type="dxa"/>
              <w:start w:w="90" w:type="dxa"/>
              <w:bottom w:w="90" w:type="dxa"/>
              <w:end w:w="90" w:type="dxa"/>
            </w:tcMar>
          </w:tcPr>
          <w:p>
            <w:pPr>
              <w:pStyle w:val="BodyX"/>
            </w:pPr>
            <w:r>
              <w:t>Canonical user-level output used for public surfaces once display policy allows.</w:t>
            </w:r>
          </w:p>
        </w:tc>
      </w:tr>
      <w:tr>
        <w:tc>
          <w:tcPr>
            <w:tcW w:type="dxa" w:w="2484"/>
            <w:vAlign w:val="center"/>
            <w:tcMar>
              <w:top w:w="90" w:type="dxa"/>
              <w:start w:w="90" w:type="dxa"/>
              <w:bottom w:w="90" w:type="dxa"/>
              <w:end w:w="90" w:type="dxa"/>
            </w:tcMar>
          </w:tcPr>
          <w:p>
            <w:pPr>
              <w:pStyle w:val="BodyX"/>
            </w:pPr>
            <w:r>
              <w:t>readiness_confidence</w:t>
            </w:r>
          </w:p>
        </w:tc>
        <w:tc>
          <w:tcPr>
            <w:tcW w:type="dxa" w:w="2484"/>
            <w:vAlign w:val="center"/>
            <w:tcMar>
              <w:top w:w="90" w:type="dxa"/>
              <w:start w:w="90" w:type="dxa"/>
              <w:bottom w:w="90" w:type="dxa"/>
              <w:end w:w="90" w:type="dxa"/>
            </w:tcMar>
          </w:tcPr>
          <w:p>
            <w:pPr>
              <w:pStyle w:val="BodyX"/>
            </w:pPr>
            <w:r>
              <w:t>int</w:t>
            </w:r>
          </w:p>
        </w:tc>
        <w:tc>
          <w:tcPr>
            <w:tcW w:type="dxa" w:w="2484"/>
            <w:vAlign w:val="center"/>
            <w:tcMar>
              <w:top w:w="90" w:type="dxa"/>
              <w:start w:w="90" w:type="dxa"/>
              <w:bottom w:w="90" w:type="dxa"/>
              <w:end w:w="90" w:type="dxa"/>
            </w:tcMar>
          </w:tcPr>
          <w:p>
            <w:pPr>
              <w:pStyle w:val="BodyX"/>
            </w:pPr>
            <w:r>
              <w:t>0-100</w:t>
            </w:r>
          </w:p>
        </w:tc>
        <w:tc>
          <w:tcPr>
            <w:tcW w:type="dxa" w:w="2484"/>
            <w:vAlign w:val="center"/>
            <w:tcMar>
              <w:top w:w="90" w:type="dxa"/>
              <w:start w:w="90" w:type="dxa"/>
              <w:bottom w:w="90" w:type="dxa"/>
              <w:end w:w="90" w:type="dxa"/>
            </w:tcMar>
          </w:tcPr>
          <w:p>
            <w:pPr>
              <w:pStyle w:val="BodyX"/>
            </w:pPr>
            <w:r>
              <w:t>Confidence attached to the readiness score.</w:t>
            </w:r>
          </w:p>
        </w:tc>
      </w:tr>
      <w:tr>
        <w:tc>
          <w:tcPr>
            <w:tcW w:type="dxa" w:w="2484"/>
            <w:vAlign w:val="center"/>
            <w:tcMar>
              <w:top w:w="90" w:type="dxa"/>
              <w:start w:w="90" w:type="dxa"/>
              <w:bottom w:w="90" w:type="dxa"/>
              <w:end w:w="90" w:type="dxa"/>
            </w:tcMar>
          </w:tcPr>
          <w:p>
            <w:pPr>
              <w:pStyle w:val="BodyX"/>
            </w:pPr>
            <w:r>
              <w:t>readiness_sufficiency_status</w:t>
            </w:r>
          </w:p>
        </w:tc>
        <w:tc>
          <w:tcPr>
            <w:tcW w:type="dxa" w:w="2484"/>
            <w:vAlign w:val="center"/>
            <w:tcMar>
              <w:top w:w="90" w:type="dxa"/>
              <w:start w:w="90" w:type="dxa"/>
              <w:bottom w:w="90" w:type="dxa"/>
              <w:end w:w="90" w:type="dxa"/>
            </w:tcMar>
          </w:tcPr>
          <w:p>
            <w:pPr>
              <w:pStyle w:val="BodyX"/>
            </w:pPr>
            <w:r>
              <w:t>enum</w:t>
            </w:r>
          </w:p>
        </w:tc>
        <w:tc>
          <w:tcPr>
            <w:tcW w:type="dxa" w:w="2484"/>
            <w:vAlign w:val="center"/>
            <w:tcMar>
              <w:top w:w="90" w:type="dxa"/>
              <w:start w:w="90" w:type="dxa"/>
              <w:bottom w:w="90" w:type="dxa"/>
              <w:end w:w="90" w:type="dxa"/>
            </w:tcMar>
          </w:tcPr>
          <w:p>
            <w:pPr>
              <w:pStyle w:val="BodyX"/>
            </w:pPr>
            <w:r>
              <w:t>insufficient | internal_only | user_visible</w:t>
            </w:r>
          </w:p>
        </w:tc>
        <w:tc>
          <w:tcPr>
            <w:tcW w:type="dxa" w:w="2484"/>
            <w:vAlign w:val="center"/>
            <w:tcMar>
              <w:top w:w="90" w:type="dxa"/>
              <w:start w:w="90" w:type="dxa"/>
              <w:bottom w:w="90" w:type="dxa"/>
              <w:end w:w="90" w:type="dxa"/>
            </w:tcMar>
          </w:tcPr>
          <w:p>
            <w:pPr>
              <w:pStyle w:val="BodyX"/>
            </w:pPr>
            <w:r>
              <w:t>Prevents premature exposure.</w:t>
            </w:r>
          </w:p>
        </w:tc>
      </w:tr>
      <w:tr>
        <w:tc>
          <w:tcPr>
            <w:tcW w:type="dxa" w:w="2484"/>
            <w:vAlign w:val="center"/>
            <w:tcMar>
              <w:top w:w="90" w:type="dxa"/>
              <w:start w:w="90" w:type="dxa"/>
              <w:bottom w:w="90" w:type="dxa"/>
              <w:end w:w="90" w:type="dxa"/>
            </w:tcMar>
          </w:tcPr>
          <w:p>
            <w:pPr>
              <w:pStyle w:val="BodyX"/>
            </w:pPr>
            <w:r>
              <w:t>readiness_reason_codes</w:t>
            </w:r>
          </w:p>
        </w:tc>
        <w:tc>
          <w:tcPr>
            <w:tcW w:type="dxa" w:w="2484"/>
            <w:vAlign w:val="center"/>
            <w:tcMar>
              <w:top w:w="90" w:type="dxa"/>
              <w:start w:w="90" w:type="dxa"/>
              <w:bottom w:w="90" w:type="dxa"/>
              <w:end w:w="90" w:type="dxa"/>
            </w:tcMar>
          </w:tcPr>
          <w:p>
            <w:pPr>
              <w:pStyle w:val="BodyX"/>
            </w:pPr>
            <w:r>
              <w:t>string[]</w:t>
            </w:r>
          </w:p>
        </w:tc>
        <w:tc>
          <w:tcPr>
            <w:tcW w:type="dxa" w:w="2484"/>
            <w:vAlign w:val="center"/>
            <w:tcMar>
              <w:top w:w="90" w:type="dxa"/>
              <w:start w:w="90" w:type="dxa"/>
              <w:bottom w:w="90" w:type="dxa"/>
              <w:end w:w="90" w:type="dxa"/>
            </w:tcMar>
          </w:tcPr>
          <w:p>
            <w:pPr>
              <w:pStyle w:val="BodyX"/>
            </w:pPr>
            <w:r>
              <w:t>n/a</w:t>
            </w:r>
          </w:p>
        </w:tc>
        <w:tc>
          <w:tcPr>
            <w:tcW w:type="dxa" w:w="2484"/>
            <w:vAlign w:val="center"/>
            <w:tcMar>
              <w:top w:w="90" w:type="dxa"/>
              <w:start w:w="90" w:type="dxa"/>
              <w:bottom w:w="90" w:type="dxa"/>
              <w:end w:w="90" w:type="dxa"/>
            </w:tcMar>
          </w:tcPr>
          <w:p>
            <w:pPr>
              <w:pStyle w:val="BodyX"/>
            </w:pPr>
            <w:r>
              <w:t>Machine-readable explanation for penalties or suppression.</w:t>
            </w:r>
          </w:p>
        </w:tc>
      </w:tr>
      <w:tr>
        <w:tc>
          <w:tcPr>
            <w:tcW w:type="dxa" w:w="2484"/>
            <w:vAlign w:val="center"/>
            <w:tcMar>
              <w:top w:w="90" w:type="dxa"/>
              <w:start w:w="90" w:type="dxa"/>
              <w:bottom w:w="90" w:type="dxa"/>
              <w:end w:w="90" w:type="dxa"/>
            </w:tcMar>
          </w:tcPr>
          <w:p>
            <w:pPr>
              <w:pStyle w:val="BodyX"/>
            </w:pPr>
            <w:r>
              <w:t>readiness_version_id</w:t>
            </w:r>
          </w:p>
        </w:tc>
        <w:tc>
          <w:tcPr>
            <w:tcW w:type="dxa" w:w="2484"/>
            <w:vAlign w:val="center"/>
            <w:tcMar>
              <w:top w:w="90" w:type="dxa"/>
              <w:start w:w="90" w:type="dxa"/>
              <w:bottom w:w="90" w:type="dxa"/>
              <w:end w:w="90" w:type="dxa"/>
            </w:tcMar>
          </w:tcPr>
          <w:p>
            <w:pPr>
              <w:pStyle w:val="BodyX"/>
            </w:pPr>
            <w:r>
              <w:t>string</w:t>
            </w:r>
          </w:p>
        </w:tc>
        <w:tc>
          <w:tcPr>
            <w:tcW w:type="dxa" w:w="2484"/>
            <w:vAlign w:val="center"/>
            <w:tcMar>
              <w:top w:w="90" w:type="dxa"/>
              <w:start w:w="90" w:type="dxa"/>
              <w:bottom w:w="90" w:type="dxa"/>
              <w:end w:w="90" w:type="dxa"/>
            </w:tcMar>
          </w:tcPr>
          <w:p>
            <w:pPr>
              <w:pStyle w:val="BodyX"/>
            </w:pPr>
            <w:r>
              <w:t>n/a</w:t>
            </w:r>
          </w:p>
        </w:tc>
        <w:tc>
          <w:tcPr>
            <w:tcW w:type="dxa" w:w="2484"/>
            <w:vAlign w:val="center"/>
            <w:tcMar>
              <w:top w:w="90" w:type="dxa"/>
              <w:start w:w="90" w:type="dxa"/>
              <w:bottom w:w="90" w:type="dxa"/>
              <w:end w:w="90" w:type="dxa"/>
            </w:tcMar>
          </w:tcPr>
          <w:p>
            <w:pPr>
              <w:pStyle w:val="BodyX"/>
            </w:pPr>
            <w:r>
              <w:t>Formula and policy version for reproducibility.</w:t>
            </w:r>
          </w:p>
        </w:tc>
      </w:tr>
      <w:tr>
        <w:tc>
          <w:tcPr>
            <w:tcW w:type="dxa" w:w="2484"/>
            <w:vAlign w:val="center"/>
            <w:tcMar>
              <w:top w:w="90" w:type="dxa"/>
              <w:start w:w="90" w:type="dxa"/>
              <w:bottom w:w="90" w:type="dxa"/>
              <w:end w:w="90" w:type="dxa"/>
            </w:tcMar>
          </w:tcPr>
          <w:p>
            <w:pPr>
              <w:pStyle w:val="BodyX"/>
            </w:pPr>
            <w:r>
              <w:t>readiness_evidence_window</w:t>
            </w:r>
          </w:p>
        </w:tc>
        <w:tc>
          <w:tcPr>
            <w:tcW w:type="dxa" w:w="2484"/>
            <w:vAlign w:val="center"/>
            <w:tcMar>
              <w:top w:w="90" w:type="dxa"/>
              <w:start w:w="90" w:type="dxa"/>
              <w:bottom w:w="90" w:type="dxa"/>
              <w:end w:w="90" w:type="dxa"/>
            </w:tcMar>
          </w:tcPr>
          <w:p>
            <w:pPr>
              <w:pStyle w:val="BodyX"/>
            </w:pPr>
            <w:r>
              <w:t>json</w:t>
            </w:r>
          </w:p>
        </w:tc>
        <w:tc>
          <w:tcPr>
            <w:tcW w:type="dxa" w:w="2484"/>
            <w:vAlign w:val="center"/>
            <w:tcMar>
              <w:top w:w="90" w:type="dxa"/>
              <w:start w:w="90" w:type="dxa"/>
              <w:bottom w:w="90" w:type="dxa"/>
              <w:end w:w="90" w:type="dxa"/>
            </w:tcMar>
          </w:tcPr>
          <w:p>
            <w:pPr>
              <w:pStyle w:val="BodyX"/>
            </w:pPr>
            <w:r>
              <w:t>n/a</w:t>
            </w:r>
          </w:p>
        </w:tc>
        <w:tc>
          <w:tcPr>
            <w:tcW w:type="dxa" w:w="2484"/>
            <w:vAlign w:val="center"/>
            <w:tcMar>
              <w:top w:w="90" w:type="dxa"/>
              <w:start w:w="90" w:type="dxa"/>
              <w:bottom w:w="90" w:type="dxa"/>
              <w:end w:w="90" w:type="dxa"/>
            </w:tcMar>
          </w:tcPr>
          <w:p>
            <w:pPr>
              <w:pStyle w:val="BodyX"/>
            </w:pPr>
            <w:r>
              <w:t>Counts, recency, and source families used in the score.</w:t>
            </w:r>
          </w:p>
        </w:tc>
      </w:tr>
    </w:tbl>
    <w:p>
      <w:pPr>
        <w:pStyle w:val="H2X"/>
      </w:pPr>
      <w:r>
        <w:t>A4. Component families</w:t>
      </w:r>
    </w:p>
    <w:p>
      <w:pPr>
        <w:pStyle w:val="SmallX"/>
      </w:pPr>
      <w:r>
        <w:t>All component inputs are normalized to 0.00-1.00 before weighting.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8E7F3"/>
            <w:tcMar>
              <w:top w:w="100" w:type="dxa"/>
              <w:start w:w="100" w:type="dxa"/>
              <w:bottom w:w="100" w:type="dxa"/>
              <w:end w:w="100" w:type="dxa"/>
            </w:tcMar>
          </w:tcPr>
          <w:p>
            <w:pPr>
              <w:pStyle w:val="BodyX"/>
            </w:pPr>
            <w:r>
              <w:t>Family</w:t>
            </w:r>
          </w:p>
        </w:tc>
        <w:tc>
          <w:tcPr>
            <w:tcW w:type="dxa" w:w="1987"/>
            <w:shd w:fill="D8E7F3"/>
            <w:tcMar>
              <w:top w:w="100" w:type="dxa"/>
              <w:start w:w="100" w:type="dxa"/>
              <w:bottom w:w="100" w:type="dxa"/>
              <w:end w:w="100" w:type="dxa"/>
            </w:tcMar>
          </w:tcPr>
          <w:p>
            <w:pPr>
              <w:pStyle w:val="BodyX"/>
            </w:pPr>
            <w:r>
              <w:t>Symbol</w:t>
            </w:r>
          </w:p>
        </w:tc>
        <w:tc>
          <w:tcPr>
            <w:tcW w:type="dxa" w:w="1987"/>
            <w:shd w:fill="D8E7F3"/>
            <w:tcMar>
              <w:top w:w="100" w:type="dxa"/>
              <w:start w:w="100" w:type="dxa"/>
              <w:bottom w:w="100" w:type="dxa"/>
              <w:end w:w="100" w:type="dxa"/>
            </w:tcMar>
          </w:tcPr>
          <w:p>
            <w:pPr>
              <w:pStyle w:val="BodyX"/>
            </w:pPr>
            <w:r>
              <w:t>Weight</w:t>
            </w:r>
          </w:p>
        </w:tc>
        <w:tc>
          <w:tcPr>
            <w:tcW w:type="dxa" w:w="1987"/>
            <w:shd w:fill="D8E7F3"/>
            <w:tcMar>
              <w:top w:w="100" w:type="dxa"/>
              <w:start w:w="100" w:type="dxa"/>
              <w:bottom w:w="100" w:type="dxa"/>
              <w:end w:w="100" w:type="dxa"/>
            </w:tcMar>
          </w:tcPr>
          <w:p>
            <w:pPr>
              <w:pStyle w:val="BodyX"/>
            </w:pPr>
            <w:r>
              <w:t>Primary inputs</w:t>
            </w:r>
          </w:p>
        </w:tc>
        <w:tc>
          <w:tcPr>
            <w:tcW w:type="dxa" w:w="1987"/>
            <w:shd w:fill="D8E7F3"/>
            <w:tcMar>
              <w:top w:w="100" w:type="dxa"/>
              <w:start w:w="100" w:type="dxa"/>
              <w:bottom w:w="100" w:type="dxa"/>
              <w:end w:w="100" w:type="dxa"/>
            </w:tcMar>
          </w:tcPr>
          <w:p>
            <w:pPr>
              <w:pStyle w:val="BodyX"/>
            </w:pPr>
            <w:r>
              <w:t>Notes</w:t>
            </w:r>
          </w:p>
        </w:tc>
      </w:tr>
      <w:tr>
        <w:tc>
          <w:tcPr>
            <w:tcW w:type="dxa" w:w="1987"/>
            <w:vAlign w:val="center"/>
            <w:tcMar>
              <w:top w:w="90" w:type="dxa"/>
              <w:start w:w="90" w:type="dxa"/>
              <w:bottom w:w="90" w:type="dxa"/>
              <w:end w:w="90" w:type="dxa"/>
            </w:tcMar>
          </w:tcPr>
          <w:p>
            <w:pPr>
              <w:pStyle w:val="BodyX"/>
            </w:pPr>
            <w:r>
              <w:t>Assessment foundation</w:t>
            </w:r>
          </w:p>
        </w:tc>
        <w:tc>
          <w:tcPr>
            <w:tcW w:type="dxa" w:w="1987"/>
            <w:vAlign w:val="center"/>
            <w:tcMar>
              <w:top w:w="90" w:type="dxa"/>
              <w:start w:w="90" w:type="dxa"/>
              <w:bottom w:w="90" w:type="dxa"/>
              <w:end w:w="90" w:type="dxa"/>
            </w:tcMar>
          </w:tcPr>
          <w:p>
            <w:pPr>
              <w:pStyle w:val="BodyX"/>
            </w:pPr>
            <w:r>
              <w:t>AF</w:t>
            </w:r>
          </w:p>
        </w:tc>
        <w:tc>
          <w:tcPr>
            <w:tcW w:type="dxa" w:w="1987"/>
            <w:vAlign w:val="center"/>
            <w:tcMar>
              <w:top w:w="90" w:type="dxa"/>
              <w:start w:w="90" w:type="dxa"/>
              <w:bottom w:w="90" w:type="dxa"/>
              <w:end w:w="90" w:type="dxa"/>
            </w:tcMar>
          </w:tcPr>
          <w:p>
            <w:pPr>
              <w:pStyle w:val="BodyX"/>
            </w:pPr>
            <w:r>
              <w:t>0.34</w:t>
            </w:r>
          </w:p>
        </w:tc>
        <w:tc>
          <w:tcPr>
            <w:tcW w:type="dxa" w:w="1987"/>
            <w:vAlign w:val="center"/>
            <w:tcMar>
              <w:top w:w="90" w:type="dxa"/>
              <w:start w:w="90" w:type="dxa"/>
              <w:bottom w:w="90" w:type="dxa"/>
              <w:end w:w="90" w:type="dxa"/>
            </w:tcMar>
          </w:tcPr>
          <w:p>
            <w:pPr>
              <w:pStyle w:val="BodyX"/>
            </w:pPr>
            <w:r>
              <w:t>Question set outputs, archetype-appropriate high-function responses, values / intention alignment</w:t>
            </w:r>
          </w:p>
        </w:tc>
        <w:tc>
          <w:tcPr>
            <w:tcW w:type="dxa" w:w="1987"/>
            <w:vAlign w:val="center"/>
            <w:tcMar>
              <w:top w:w="90" w:type="dxa"/>
              <w:start w:w="90" w:type="dxa"/>
              <w:bottom w:w="90" w:type="dxa"/>
              <w:end w:w="90" w:type="dxa"/>
            </w:tcMar>
          </w:tcPr>
          <w:p>
            <w:pPr>
              <w:pStyle w:val="BodyX"/>
            </w:pPr>
            <w:r>
              <w:t>Used even in assessment-only mode.</w:t>
            </w:r>
          </w:p>
        </w:tc>
      </w:tr>
      <w:tr>
        <w:tc>
          <w:tcPr>
            <w:tcW w:type="dxa" w:w="1987"/>
            <w:vAlign w:val="center"/>
            <w:tcMar>
              <w:top w:w="90" w:type="dxa"/>
              <w:start w:w="90" w:type="dxa"/>
              <w:bottom w:w="90" w:type="dxa"/>
              <w:end w:w="90" w:type="dxa"/>
            </w:tcMar>
          </w:tcPr>
          <w:p>
            <w:pPr>
              <w:pStyle w:val="BodyX"/>
            </w:pPr>
            <w:r>
              <w:t>Consistency integrity</w:t>
            </w:r>
          </w:p>
        </w:tc>
        <w:tc>
          <w:tcPr>
            <w:tcW w:type="dxa" w:w="1987"/>
            <w:vAlign w:val="center"/>
            <w:tcMar>
              <w:top w:w="90" w:type="dxa"/>
              <w:start w:w="90" w:type="dxa"/>
              <w:bottom w:w="90" w:type="dxa"/>
              <w:end w:w="90" w:type="dxa"/>
            </w:tcMar>
          </w:tcPr>
          <w:p>
            <w:pPr>
              <w:pStyle w:val="BodyX"/>
            </w:pPr>
            <w:r>
              <w:t>CI</w:t>
            </w:r>
          </w:p>
        </w:tc>
        <w:tc>
          <w:tcPr>
            <w:tcW w:type="dxa" w:w="1987"/>
            <w:vAlign w:val="center"/>
            <w:tcMar>
              <w:top w:w="90" w:type="dxa"/>
              <w:start w:w="90" w:type="dxa"/>
              <w:bottom w:w="90" w:type="dxa"/>
              <w:end w:w="90" w:type="dxa"/>
            </w:tcMar>
          </w:tcPr>
          <w:p>
            <w:pPr>
              <w:pStyle w:val="BodyX"/>
            </w:pPr>
            <w:r>
              <w:t>0.18</w:t>
            </w:r>
          </w:p>
        </w:tc>
        <w:tc>
          <w:tcPr>
            <w:tcW w:type="dxa" w:w="1987"/>
            <w:vAlign w:val="center"/>
            <w:tcMar>
              <w:top w:w="90" w:type="dxa"/>
              <w:start w:w="90" w:type="dxa"/>
              <w:bottom w:w="90" w:type="dxa"/>
              <w:end w:w="90" w:type="dxa"/>
            </w:tcMar>
          </w:tcPr>
          <w:p>
            <w:pPr>
              <w:pStyle w:val="BodyX"/>
            </w:pPr>
            <w:r>
              <w:t>Contradiction clusters, reflection completion, self-report symmetry, improbable self-presentation flags</w:t>
            </w:r>
          </w:p>
        </w:tc>
        <w:tc>
          <w:tcPr>
            <w:tcW w:type="dxa" w:w="1987"/>
            <w:vAlign w:val="center"/>
            <w:tcMar>
              <w:top w:w="90" w:type="dxa"/>
              <w:start w:w="90" w:type="dxa"/>
              <w:bottom w:w="90" w:type="dxa"/>
              <w:end w:w="90" w:type="dxa"/>
            </w:tcMar>
          </w:tcPr>
          <w:p>
            <w:pPr>
              <w:pStyle w:val="BodyX"/>
            </w:pPr>
            <w:r>
              <w:t>Protects against polished-but-false self-description.</w:t>
            </w:r>
          </w:p>
        </w:tc>
      </w:tr>
      <w:tr>
        <w:tc>
          <w:tcPr>
            <w:tcW w:type="dxa" w:w="1987"/>
            <w:vAlign w:val="center"/>
            <w:tcMar>
              <w:top w:w="90" w:type="dxa"/>
              <w:start w:w="90" w:type="dxa"/>
              <w:bottom w:w="90" w:type="dxa"/>
              <w:end w:w="90" w:type="dxa"/>
            </w:tcMar>
          </w:tcPr>
          <w:p>
            <w:pPr>
              <w:pStyle w:val="BodyX"/>
            </w:pPr>
            <w:r>
              <w:t>Behavioral regulation</w:t>
            </w:r>
          </w:p>
        </w:tc>
        <w:tc>
          <w:tcPr>
            <w:tcW w:type="dxa" w:w="1987"/>
            <w:vAlign w:val="center"/>
            <w:tcMar>
              <w:top w:w="90" w:type="dxa"/>
              <w:start w:w="90" w:type="dxa"/>
              <w:bottom w:w="90" w:type="dxa"/>
              <w:end w:w="90" w:type="dxa"/>
            </w:tcMar>
          </w:tcPr>
          <w:p>
            <w:pPr>
              <w:pStyle w:val="BodyX"/>
            </w:pPr>
            <w:r>
              <w:t>BR</w:t>
            </w:r>
          </w:p>
        </w:tc>
        <w:tc>
          <w:tcPr>
            <w:tcW w:type="dxa" w:w="1987"/>
            <w:vAlign w:val="center"/>
            <w:tcMar>
              <w:top w:w="90" w:type="dxa"/>
              <w:start w:w="90" w:type="dxa"/>
              <w:bottom w:w="90" w:type="dxa"/>
              <w:end w:w="90" w:type="dxa"/>
            </w:tcMar>
          </w:tcPr>
          <w:p>
            <w:pPr>
              <w:pStyle w:val="BodyX"/>
            </w:pPr>
            <w:r>
              <w:t>0.22</w:t>
            </w:r>
          </w:p>
        </w:tc>
        <w:tc>
          <w:tcPr>
            <w:tcW w:type="dxa" w:w="1987"/>
            <w:vAlign w:val="center"/>
            <w:tcMar>
              <w:top w:w="90" w:type="dxa"/>
              <w:start w:w="90" w:type="dxa"/>
              <w:bottom w:w="90" w:type="dxa"/>
              <w:end w:w="90" w:type="dxa"/>
            </w:tcMar>
          </w:tcPr>
          <w:p>
            <w:pPr>
              <w:pStyle w:val="BodyX"/>
            </w:pPr>
            <w:r>
              <w:t>Messaging reciprocity, repair behavior, escalation control, response stability, observed activation patterns</w:t>
            </w:r>
          </w:p>
        </w:tc>
        <w:tc>
          <w:tcPr>
            <w:tcW w:type="dxa" w:w="1987"/>
            <w:vAlign w:val="center"/>
            <w:tcMar>
              <w:top w:w="90" w:type="dxa"/>
              <w:start w:w="90" w:type="dxa"/>
              <w:bottom w:w="90" w:type="dxa"/>
              <w:end w:w="90" w:type="dxa"/>
            </w:tcMar>
          </w:tcPr>
          <w:p>
            <w:pPr>
              <w:pStyle w:val="BodyX"/>
            </w:pPr>
            <w:r>
              <w:t>Used only when behavior evidence exists.</w:t>
            </w:r>
          </w:p>
        </w:tc>
      </w:tr>
      <w:tr>
        <w:tc>
          <w:tcPr>
            <w:tcW w:type="dxa" w:w="1987"/>
            <w:vAlign w:val="center"/>
            <w:tcMar>
              <w:top w:w="90" w:type="dxa"/>
              <w:start w:w="90" w:type="dxa"/>
              <w:bottom w:w="90" w:type="dxa"/>
              <w:end w:w="90" w:type="dxa"/>
            </w:tcMar>
          </w:tcPr>
          <w:p>
            <w:pPr>
              <w:pStyle w:val="BodyX"/>
            </w:pPr>
            <w:r>
              <w:t>Companion stability</w:t>
            </w:r>
          </w:p>
        </w:tc>
        <w:tc>
          <w:tcPr>
            <w:tcW w:type="dxa" w:w="1987"/>
            <w:vAlign w:val="center"/>
            <w:tcMar>
              <w:top w:w="90" w:type="dxa"/>
              <w:start w:w="90" w:type="dxa"/>
              <w:bottom w:w="90" w:type="dxa"/>
              <w:end w:w="90" w:type="dxa"/>
            </w:tcMar>
          </w:tcPr>
          <w:p>
            <w:pPr>
              <w:pStyle w:val="BodyX"/>
            </w:pPr>
            <w:r>
              <w:t>CS</w:t>
            </w:r>
          </w:p>
        </w:tc>
        <w:tc>
          <w:tcPr>
            <w:tcW w:type="dxa" w:w="1987"/>
            <w:vAlign w:val="center"/>
            <w:tcMar>
              <w:top w:w="90" w:type="dxa"/>
              <w:start w:w="90" w:type="dxa"/>
              <w:bottom w:w="90" w:type="dxa"/>
              <w:end w:w="90" w:type="dxa"/>
            </w:tcMar>
          </w:tcPr>
          <w:p>
            <w:pPr>
              <w:pStyle w:val="BodyX"/>
            </w:pPr>
            <w:r>
              <w:t>0.16</w:t>
            </w:r>
          </w:p>
        </w:tc>
        <w:tc>
          <w:tcPr>
            <w:tcW w:type="dxa" w:w="1987"/>
            <w:vAlign w:val="center"/>
            <w:tcMar>
              <w:top w:w="90" w:type="dxa"/>
              <w:start w:w="90" w:type="dxa"/>
              <w:bottom w:w="90" w:type="dxa"/>
              <w:end w:w="90" w:type="dxa"/>
            </w:tcMar>
          </w:tcPr>
          <w:p>
            <w:pPr>
              <w:pStyle w:val="BodyX"/>
            </w:pPr>
            <w:r>
              <w:t>Drift state, grief state, anger state, ExsAnonymous state, emotional genome overlays</w:t>
            </w:r>
          </w:p>
        </w:tc>
        <w:tc>
          <w:tcPr>
            <w:tcW w:type="dxa" w:w="1987"/>
            <w:vAlign w:val="center"/>
            <w:tcMar>
              <w:top w:w="90" w:type="dxa"/>
              <w:start w:w="90" w:type="dxa"/>
              <w:bottom w:w="90" w:type="dxa"/>
              <w:end w:w="90" w:type="dxa"/>
            </w:tcMar>
          </w:tcPr>
          <w:p>
            <w:pPr>
              <w:pStyle w:val="BodyX"/>
            </w:pPr>
            <w:r>
              <w:t>Companion systems can stabilize or reduce trust in the score.</w:t>
            </w:r>
          </w:p>
        </w:tc>
      </w:tr>
      <w:tr>
        <w:tc>
          <w:tcPr>
            <w:tcW w:type="dxa" w:w="1987"/>
            <w:vAlign w:val="center"/>
            <w:tcMar>
              <w:top w:w="90" w:type="dxa"/>
              <w:start w:w="90" w:type="dxa"/>
              <w:bottom w:w="90" w:type="dxa"/>
              <w:end w:w="90" w:type="dxa"/>
            </w:tcMar>
          </w:tcPr>
          <w:p>
            <w:pPr>
              <w:pStyle w:val="BodyX"/>
            </w:pPr>
            <w:r>
              <w:t>Reflection and repair capacity</w:t>
            </w:r>
          </w:p>
        </w:tc>
        <w:tc>
          <w:tcPr>
            <w:tcW w:type="dxa" w:w="1987"/>
            <w:vAlign w:val="center"/>
            <w:tcMar>
              <w:top w:w="90" w:type="dxa"/>
              <w:start w:w="90" w:type="dxa"/>
              <w:bottom w:w="90" w:type="dxa"/>
              <w:end w:w="90" w:type="dxa"/>
            </w:tcMar>
          </w:tcPr>
          <w:p>
            <w:pPr>
              <w:pStyle w:val="BodyX"/>
            </w:pPr>
            <w:r>
              <w:t>RR</w:t>
            </w:r>
          </w:p>
        </w:tc>
        <w:tc>
          <w:tcPr>
            <w:tcW w:type="dxa" w:w="1987"/>
            <w:vAlign w:val="center"/>
            <w:tcMar>
              <w:top w:w="90" w:type="dxa"/>
              <w:start w:w="90" w:type="dxa"/>
              <w:bottom w:w="90" w:type="dxa"/>
              <w:end w:w="90" w:type="dxa"/>
            </w:tcMar>
          </w:tcPr>
          <w:p>
            <w:pPr>
              <w:pStyle w:val="BodyX"/>
            </w:pPr>
            <w:r>
              <w:t>0.10</w:t>
            </w:r>
          </w:p>
        </w:tc>
        <w:tc>
          <w:tcPr>
            <w:tcW w:type="dxa" w:w="1987"/>
            <w:vAlign w:val="center"/>
            <w:tcMar>
              <w:top w:w="90" w:type="dxa"/>
              <w:start w:w="90" w:type="dxa"/>
              <w:bottom w:w="90" w:type="dxa"/>
              <w:end w:w="90" w:type="dxa"/>
            </w:tcMar>
          </w:tcPr>
          <w:p>
            <w:pPr>
              <w:pStyle w:val="BodyX"/>
            </w:pPr>
            <w:r>
              <w:t>Sanctuary reflections, accountability responses, post-rupture repair participation</w:t>
            </w:r>
          </w:p>
        </w:tc>
        <w:tc>
          <w:tcPr>
            <w:tcW w:type="dxa" w:w="1987"/>
            <w:vAlign w:val="center"/>
            <w:tcMar>
              <w:top w:w="90" w:type="dxa"/>
              <w:start w:w="90" w:type="dxa"/>
              <w:bottom w:w="90" w:type="dxa"/>
              <w:end w:w="90" w:type="dxa"/>
            </w:tcMar>
          </w:tcPr>
          <w:p>
            <w:pPr>
              <w:pStyle w:val="BodyX"/>
            </w:pPr>
            <w:r>
              <w:t>Small but meaningful weight; cannot rescue severe instability alone.</w:t>
            </w:r>
          </w:p>
        </w:tc>
      </w:tr>
    </w:tbl>
    <w:p>
      <w:pPr>
        <w:pStyle w:val="H2X"/>
      </w:pPr>
      <w:r>
        <w:t>A5. Normalization rules</w:t>
      </w:r>
    </w:p>
    <w:p>
      <w:pPr>
        <w:pStyle w:val="BulletX"/>
        <w:ind w:left="288"/>
      </w:pPr>
      <w:r>
        <w:rPr>
          <w:b/>
        </w:rPr>
        <w:t xml:space="preserve">• </w:t>
      </w:r>
      <w:r>
        <w:t>Every component family must resolve to a scalar in the closed interval [0.00, 1.00].</w:t>
      </w:r>
    </w:p>
    <w:p>
      <w:pPr>
        <w:pStyle w:val="BulletX"/>
        <w:ind w:left="288"/>
      </w:pPr>
      <w:r>
        <w:rPr>
          <w:b/>
        </w:rPr>
        <w:t xml:space="preserve">• </w:t>
      </w:r>
      <w:r>
        <w:t>If a family has no valid evidence, it is marked unavailable rather than silently treated as zero.</w:t>
      </w:r>
    </w:p>
    <w:p>
      <w:pPr>
        <w:pStyle w:val="BulletX"/>
        <w:ind w:left="288"/>
      </w:pPr>
      <w:r>
        <w:rPr>
          <w:b/>
        </w:rPr>
        <w:t xml:space="preserve">• </w:t>
      </w:r>
      <w:r>
        <w:t>If only assessment evidence exists, use the assessment-only fallback formula below rather than pretending behavioral or companion evidence exists.</w:t>
      </w:r>
    </w:p>
    <w:p>
      <w:pPr>
        <w:pStyle w:val="BulletX"/>
        <w:ind w:left="288"/>
      </w:pPr>
      <w:r>
        <w:rPr>
          <w:b/>
        </w:rPr>
        <w:t xml:space="preserve">• </w:t>
      </w:r>
      <w:r>
        <w:t>If a family has stale evidence outside its recency window, confidence falls even if the last known family value remains cached for internal use.</w:t>
      </w:r>
    </w:p>
    <w:p>
      <w:pPr>
        <w:pStyle w:val="H2X"/>
      </w:pPr>
      <w:r>
        <w:t>A6. Primary formula</w:t>
      </w:r>
    </w:p>
    <w:p>
      <w:pPr>
        <w:pStyle w:val="CodeX"/>
      </w:pPr>
      <w:r>
        <w:t>readiness_base_01 = (0.34 * AF) + (0.18 * CI) + (0.22 * BR) + (0.16 * CS) + (0.10 * RR)</w:t>
      </w:r>
    </w:p>
    <w:p>
      <w:pPr>
        <w:pStyle w:val="CodeX"/>
      </w:pPr>
      <w:r>
        <w:t>readiness_penalty_01 = contradiction_penalty + shadow_penalty + drift_penalty + acute_state_penalty</w:t>
      </w:r>
    </w:p>
    <w:p>
      <w:pPr>
        <w:pStyle w:val="CodeX"/>
      </w:pPr>
      <w:r>
        <w:t>readiness_penalty_01 is capped at 0.35 in v1</w:t>
      </w:r>
    </w:p>
    <w:p>
      <w:pPr>
        <w:pStyle w:val="CodeX"/>
      </w:pPr>
      <w:r>
        <w:t>readiness_final_01 = clamp(readiness_base_01 - readiness_penalty_01, 0.00, 1.00)</w:t>
      </w:r>
    </w:p>
    <w:p>
      <w:pPr>
        <w:pStyle w:val="CodeX"/>
      </w:pPr>
      <w:r>
        <w:t>readiness_score = round(readiness_final_01 * 100)</w:t>
      </w:r>
    </w:p>
    <w:p>
      <w:pPr>
        <w:pStyle w:val="H2X"/>
      </w:pPr>
      <w:r>
        <w:t>A7. Assessment-only fallback</w:t>
      </w:r>
    </w:p>
    <w:p>
      <w:pPr>
        <w:pStyle w:val="BodyX"/>
      </w:pPr>
      <w:r>
        <w:t>When the system has no reliable behavior stream yet, readiness may still be generated from onboarding data, but it must carry lower confidence and stricter display policy.</w:t>
      </w:r>
    </w:p>
    <w:p>
      <w:pPr>
        <w:pStyle w:val="CodeX"/>
      </w:pPr>
      <w:r>
        <w:t>assessment_only_base_01 = (0.70 * AF) + (0.30 * CI)</w:t>
      </w:r>
    </w:p>
    <w:p>
      <w:pPr>
        <w:pStyle w:val="CodeX"/>
      </w:pPr>
      <w:r>
        <w:t>assessment_only_penalty_01 = contradiction_penalty + declared_instability_penalty</w:t>
      </w:r>
    </w:p>
    <w:p>
      <w:pPr>
        <w:pStyle w:val="CodeX"/>
      </w:pPr>
      <w:r>
        <w:t>assessment_only_penalty_01 is capped at 0.20</w:t>
      </w:r>
    </w:p>
    <w:p>
      <w:pPr>
        <w:pStyle w:val="CodeX"/>
      </w:pPr>
      <w:r>
        <w:t>assessment_only_score = round(clamp(assessment_only_base_01 - assessment_only_penalty_01, 0.00, 1.00) * 100)</w:t>
      </w:r>
    </w:p>
    <w:p>
      <w:pPr>
        <w:pStyle w:val="H2X"/>
      </w:pPr>
      <w:r>
        <w:t>A8. Penalty contract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F1E3D3"/>
            <w:tcMar>
              <w:top w:w="100" w:type="dxa"/>
              <w:start w:w="100" w:type="dxa"/>
              <w:bottom w:w="100" w:type="dxa"/>
              <w:end w:w="100" w:type="dxa"/>
            </w:tcMar>
          </w:tcPr>
          <w:p>
            <w:pPr>
              <w:pStyle w:val="BodyX"/>
            </w:pPr>
            <w:r>
              <w:t>Penalty family</w:t>
            </w:r>
          </w:p>
        </w:tc>
        <w:tc>
          <w:tcPr>
            <w:tcW w:type="dxa" w:w="1987"/>
            <w:shd w:fill="F1E3D3"/>
            <w:tcMar>
              <w:top w:w="100" w:type="dxa"/>
              <w:start w:w="100" w:type="dxa"/>
              <w:bottom w:w="100" w:type="dxa"/>
              <w:end w:w="100" w:type="dxa"/>
            </w:tcMar>
          </w:tcPr>
          <w:p>
            <w:pPr>
              <w:pStyle w:val="BodyX"/>
            </w:pPr>
            <w:r>
              <w:t>Symbol</w:t>
            </w:r>
          </w:p>
        </w:tc>
        <w:tc>
          <w:tcPr>
            <w:tcW w:type="dxa" w:w="1987"/>
            <w:shd w:fill="F1E3D3"/>
            <w:tcMar>
              <w:top w:w="100" w:type="dxa"/>
              <w:start w:w="100" w:type="dxa"/>
              <w:bottom w:w="100" w:type="dxa"/>
              <w:end w:w="100" w:type="dxa"/>
            </w:tcMar>
          </w:tcPr>
          <w:p>
            <w:pPr>
              <w:pStyle w:val="BodyX"/>
            </w:pPr>
            <w:r>
              <w:t>Default range</w:t>
            </w:r>
          </w:p>
        </w:tc>
        <w:tc>
          <w:tcPr>
            <w:tcW w:type="dxa" w:w="1987"/>
            <w:shd w:fill="F1E3D3"/>
            <w:tcMar>
              <w:top w:w="100" w:type="dxa"/>
              <w:start w:w="100" w:type="dxa"/>
              <w:bottom w:w="100" w:type="dxa"/>
              <w:end w:w="100" w:type="dxa"/>
            </w:tcMar>
          </w:tcPr>
          <w:p>
            <w:pPr>
              <w:pStyle w:val="BodyX"/>
            </w:pPr>
            <w:r>
              <w:t>Trigger</w:t>
            </w:r>
          </w:p>
        </w:tc>
        <w:tc>
          <w:tcPr>
            <w:tcW w:type="dxa" w:w="1987"/>
            <w:shd w:fill="F1E3D3"/>
            <w:tcMar>
              <w:top w:w="100" w:type="dxa"/>
              <w:start w:w="100" w:type="dxa"/>
              <w:bottom w:w="100" w:type="dxa"/>
              <w:end w:w="100" w:type="dxa"/>
            </w:tcMar>
          </w:tcPr>
          <w:p>
            <w:pPr>
              <w:pStyle w:val="BodyX"/>
            </w:pPr>
            <w:r>
              <w:t>Cap rule</w:t>
            </w:r>
          </w:p>
        </w:tc>
      </w:tr>
      <w:tr>
        <w:tc>
          <w:tcPr>
            <w:tcW w:type="dxa" w:w="1987"/>
            <w:vAlign w:val="center"/>
            <w:tcMar>
              <w:top w:w="90" w:type="dxa"/>
              <w:start w:w="90" w:type="dxa"/>
              <w:bottom w:w="90" w:type="dxa"/>
              <w:end w:w="90" w:type="dxa"/>
            </w:tcMar>
          </w:tcPr>
          <w:p>
            <w:pPr>
              <w:pStyle w:val="BodyX"/>
            </w:pPr>
            <w:r>
              <w:t>Contradiction penalty</w:t>
            </w:r>
          </w:p>
        </w:tc>
        <w:tc>
          <w:tcPr>
            <w:tcW w:type="dxa" w:w="1987"/>
            <w:vAlign w:val="center"/>
            <w:tcMar>
              <w:top w:w="90" w:type="dxa"/>
              <w:start w:w="90" w:type="dxa"/>
              <w:bottom w:w="90" w:type="dxa"/>
              <w:end w:w="90" w:type="dxa"/>
            </w:tcMar>
          </w:tcPr>
          <w:p>
            <w:pPr>
              <w:pStyle w:val="BodyX"/>
            </w:pPr>
            <w:r>
              <w:t>CP</w:t>
            </w:r>
          </w:p>
        </w:tc>
        <w:tc>
          <w:tcPr>
            <w:tcW w:type="dxa" w:w="1987"/>
            <w:vAlign w:val="center"/>
            <w:tcMar>
              <w:top w:w="90" w:type="dxa"/>
              <w:start w:w="90" w:type="dxa"/>
              <w:bottom w:w="90" w:type="dxa"/>
              <w:end w:w="90" w:type="dxa"/>
            </w:tcMar>
          </w:tcPr>
          <w:p>
            <w:pPr>
              <w:pStyle w:val="BodyX"/>
            </w:pPr>
            <w:r>
              <w:t>0.00-0.12</w:t>
            </w:r>
          </w:p>
        </w:tc>
        <w:tc>
          <w:tcPr>
            <w:tcW w:type="dxa" w:w="1987"/>
            <w:vAlign w:val="center"/>
            <w:tcMar>
              <w:top w:w="90" w:type="dxa"/>
              <w:start w:w="90" w:type="dxa"/>
              <w:bottom w:w="90" w:type="dxa"/>
              <w:end w:w="90" w:type="dxa"/>
            </w:tcMar>
          </w:tcPr>
          <w:p>
            <w:pPr>
              <w:pStyle w:val="BodyX"/>
            </w:pPr>
            <w:r>
              <w:t>Active reflection clusters, unresolved answer inconsistencies, repeated self-report mismatch</w:t>
            </w:r>
          </w:p>
        </w:tc>
        <w:tc>
          <w:tcPr>
            <w:tcW w:type="dxa" w:w="1987"/>
            <w:vAlign w:val="center"/>
            <w:tcMar>
              <w:top w:w="90" w:type="dxa"/>
              <w:start w:w="90" w:type="dxa"/>
              <w:bottom w:w="90" w:type="dxa"/>
              <w:end w:w="90" w:type="dxa"/>
            </w:tcMar>
          </w:tcPr>
          <w:p>
            <w:pPr>
              <w:pStyle w:val="BodyX"/>
            </w:pPr>
            <w:r>
              <w:t>Max 0.12</w:t>
            </w:r>
          </w:p>
        </w:tc>
      </w:tr>
      <w:tr>
        <w:tc>
          <w:tcPr>
            <w:tcW w:type="dxa" w:w="1987"/>
            <w:vAlign w:val="center"/>
            <w:tcMar>
              <w:top w:w="90" w:type="dxa"/>
              <w:start w:w="90" w:type="dxa"/>
              <w:bottom w:w="90" w:type="dxa"/>
              <w:end w:w="90" w:type="dxa"/>
            </w:tcMar>
          </w:tcPr>
          <w:p>
            <w:pPr>
              <w:pStyle w:val="BodyX"/>
            </w:pPr>
            <w:r>
              <w:t>Shadow pressure penalty</w:t>
            </w:r>
          </w:p>
        </w:tc>
        <w:tc>
          <w:tcPr>
            <w:tcW w:type="dxa" w:w="1987"/>
            <w:vAlign w:val="center"/>
            <w:tcMar>
              <w:top w:w="90" w:type="dxa"/>
              <w:start w:w="90" w:type="dxa"/>
              <w:bottom w:w="90" w:type="dxa"/>
              <w:end w:w="90" w:type="dxa"/>
            </w:tcMar>
          </w:tcPr>
          <w:p>
            <w:pPr>
              <w:pStyle w:val="BodyX"/>
            </w:pPr>
            <w:r>
              <w:t>SP</w:t>
            </w:r>
          </w:p>
        </w:tc>
        <w:tc>
          <w:tcPr>
            <w:tcW w:type="dxa" w:w="1987"/>
            <w:vAlign w:val="center"/>
            <w:tcMar>
              <w:top w:w="90" w:type="dxa"/>
              <w:start w:w="90" w:type="dxa"/>
              <w:bottom w:w="90" w:type="dxa"/>
              <w:end w:w="90" w:type="dxa"/>
            </w:tcMar>
          </w:tcPr>
          <w:p>
            <w:pPr>
              <w:pStyle w:val="BodyX"/>
            </w:pPr>
            <w:r>
              <w:t>0.00-0.10</w:t>
            </w:r>
          </w:p>
        </w:tc>
        <w:tc>
          <w:tcPr>
            <w:tcW w:type="dxa" w:w="1987"/>
            <w:vAlign w:val="center"/>
            <w:tcMar>
              <w:top w:w="90" w:type="dxa"/>
              <w:start w:w="90" w:type="dxa"/>
              <w:bottom w:w="90" w:type="dxa"/>
              <w:end w:w="90" w:type="dxa"/>
            </w:tcMar>
          </w:tcPr>
          <w:p>
            <w:pPr>
              <w:pStyle w:val="BodyX"/>
            </w:pPr>
            <w:r>
              <w:t>Any shadow_effective_k meaningfully active, weighted by dominance and persistence</w:t>
            </w:r>
          </w:p>
        </w:tc>
        <w:tc>
          <w:tcPr>
            <w:tcW w:type="dxa" w:w="1987"/>
            <w:vAlign w:val="center"/>
            <w:tcMar>
              <w:top w:w="90" w:type="dxa"/>
              <w:start w:w="90" w:type="dxa"/>
              <w:bottom w:w="90" w:type="dxa"/>
              <w:end w:w="90" w:type="dxa"/>
            </w:tcMar>
          </w:tcPr>
          <w:p>
            <w:pPr>
              <w:pStyle w:val="BodyX"/>
            </w:pPr>
            <w:r>
              <w:t>Max 0.10</w:t>
            </w:r>
          </w:p>
        </w:tc>
      </w:tr>
      <w:tr>
        <w:tc>
          <w:tcPr>
            <w:tcW w:type="dxa" w:w="1987"/>
            <w:vAlign w:val="center"/>
            <w:tcMar>
              <w:top w:w="90" w:type="dxa"/>
              <w:start w:w="90" w:type="dxa"/>
              <w:bottom w:w="90" w:type="dxa"/>
              <w:end w:w="90" w:type="dxa"/>
            </w:tcMar>
          </w:tcPr>
          <w:p>
            <w:pPr>
              <w:pStyle w:val="BodyX"/>
            </w:pPr>
            <w:r>
              <w:t>Drift penalty</w:t>
            </w:r>
          </w:p>
        </w:tc>
        <w:tc>
          <w:tcPr>
            <w:tcW w:type="dxa" w:w="1987"/>
            <w:vAlign w:val="center"/>
            <w:tcMar>
              <w:top w:w="90" w:type="dxa"/>
              <w:start w:w="90" w:type="dxa"/>
              <w:bottom w:w="90" w:type="dxa"/>
              <w:end w:w="90" w:type="dxa"/>
            </w:tcMar>
          </w:tcPr>
          <w:p>
            <w:pPr>
              <w:pStyle w:val="BodyX"/>
            </w:pPr>
            <w:r>
              <w:t>DP</w:t>
            </w:r>
          </w:p>
        </w:tc>
        <w:tc>
          <w:tcPr>
            <w:tcW w:type="dxa" w:w="1987"/>
            <w:vAlign w:val="center"/>
            <w:tcMar>
              <w:top w:w="90" w:type="dxa"/>
              <w:start w:w="90" w:type="dxa"/>
              <w:bottom w:w="90" w:type="dxa"/>
              <w:end w:w="90" w:type="dxa"/>
            </w:tcMar>
          </w:tcPr>
          <w:p>
            <w:pPr>
              <w:pStyle w:val="BodyX"/>
            </w:pPr>
            <w:r>
              <w:t>0.00-0.08</w:t>
            </w:r>
          </w:p>
        </w:tc>
        <w:tc>
          <w:tcPr>
            <w:tcW w:type="dxa" w:w="1987"/>
            <w:vAlign w:val="center"/>
            <w:tcMar>
              <w:top w:w="90" w:type="dxa"/>
              <w:start w:w="90" w:type="dxa"/>
              <w:bottom w:w="90" w:type="dxa"/>
              <w:end w:w="90" w:type="dxa"/>
            </w:tcMar>
          </w:tcPr>
          <w:p>
            <w:pPr>
              <w:pStyle w:val="BodyX"/>
            </w:pPr>
            <w:r>
              <w:t>Provisional or active drift pressure undermining identity stability or state trust</w:t>
            </w:r>
          </w:p>
        </w:tc>
        <w:tc>
          <w:tcPr>
            <w:tcW w:type="dxa" w:w="1987"/>
            <w:vAlign w:val="center"/>
            <w:tcMar>
              <w:top w:w="90" w:type="dxa"/>
              <w:start w:w="90" w:type="dxa"/>
              <w:bottom w:w="90" w:type="dxa"/>
              <w:end w:w="90" w:type="dxa"/>
            </w:tcMar>
          </w:tcPr>
          <w:p>
            <w:pPr>
              <w:pStyle w:val="BodyX"/>
            </w:pPr>
            <w:r>
              <w:t>Max 0.08</w:t>
            </w:r>
          </w:p>
        </w:tc>
      </w:tr>
      <w:tr>
        <w:tc>
          <w:tcPr>
            <w:tcW w:type="dxa" w:w="1987"/>
            <w:vAlign w:val="center"/>
            <w:tcMar>
              <w:top w:w="90" w:type="dxa"/>
              <w:start w:w="90" w:type="dxa"/>
              <w:bottom w:w="90" w:type="dxa"/>
              <w:end w:w="90" w:type="dxa"/>
            </w:tcMar>
          </w:tcPr>
          <w:p>
            <w:pPr>
              <w:pStyle w:val="BodyX"/>
            </w:pPr>
            <w:r>
              <w:t>Acute state penalty</w:t>
            </w:r>
          </w:p>
        </w:tc>
        <w:tc>
          <w:tcPr>
            <w:tcW w:type="dxa" w:w="1987"/>
            <w:vAlign w:val="center"/>
            <w:tcMar>
              <w:top w:w="90" w:type="dxa"/>
              <w:start w:w="90" w:type="dxa"/>
              <w:bottom w:w="90" w:type="dxa"/>
              <w:end w:w="90" w:type="dxa"/>
            </w:tcMar>
          </w:tcPr>
          <w:p>
            <w:pPr>
              <w:pStyle w:val="BodyX"/>
            </w:pPr>
            <w:r>
              <w:t>AP</w:t>
            </w:r>
          </w:p>
        </w:tc>
        <w:tc>
          <w:tcPr>
            <w:tcW w:type="dxa" w:w="1987"/>
            <w:vAlign w:val="center"/>
            <w:tcMar>
              <w:top w:w="90" w:type="dxa"/>
              <w:start w:w="90" w:type="dxa"/>
              <w:bottom w:w="90" w:type="dxa"/>
              <w:end w:w="90" w:type="dxa"/>
            </w:tcMar>
          </w:tcPr>
          <w:p>
            <w:pPr>
              <w:pStyle w:val="BodyX"/>
            </w:pPr>
            <w:r>
              <w:t>0.00-0.10</w:t>
            </w:r>
          </w:p>
        </w:tc>
        <w:tc>
          <w:tcPr>
            <w:tcW w:type="dxa" w:w="1987"/>
            <w:vAlign w:val="center"/>
            <w:tcMar>
              <w:top w:w="90" w:type="dxa"/>
              <w:start w:w="90" w:type="dxa"/>
              <w:bottom w:w="90" w:type="dxa"/>
              <w:end w:w="90" w:type="dxa"/>
            </w:tcMar>
          </w:tcPr>
          <w:p>
            <w:pPr>
              <w:pStyle w:val="BodyX"/>
            </w:pPr>
            <w:r>
              <w:t>High active grief / anger / post-rupture acute disruption</w:t>
            </w:r>
          </w:p>
        </w:tc>
        <w:tc>
          <w:tcPr>
            <w:tcW w:type="dxa" w:w="1987"/>
            <w:vAlign w:val="center"/>
            <w:tcMar>
              <w:top w:w="90" w:type="dxa"/>
              <w:start w:w="90" w:type="dxa"/>
              <w:bottom w:w="90" w:type="dxa"/>
              <w:end w:w="90" w:type="dxa"/>
            </w:tcMar>
          </w:tcPr>
          <w:p>
            <w:pPr>
              <w:pStyle w:val="BodyX"/>
            </w:pPr>
            <w:r>
              <w:t>Max 0.10</w:t>
            </w:r>
          </w:p>
        </w:tc>
      </w:tr>
    </w:tbl>
    <w:p>
      <w:pPr>
        <w:pStyle w:val="H3X"/>
      </w:pPr>
      <w:r>
        <w:t>Penalty implementation notes:</w:t>
      </w:r>
    </w:p>
    <w:p>
      <w:pPr>
        <w:pStyle w:val="BulletX"/>
        <w:ind w:left="288"/>
      </w:pPr>
      <w:r>
        <w:rPr>
          <w:b/>
        </w:rPr>
        <w:t xml:space="preserve">• </w:t>
      </w:r>
      <w:r>
        <w:t>Penalties reduce readiness; they never increase it.</w:t>
      </w:r>
    </w:p>
    <w:p>
      <w:pPr>
        <w:pStyle w:val="BulletX"/>
        <w:ind w:left="288"/>
      </w:pPr>
      <w:r>
        <w:rPr>
          <w:b/>
        </w:rPr>
        <w:t xml:space="preserve">• </w:t>
      </w:r>
      <w:r>
        <w:t>A user cannot be penalty-free if a severe contradiction cluster is active and unresolved.</w:t>
      </w:r>
    </w:p>
    <w:p>
      <w:pPr>
        <w:pStyle w:val="BulletX"/>
        <w:ind w:left="288"/>
      </w:pPr>
      <w:r>
        <w:rPr>
          <w:b/>
        </w:rPr>
        <w:t xml:space="preserve">• </w:t>
      </w:r>
      <w:r>
        <w:t>Shadow penalties use shadow_effective_k, not one-event activation spikes.</w:t>
      </w:r>
    </w:p>
    <w:p>
      <w:pPr>
        <w:pStyle w:val="BulletX"/>
        <w:ind w:left="288"/>
      </w:pPr>
      <w:r>
        <w:rPr>
          <w:b/>
        </w:rPr>
        <w:t xml:space="preserve">• </w:t>
      </w:r>
      <w:r>
        <w:t>Companion modules may contribute to CS and may also impose an acute penalty when the state is currently disruptive.</w:t>
      </w:r>
    </w:p>
    <w:p>
      <w:pPr>
        <w:pStyle w:val="H2X"/>
      </w:pPr>
      <w:r>
        <w:t>A9. Example deterministic mappings</w:t>
      </w:r>
    </w:p>
    <w:p>
      <w:pPr>
        <w:pStyle w:val="CodeX"/>
      </w:pPr>
      <w:r>
        <w:t>contradiction_penalty = min(0.12, 0.03 * active_cluster_count + 0.02 * high_severity_cluster_count)</w:t>
      </w:r>
    </w:p>
    <w:p>
      <w:pPr>
        <w:pStyle w:val="CodeX"/>
      </w:pPr>
      <w:r>
        <w:t>shadow_penalty = min(0.10, 0.06 * dominant_shadow_effective + 0.04 * second_shadow_effective)</w:t>
      </w:r>
    </w:p>
    <w:p>
      <w:pPr>
        <w:pStyle w:val="CodeX"/>
      </w:pPr>
      <w:r>
        <w:t>drift_penalty = 0.00 if drift_state in {stable, none}</w:t>
      </w:r>
    </w:p>
    <w:p>
      <w:pPr>
        <w:pStyle w:val="CodeX"/>
      </w:pPr>
      <w:r>
        <w:t>drift_penalty = 0.03 if drift_state == provisional_watch</w:t>
      </w:r>
    </w:p>
    <w:p>
      <w:pPr>
        <w:pStyle w:val="CodeX"/>
      </w:pPr>
      <w:r>
        <w:t>drift_penalty = 0.05 if drift_state == active_micro_drift</w:t>
      </w:r>
    </w:p>
    <w:p>
      <w:pPr>
        <w:pStyle w:val="CodeX"/>
      </w:pPr>
      <w:r>
        <w:t>drift_penalty = 0.08 if drift_state == active_slow_drift or hold_unstable</w:t>
      </w:r>
    </w:p>
    <w:p>
      <w:pPr>
        <w:pStyle w:val="H2X"/>
      </w:pPr>
      <w:r>
        <w:t>A10. Confidence formula</w:t>
      </w:r>
    </w:p>
    <w:p>
      <w:pPr>
        <w:pStyle w:val="BodyX"/>
      </w:pPr>
      <w:r>
        <w:t>Confidence is attached to readiness as a first-class value, not a hidden QA field.</w:t>
      </w:r>
    </w:p>
    <w:p>
      <w:pPr>
        <w:pStyle w:val="CodeX"/>
      </w:pPr>
      <w:r>
        <w:t>confidence_01 = (0.30 * evidence_coverage) + (0.25 * recency_quality) + (0.20 * cross-source_agreement) + (0.15 * behavior_depth) + (0.10 * stability_of_components)</w:t>
      </w:r>
    </w:p>
    <w:p>
      <w:pPr>
        <w:pStyle w:val="CodeX"/>
      </w:pPr>
      <w:r>
        <w:t>readiness_confidence = round(clamp(confidence_01, 0.00, 1.00) * 100)</w:t>
      </w:r>
    </w:p>
    <w:tbl>
      <w:tblPr>
        <w:tblStyle w:val="TableGrid"/>
        <w:tblW w:type="auto" w:w="0"/>
        <w:tblLook w:firstColumn="1" w:firstRow="1" w:lastColumn="0" w:lastRow="0" w:noHBand="0" w:noVBand="1" w:val="04A0"/>
      </w:tblPr>
      <w:tblGrid>
        <w:gridCol w:w="3312"/>
        <w:gridCol w:w="3312"/>
        <w:gridCol w:w="3312"/>
      </w:tblGrid>
      <w:tr>
        <w:tc>
          <w:tcPr>
            <w:tcW w:type="dxa" w:w="3312"/>
            <w:shd w:fill="D8E7F3"/>
          </w:tcPr>
          <w:p>
            <w:pPr>
              <w:pStyle w:val="BodyX"/>
            </w:pPr>
            <w:r>
              <w:t>Confidence band</w:t>
            </w:r>
          </w:p>
        </w:tc>
        <w:tc>
          <w:tcPr>
            <w:tcW w:type="dxa" w:w="3312"/>
            <w:shd w:fill="D8E7F3"/>
          </w:tcPr>
          <w:p>
            <w:pPr>
              <w:pStyle w:val="BodyX"/>
            </w:pPr>
            <w:r>
              <w:t>Numeric band</w:t>
            </w:r>
          </w:p>
        </w:tc>
        <w:tc>
          <w:tcPr>
            <w:tcW w:type="dxa" w:w="3312"/>
            <w:shd w:fill="D8E7F3"/>
          </w:tcPr>
          <w:p>
            <w:pPr>
              <w:pStyle w:val="BodyX"/>
            </w:pPr>
            <w:r>
              <w:t>Policy</w:t>
            </w:r>
          </w:p>
        </w:tc>
      </w:tr>
      <w:tr>
        <w:tc>
          <w:tcPr>
            <w:tcW w:type="dxa" w:w="3312"/>
            <w:tcMar>
              <w:top w:w="90" w:type="dxa"/>
              <w:start w:w="90" w:type="dxa"/>
              <w:bottom w:w="90" w:type="dxa"/>
              <w:end w:w="90" w:type="dxa"/>
            </w:tcMar>
          </w:tcPr>
          <w:p>
            <w:pPr>
              <w:pStyle w:val="BodyX"/>
            </w:pPr>
            <w:r>
              <w:t>Low</w:t>
            </w:r>
          </w:p>
        </w:tc>
        <w:tc>
          <w:tcPr>
            <w:tcW w:type="dxa" w:w="3312"/>
            <w:tcMar>
              <w:top w:w="90" w:type="dxa"/>
              <w:start w:w="90" w:type="dxa"/>
              <w:bottom w:w="90" w:type="dxa"/>
              <w:end w:w="90" w:type="dxa"/>
            </w:tcMar>
          </w:tcPr>
          <w:p>
            <w:pPr>
              <w:pStyle w:val="BodyX"/>
            </w:pPr>
            <w:r>
              <w:t>0-49</w:t>
            </w:r>
          </w:p>
        </w:tc>
        <w:tc>
          <w:tcPr>
            <w:tcW w:type="dxa" w:w="3312"/>
            <w:tcMar>
              <w:top w:w="90" w:type="dxa"/>
              <w:start w:w="90" w:type="dxa"/>
              <w:bottom w:w="90" w:type="dxa"/>
              <w:end w:w="90" w:type="dxa"/>
            </w:tcMar>
          </w:tcPr>
          <w:p>
            <w:pPr>
              <w:pStyle w:val="BodyX"/>
            </w:pPr>
            <w:r>
              <w:t>Internal only. No public number.</w:t>
            </w:r>
          </w:p>
        </w:tc>
      </w:tr>
      <w:tr>
        <w:tc>
          <w:tcPr>
            <w:tcW w:type="dxa" w:w="3312"/>
            <w:tcMar>
              <w:top w:w="90" w:type="dxa"/>
              <w:start w:w="90" w:type="dxa"/>
              <w:bottom w:w="90" w:type="dxa"/>
              <w:end w:w="90" w:type="dxa"/>
            </w:tcMar>
          </w:tcPr>
          <w:p>
            <w:pPr>
              <w:pStyle w:val="BodyX"/>
            </w:pPr>
            <w:r>
              <w:t>Guarded</w:t>
            </w:r>
          </w:p>
        </w:tc>
        <w:tc>
          <w:tcPr>
            <w:tcW w:type="dxa" w:w="3312"/>
            <w:tcMar>
              <w:top w:w="90" w:type="dxa"/>
              <w:start w:w="90" w:type="dxa"/>
              <w:bottom w:w="90" w:type="dxa"/>
              <w:end w:w="90" w:type="dxa"/>
            </w:tcMar>
          </w:tcPr>
          <w:p>
            <w:pPr>
              <w:pStyle w:val="BodyX"/>
            </w:pPr>
            <w:r>
              <w:t>50-64</w:t>
            </w:r>
          </w:p>
        </w:tc>
        <w:tc>
          <w:tcPr>
            <w:tcW w:type="dxa" w:w="3312"/>
            <w:tcMar>
              <w:top w:w="90" w:type="dxa"/>
              <w:start w:w="90" w:type="dxa"/>
              <w:bottom w:w="90" w:type="dxa"/>
              <w:end w:w="90" w:type="dxa"/>
            </w:tcMar>
          </w:tcPr>
          <w:p>
            <w:pPr>
              <w:pStyle w:val="BodyX"/>
            </w:pPr>
            <w:r>
              <w:t>User may see a guarded band label, not raw precision.</w:t>
            </w:r>
          </w:p>
        </w:tc>
      </w:tr>
      <w:tr>
        <w:tc>
          <w:tcPr>
            <w:tcW w:type="dxa" w:w="3312"/>
            <w:tcMar>
              <w:top w:w="90" w:type="dxa"/>
              <w:start w:w="90" w:type="dxa"/>
              <w:bottom w:w="90" w:type="dxa"/>
              <w:end w:w="90" w:type="dxa"/>
            </w:tcMar>
          </w:tcPr>
          <w:p>
            <w:pPr>
              <w:pStyle w:val="BodyX"/>
            </w:pPr>
            <w:r>
              <w:t>Usable</w:t>
            </w:r>
          </w:p>
        </w:tc>
        <w:tc>
          <w:tcPr>
            <w:tcW w:type="dxa" w:w="3312"/>
            <w:tcMar>
              <w:top w:w="90" w:type="dxa"/>
              <w:start w:w="90" w:type="dxa"/>
              <w:bottom w:w="90" w:type="dxa"/>
              <w:end w:w="90" w:type="dxa"/>
            </w:tcMar>
          </w:tcPr>
          <w:p>
            <w:pPr>
              <w:pStyle w:val="BodyX"/>
            </w:pPr>
            <w:r>
              <w:t>65-79</w:t>
            </w:r>
          </w:p>
        </w:tc>
        <w:tc>
          <w:tcPr>
            <w:tcW w:type="dxa" w:w="3312"/>
            <w:tcMar>
              <w:top w:w="90" w:type="dxa"/>
              <w:start w:w="90" w:type="dxa"/>
              <w:bottom w:w="90" w:type="dxa"/>
              <w:end w:w="90" w:type="dxa"/>
            </w:tcMar>
          </w:tcPr>
          <w:p>
            <w:pPr>
              <w:pStyle w:val="BodyX"/>
            </w:pPr>
            <w:r>
              <w:t>User may see rounded readiness and safe explanatory copy.</w:t>
            </w:r>
          </w:p>
        </w:tc>
      </w:tr>
      <w:tr>
        <w:tc>
          <w:tcPr>
            <w:tcW w:type="dxa" w:w="3312"/>
            <w:tcMar>
              <w:top w:w="90" w:type="dxa"/>
              <w:start w:w="90" w:type="dxa"/>
              <w:bottom w:w="90" w:type="dxa"/>
              <w:end w:w="90" w:type="dxa"/>
            </w:tcMar>
          </w:tcPr>
          <w:p>
            <w:pPr>
              <w:pStyle w:val="BodyX"/>
            </w:pPr>
            <w:r>
              <w:t>Strong</w:t>
            </w:r>
          </w:p>
        </w:tc>
        <w:tc>
          <w:tcPr>
            <w:tcW w:type="dxa" w:w="3312"/>
            <w:tcMar>
              <w:top w:w="90" w:type="dxa"/>
              <w:start w:w="90" w:type="dxa"/>
              <w:bottom w:w="90" w:type="dxa"/>
              <w:end w:w="90" w:type="dxa"/>
            </w:tcMar>
          </w:tcPr>
          <w:p>
            <w:pPr>
              <w:pStyle w:val="BodyX"/>
            </w:pPr>
            <w:r>
              <w:t>80-100</w:t>
            </w:r>
          </w:p>
        </w:tc>
        <w:tc>
          <w:tcPr>
            <w:tcW w:type="dxa" w:w="3312"/>
            <w:tcMar>
              <w:top w:w="90" w:type="dxa"/>
              <w:start w:w="90" w:type="dxa"/>
              <w:bottom w:w="90" w:type="dxa"/>
              <w:end w:w="90" w:type="dxa"/>
            </w:tcMar>
          </w:tcPr>
          <w:p>
            <w:pPr>
              <w:pStyle w:val="BodyX"/>
            </w:pPr>
            <w:r>
              <w:t>User may see readiness plus deeper explanation or premium insight.</w:t>
            </w:r>
          </w:p>
        </w:tc>
      </w:tr>
    </w:tbl>
    <w:p>
      <w:pPr>
        <w:pStyle w:val="H2X"/>
      </w:pPr>
      <w:r>
        <w:t>A11. Sufficiency gates</w:t>
      </w:r>
    </w:p>
    <w:p>
      <w:pPr>
        <w:pStyle w:val="BulletX"/>
        <w:ind w:left="288"/>
      </w:pPr>
      <w:r>
        <w:rPr>
          <w:b/>
        </w:rPr>
        <w:t xml:space="preserve">• </w:t>
      </w:r>
      <w:r>
        <w:t>user_visible readiness requires at least one complete assessment, contradiction processing, and either behavior evidence or a declared onboarding-only label.</w:t>
      </w:r>
    </w:p>
    <w:p>
      <w:pPr>
        <w:pStyle w:val="BulletX"/>
        <w:ind w:left="288"/>
      </w:pPr>
      <w:r>
        <w:rPr>
          <w:b/>
        </w:rPr>
        <w:t xml:space="preserve">• </w:t>
      </w:r>
      <w:r>
        <w:t>Any readiness score with confidence below 50 is internal_only, even if a number exists.</w:t>
      </w:r>
    </w:p>
    <w:p>
      <w:pPr>
        <w:pStyle w:val="BulletX"/>
        <w:ind w:left="288"/>
      </w:pPr>
      <w:r>
        <w:rPr>
          <w:b/>
        </w:rPr>
        <w:t xml:space="preserve">• </w:t>
      </w:r>
      <w:r>
        <w:t>If active drift is unresolved, readiness may remain visible only as a band label unless product policy explicitly authorizes numeric display.</w:t>
      </w:r>
    </w:p>
    <w:p>
      <w:pPr>
        <w:pStyle w:val="BulletX"/>
        <w:ind w:left="288"/>
      </w:pPr>
      <w:r>
        <w:rPr>
          <w:b/>
        </w:rPr>
        <w:t xml:space="preserve">• </w:t>
      </w:r>
      <w:r>
        <w:t>If no evidence has been refreshed within the configured recency window, the score is stale and must not be shown as current.</w:t>
      </w:r>
    </w:p>
    <w:p>
      <w:pPr>
        <w:pStyle w:val="H2X"/>
      </w:pPr>
      <w:r>
        <w:t>A12. Public bands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8F0E7"/>
          </w:tcPr>
          <w:p>
            <w:pPr>
              <w:pStyle w:val="BodyX"/>
            </w:pPr>
            <w:r>
              <w:t>Score</w:t>
            </w:r>
          </w:p>
        </w:tc>
        <w:tc>
          <w:tcPr>
            <w:tcW w:type="dxa" w:w="2484"/>
            <w:shd w:fill="E8F0E7"/>
          </w:tcPr>
          <w:p>
            <w:pPr>
              <w:pStyle w:val="BodyX"/>
            </w:pPr>
            <w:r>
              <w:t>Band</w:t>
            </w:r>
          </w:p>
        </w:tc>
        <w:tc>
          <w:tcPr>
            <w:tcW w:type="dxa" w:w="2484"/>
            <w:shd w:fill="E8F0E7"/>
          </w:tcPr>
          <w:p>
            <w:pPr>
              <w:pStyle w:val="BodyX"/>
            </w:pPr>
            <w:r>
              <w:t>User-facing label</w:t>
            </w:r>
          </w:p>
        </w:tc>
        <w:tc>
          <w:tcPr>
            <w:tcW w:type="dxa" w:w="2484"/>
            <w:shd w:fill="E8F0E7"/>
          </w:tcPr>
          <w:p>
            <w:pPr>
              <w:pStyle w:val="BodyX"/>
            </w:pPr>
            <w:r>
              <w:t>Meaning</w:t>
            </w:r>
          </w:p>
        </w:tc>
      </w:tr>
      <w:tr>
        <w:tc>
          <w:tcPr>
            <w:tcW w:type="dxa" w:w="2484"/>
            <w:tcMar>
              <w:top w:w="90" w:type="dxa"/>
              <w:start w:w="90" w:type="dxa"/>
              <w:bottom w:w="90" w:type="dxa"/>
              <w:end w:w="90" w:type="dxa"/>
            </w:tcMar>
          </w:tcPr>
          <w:p>
            <w:pPr>
              <w:pStyle w:val="BodyX"/>
            </w:pPr>
            <w:r>
              <w:t>0-39</w:t>
            </w:r>
          </w:p>
        </w:tc>
        <w:tc>
          <w:tcPr>
            <w:tcW w:type="dxa" w:w="2484"/>
            <w:tcMar>
              <w:top w:w="90" w:type="dxa"/>
              <w:start w:w="90" w:type="dxa"/>
              <w:bottom w:w="90" w:type="dxa"/>
              <w:end w:w="90" w:type="dxa"/>
            </w:tcMar>
          </w:tcPr>
          <w:p>
            <w:pPr>
              <w:pStyle w:val="BodyX"/>
            </w:pPr>
            <w:r>
              <w:t>Red</w:t>
            </w:r>
          </w:p>
        </w:tc>
        <w:tc>
          <w:tcPr>
            <w:tcW w:type="dxa" w:w="2484"/>
            <w:tcMar>
              <w:top w:w="90" w:type="dxa"/>
              <w:start w:w="90" w:type="dxa"/>
              <w:bottom w:w="90" w:type="dxa"/>
              <w:end w:w="90" w:type="dxa"/>
            </w:tcMar>
          </w:tcPr>
          <w:p>
            <w:pPr>
              <w:pStyle w:val="BodyX"/>
            </w:pPr>
            <w:r>
              <w:t>Not relationship-ready right now</w:t>
            </w:r>
          </w:p>
        </w:tc>
        <w:tc>
          <w:tcPr>
            <w:tcW w:type="dxa" w:w="2484"/>
            <w:tcMar>
              <w:top w:w="90" w:type="dxa"/>
              <w:start w:w="90" w:type="dxa"/>
              <w:bottom w:w="90" w:type="dxa"/>
              <w:end w:w="90" w:type="dxa"/>
            </w:tcMar>
          </w:tcPr>
          <w:p>
            <w:pPr>
              <w:pStyle w:val="BodyX"/>
            </w:pPr>
            <w:r>
              <w:t>High instability, contradiction, or active disruption.</w:t>
            </w:r>
          </w:p>
        </w:tc>
      </w:tr>
      <w:tr>
        <w:tc>
          <w:tcPr>
            <w:tcW w:type="dxa" w:w="2484"/>
            <w:tcMar>
              <w:top w:w="90" w:type="dxa"/>
              <w:start w:w="90" w:type="dxa"/>
              <w:bottom w:w="90" w:type="dxa"/>
              <w:end w:w="90" w:type="dxa"/>
            </w:tcMar>
          </w:tcPr>
          <w:p>
            <w:pPr>
              <w:pStyle w:val="BodyX"/>
            </w:pPr>
            <w:r>
              <w:t>40-54</w:t>
            </w:r>
          </w:p>
        </w:tc>
        <w:tc>
          <w:tcPr>
            <w:tcW w:type="dxa" w:w="2484"/>
            <w:tcMar>
              <w:top w:w="90" w:type="dxa"/>
              <w:start w:w="90" w:type="dxa"/>
              <w:bottom w:w="90" w:type="dxa"/>
              <w:end w:w="90" w:type="dxa"/>
            </w:tcMar>
          </w:tcPr>
          <w:p>
            <w:pPr>
              <w:pStyle w:val="BodyX"/>
            </w:pPr>
            <w:r>
              <w:t>Amber</w:t>
            </w:r>
          </w:p>
        </w:tc>
        <w:tc>
          <w:tcPr>
            <w:tcW w:type="dxa" w:w="2484"/>
            <w:tcMar>
              <w:top w:w="90" w:type="dxa"/>
              <w:start w:w="90" w:type="dxa"/>
              <w:bottom w:w="90" w:type="dxa"/>
              <w:end w:w="90" w:type="dxa"/>
            </w:tcMar>
          </w:tcPr>
          <w:p>
            <w:pPr>
              <w:pStyle w:val="BodyX"/>
            </w:pPr>
            <w:r>
              <w:t>Needs grounding before deeper connection</w:t>
            </w:r>
          </w:p>
        </w:tc>
        <w:tc>
          <w:tcPr>
            <w:tcW w:type="dxa" w:w="2484"/>
            <w:tcMar>
              <w:top w:w="90" w:type="dxa"/>
              <w:start w:w="90" w:type="dxa"/>
              <w:bottom w:w="90" w:type="dxa"/>
              <w:end w:w="90" w:type="dxa"/>
            </w:tcMar>
          </w:tcPr>
          <w:p>
            <w:pPr>
              <w:pStyle w:val="BodyX"/>
            </w:pPr>
            <w:r>
              <w:t>Some capacity is present, but reliable readiness is not yet stable.</w:t>
            </w:r>
          </w:p>
        </w:tc>
      </w:tr>
      <w:tr>
        <w:tc>
          <w:tcPr>
            <w:tcW w:type="dxa" w:w="2484"/>
            <w:tcMar>
              <w:top w:w="90" w:type="dxa"/>
              <w:start w:w="90" w:type="dxa"/>
              <w:bottom w:w="90" w:type="dxa"/>
              <w:end w:w="90" w:type="dxa"/>
            </w:tcMar>
          </w:tcPr>
          <w:p>
            <w:pPr>
              <w:pStyle w:val="BodyX"/>
            </w:pPr>
            <w:r>
              <w:t>55-69</w:t>
            </w:r>
          </w:p>
        </w:tc>
        <w:tc>
          <w:tcPr>
            <w:tcW w:type="dxa" w:w="2484"/>
            <w:tcMar>
              <w:top w:w="90" w:type="dxa"/>
              <w:start w:w="90" w:type="dxa"/>
              <w:bottom w:w="90" w:type="dxa"/>
              <w:end w:w="90" w:type="dxa"/>
            </w:tcMar>
          </w:tcPr>
          <w:p>
            <w:pPr>
              <w:pStyle w:val="BodyX"/>
            </w:pPr>
            <w:r>
              <w:t>Yellow-Green</w:t>
            </w:r>
          </w:p>
        </w:tc>
        <w:tc>
          <w:tcPr>
            <w:tcW w:type="dxa" w:w="2484"/>
            <w:tcMar>
              <w:top w:w="90" w:type="dxa"/>
              <w:start w:w="90" w:type="dxa"/>
              <w:bottom w:w="90" w:type="dxa"/>
              <w:end w:w="90" w:type="dxa"/>
            </w:tcMar>
          </w:tcPr>
          <w:p>
            <w:pPr>
              <w:pStyle w:val="BodyX"/>
            </w:pPr>
            <w:r>
              <w:t>Emerging readiness</w:t>
            </w:r>
          </w:p>
        </w:tc>
        <w:tc>
          <w:tcPr>
            <w:tcW w:type="dxa" w:w="2484"/>
            <w:tcMar>
              <w:top w:w="90" w:type="dxa"/>
              <w:start w:w="90" w:type="dxa"/>
              <w:bottom w:w="90" w:type="dxa"/>
              <w:end w:w="90" w:type="dxa"/>
            </w:tcMar>
          </w:tcPr>
          <w:p>
            <w:pPr>
              <w:pStyle w:val="BodyX"/>
            </w:pPr>
            <w:r>
              <w:t>Functional signs exist, but the system still sees pressure points.</w:t>
            </w:r>
          </w:p>
        </w:tc>
      </w:tr>
      <w:tr>
        <w:tc>
          <w:tcPr>
            <w:tcW w:type="dxa" w:w="2484"/>
            <w:tcMar>
              <w:top w:w="90" w:type="dxa"/>
              <w:start w:w="90" w:type="dxa"/>
              <w:bottom w:w="90" w:type="dxa"/>
              <w:end w:w="90" w:type="dxa"/>
            </w:tcMar>
          </w:tcPr>
          <w:p>
            <w:pPr>
              <w:pStyle w:val="BodyX"/>
            </w:pPr>
            <w:r>
              <w:t>70-84</w:t>
            </w:r>
          </w:p>
        </w:tc>
        <w:tc>
          <w:tcPr>
            <w:tcW w:type="dxa" w:w="2484"/>
            <w:tcMar>
              <w:top w:w="90" w:type="dxa"/>
              <w:start w:w="90" w:type="dxa"/>
              <w:bottom w:w="90" w:type="dxa"/>
              <w:end w:w="90" w:type="dxa"/>
            </w:tcMar>
          </w:tcPr>
          <w:p>
            <w:pPr>
              <w:pStyle w:val="BodyX"/>
            </w:pPr>
            <w:r>
              <w:t>Green</w:t>
            </w:r>
          </w:p>
        </w:tc>
        <w:tc>
          <w:tcPr>
            <w:tcW w:type="dxa" w:w="2484"/>
            <w:tcMar>
              <w:top w:w="90" w:type="dxa"/>
              <w:start w:w="90" w:type="dxa"/>
              <w:bottom w:w="90" w:type="dxa"/>
              <w:end w:w="90" w:type="dxa"/>
            </w:tcMar>
          </w:tcPr>
          <w:p>
            <w:pPr>
              <w:pStyle w:val="BodyX"/>
            </w:pPr>
            <w:r>
              <w:t>Relationship-ready with normal growth edges</w:t>
            </w:r>
          </w:p>
        </w:tc>
        <w:tc>
          <w:tcPr>
            <w:tcW w:type="dxa" w:w="2484"/>
            <w:tcMar>
              <w:top w:w="90" w:type="dxa"/>
              <w:start w:w="90" w:type="dxa"/>
              <w:bottom w:w="90" w:type="dxa"/>
              <w:end w:w="90" w:type="dxa"/>
            </w:tcMar>
          </w:tcPr>
          <w:p>
            <w:pPr>
              <w:pStyle w:val="BodyX"/>
            </w:pPr>
            <w:r>
              <w:t>Generally healthy operating range.</w:t>
            </w:r>
          </w:p>
        </w:tc>
      </w:tr>
      <w:tr>
        <w:tc>
          <w:tcPr>
            <w:tcW w:type="dxa" w:w="2484"/>
            <w:tcMar>
              <w:top w:w="90" w:type="dxa"/>
              <w:start w:w="90" w:type="dxa"/>
              <w:bottom w:w="90" w:type="dxa"/>
              <w:end w:w="90" w:type="dxa"/>
            </w:tcMar>
          </w:tcPr>
          <w:p>
            <w:pPr>
              <w:pStyle w:val="BodyX"/>
            </w:pPr>
            <w:r>
              <w:t>85-100</w:t>
            </w:r>
          </w:p>
        </w:tc>
        <w:tc>
          <w:tcPr>
            <w:tcW w:type="dxa" w:w="2484"/>
            <w:tcMar>
              <w:top w:w="90" w:type="dxa"/>
              <w:start w:w="90" w:type="dxa"/>
              <w:bottom w:w="90" w:type="dxa"/>
              <w:end w:w="90" w:type="dxa"/>
            </w:tcMar>
          </w:tcPr>
          <w:p>
            <w:pPr>
              <w:pStyle w:val="BodyX"/>
            </w:pPr>
            <w:r>
              <w:t>Deep Green</w:t>
            </w:r>
          </w:p>
        </w:tc>
        <w:tc>
          <w:tcPr>
            <w:tcW w:type="dxa" w:w="2484"/>
            <w:tcMar>
              <w:top w:w="90" w:type="dxa"/>
              <w:start w:w="90" w:type="dxa"/>
              <w:bottom w:w="90" w:type="dxa"/>
              <w:end w:w="90" w:type="dxa"/>
            </w:tcMar>
          </w:tcPr>
          <w:p>
            <w:pPr>
              <w:pStyle w:val="BodyX"/>
            </w:pPr>
            <w:r>
              <w:t>Strong readiness signal</w:t>
            </w:r>
          </w:p>
        </w:tc>
        <w:tc>
          <w:tcPr>
            <w:tcW w:type="dxa" w:w="2484"/>
            <w:tcMar>
              <w:top w:w="90" w:type="dxa"/>
              <w:start w:w="90" w:type="dxa"/>
              <w:bottom w:w="90" w:type="dxa"/>
              <w:end w:w="90" w:type="dxa"/>
            </w:tcMar>
          </w:tcPr>
          <w:p>
            <w:pPr>
              <w:pStyle w:val="BodyX"/>
            </w:pPr>
            <w:r>
              <w:t>High-functioning current profile with solid evidence support.</w:t>
            </w:r>
          </w:p>
        </w:tc>
      </w:tr>
    </w:tbl>
    <w:p>
      <w:pPr>
        <w:pStyle w:val="H2X"/>
      </w:pPr>
      <w:r>
        <w:t>A13. Engineering note</w:t>
      </w:r>
    </w:p>
    <w:p>
      <w:pPr>
        <w:pStyle w:val="BodyX"/>
      </w:pPr>
      <w:r>
        <w:t>If the workbook already freezes a more granular field-level formula, engineering must use that formula and map its output into this contract's storage, confidence, sufficiency, and display rules. This appendix is intended to stop ambiguous implementations, not overrule a more specific canonical scoring sheet.</w:t>
      </w:r>
    </w:p>
    <w:p>
      <w:r>
        <w:br w:type="page"/>
      </w:r>
    </w:p>
    <w:p>
      <w:pPr>
        <w:pStyle w:val="H1X"/>
      </w:pPr>
      <w:r>
        <w:t>Appendix B - Forecast Output Appendix</w:t>
      </w:r>
    </w:p>
    <w:p>
      <w:pPr>
        <w:pStyle w:val="H2X"/>
      </w:pPr>
      <w:r>
        <w:t>B1. Forecast is a governed output family</w:t>
      </w:r>
    </w:p>
    <w:p>
      <w:pPr>
        <w:pStyle w:val="BodyX"/>
      </w:pPr>
      <w:r>
        <w:t>Forecast does not mean destiny. In v1 it is a bundle of pair-state outputs derived from pair evidence, match structure, repair behavior, pacing, shadow pressure, drift pressure, and confidence. The system may route product decisions from Forecast, but must never describe it as certainty.</w:t>
      </w:r>
    </w:p>
    <w:p>
      <w:pPr>
        <w:pStyle w:val="H2X"/>
      </w:pPr>
      <w:r>
        <w:t>B2. Required forecast outputs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8E7F3"/>
          </w:tcPr>
          <w:p>
            <w:pPr>
              <w:pStyle w:val="BodyX"/>
            </w:pPr>
            <w:r>
              <w:t>Output</w:t>
            </w:r>
          </w:p>
        </w:tc>
        <w:tc>
          <w:tcPr>
            <w:tcW w:type="dxa" w:w="1987"/>
            <w:shd w:fill="D8E7F3"/>
          </w:tcPr>
          <w:p>
            <w:pPr>
              <w:pStyle w:val="BodyX"/>
            </w:pPr>
            <w:r>
              <w:t>Field</w:t>
            </w:r>
          </w:p>
        </w:tc>
        <w:tc>
          <w:tcPr>
            <w:tcW w:type="dxa" w:w="1987"/>
            <w:shd w:fill="D8E7F3"/>
          </w:tcPr>
          <w:p>
            <w:pPr>
              <w:pStyle w:val="BodyX"/>
            </w:pPr>
            <w:r>
              <w:t>Range</w:t>
            </w:r>
          </w:p>
        </w:tc>
        <w:tc>
          <w:tcPr>
            <w:tcW w:type="dxa" w:w="1987"/>
            <w:shd w:fill="D8E7F3"/>
          </w:tcPr>
          <w:p>
            <w:pPr>
              <w:pStyle w:val="BodyX"/>
            </w:pPr>
            <w:r>
              <w:t>Refresh trigger</w:t>
            </w:r>
          </w:p>
        </w:tc>
        <w:tc>
          <w:tcPr>
            <w:tcW w:type="dxa" w:w="1987"/>
            <w:shd w:fill="D8E7F3"/>
          </w:tcPr>
          <w:p>
            <w:pPr>
              <w:pStyle w:val="BodyX"/>
            </w:pPr>
            <w:r>
              <w:t>Visible to users?</w:t>
            </w:r>
          </w:p>
        </w:tc>
      </w:tr>
      <w:tr>
        <w:tc>
          <w:tcPr>
            <w:tcW w:type="dxa" w:w="1987"/>
            <w:tcMar>
              <w:top w:w="90" w:type="dxa"/>
              <w:start w:w="90" w:type="dxa"/>
              <w:bottom w:w="90" w:type="dxa"/>
              <w:end w:w="90" w:type="dxa"/>
            </w:tcMar>
          </w:tcPr>
          <w:p>
            <w:pPr>
              <w:pStyle w:val="BodyX"/>
            </w:pPr>
            <w:r>
              <w:t>Pair stability outlook</w:t>
            </w:r>
          </w:p>
        </w:tc>
        <w:tc>
          <w:tcPr>
            <w:tcW w:type="dxa" w:w="1987"/>
            <w:tcMar>
              <w:top w:w="90" w:type="dxa"/>
              <w:start w:w="90" w:type="dxa"/>
              <w:bottom w:w="90" w:type="dxa"/>
              <w:end w:w="90" w:type="dxa"/>
            </w:tcMar>
          </w:tcPr>
          <w:p>
            <w:pPr>
              <w:pStyle w:val="BodyX"/>
            </w:pPr>
            <w:r>
              <w:t>forecast_pair_stability</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New pair event, compatibility refresh, drift state change</w:t>
            </w:r>
          </w:p>
        </w:tc>
        <w:tc>
          <w:tcPr>
            <w:tcW w:type="dxa" w:w="1987"/>
            <w:tcMar>
              <w:top w:w="90" w:type="dxa"/>
              <w:start w:w="90" w:type="dxa"/>
              <w:bottom w:w="90" w:type="dxa"/>
              <w:end w:w="90" w:type="dxa"/>
            </w:tcMar>
          </w:tcPr>
          <w:p>
            <w:pPr>
              <w:pStyle w:val="BodyX"/>
            </w:pPr>
            <w:r>
              <w:t>Yes, if confidence allows</w:t>
            </w:r>
          </w:p>
        </w:tc>
      </w:tr>
      <w:tr>
        <w:tc>
          <w:tcPr>
            <w:tcW w:type="dxa" w:w="1987"/>
            <w:tcMar>
              <w:top w:w="90" w:type="dxa"/>
              <w:start w:w="90" w:type="dxa"/>
              <w:bottom w:w="90" w:type="dxa"/>
              <w:end w:w="90" w:type="dxa"/>
            </w:tcMar>
          </w:tcPr>
          <w:p>
            <w:pPr>
              <w:pStyle w:val="BodyX"/>
            </w:pPr>
            <w:r>
              <w:t>Rupture risk 30d</w:t>
            </w:r>
          </w:p>
        </w:tc>
        <w:tc>
          <w:tcPr>
            <w:tcW w:type="dxa" w:w="1987"/>
            <w:tcMar>
              <w:top w:w="90" w:type="dxa"/>
              <w:start w:w="90" w:type="dxa"/>
              <w:bottom w:w="90" w:type="dxa"/>
              <w:end w:w="90" w:type="dxa"/>
            </w:tcMar>
          </w:tcPr>
          <w:p>
            <w:pPr>
              <w:pStyle w:val="BodyX"/>
            </w:pPr>
            <w:r>
              <w:t>forecast_rupture_risk_30d</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Tension / escalation / repair events</w:t>
            </w:r>
          </w:p>
        </w:tc>
        <w:tc>
          <w:tcPr>
            <w:tcW w:type="dxa" w:w="1987"/>
            <w:tcMar>
              <w:top w:w="90" w:type="dxa"/>
              <w:start w:w="90" w:type="dxa"/>
              <w:bottom w:w="90" w:type="dxa"/>
              <w:end w:w="90" w:type="dxa"/>
            </w:tcMar>
          </w:tcPr>
          <w:p>
            <w:pPr>
              <w:pStyle w:val="BodyX"/>
            </w:pPr>
            <w:r>
              <w:t>Usually banded</w:t>
            </w:r>
          </w:p>
        </w:tc>
      </w:tr>
      <w:tr>
        <w:tc>
          <w:tcPr>
            <w:tcW w:type="dxa" w:w="1987"/>
            <w:tcMar>
              <w:top w:w="90" w:type="dxa"/>
              <w:start w:w="90" w:type="dxa"/>
              <w:bottom w:w="90" w:type="dxa"/>
              <w:end w:w="90" w:type="dxa"/>
            </w:tcMar>
          </w:tcPr>
          <w:p>
            <w:pPr>
              <w:pStyle w:val="BodyX"/>
            </w:pPr>
            <w:r>
              <w:t>Repair capacity</w:t>
            </w:r>
          </w:p>
        </w:tc>
        <w:tc>
          <w:tcPr>
            <w:tcW w:type="dxa" w:w="1987"/>
            <w:tcMar>
              <w:top w:w="90" w:type="dxa"/>
              <w:start w:w="90" w:type="dxa"/>
              <w:bottom w:w="90" w:type="dxa"/>
              <w:end w:w="90" w:type="dxa"/>
            </w:tcMar>
          </w:tcPr>
          <w:p>
            <w:pPr>
              <w:pStyle w:val="BodyX"/>
            </w:pPr>
            <w:r>
              <w:t>forecast_repair_capacity</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Repair attempts, apology behavior, post-rupture actions</w:t>
            </w:r>
          </w:p>
        </w:tc>
        <w:tc>
          <w:tcPr>
            <w:tcW w:type="dxa" w:w="1987"/>
            <w:tcMar>
              <w:top w:w="90" w:type="dxa"/>
              <w:start w:w="90" w:type="dxa"/>
              <w:bottom w:w="90" w:type="dxa"/>
              <w:end w:w="90" w:type="dxa"/>
            </w:tcMar>
          </w:tcPr>
          <w:p>
            <w:pPr>
              <w:pStyle w:val="BodyX"/>
            </w:pPr>
            <w:r>
              <w:t>Yes, if confidence allows</w:t>
            </w:r>
          </w:p>
        </w:tc>
      </w:tr>
      <w:tr>
        <w:tc>
          <w:tcPr>
            <w:tcW w:type="dxa" w:w="1987"/>
            <w:tcMar>
              <w:top w:w="90" w:type="dxa"/>
              <w:start w:w="90" w:type="dxa"/>
              <w:bottom w:w="90" w:type="dxa"/>
              <w:end w:w="90" w:type="dxa"/>
            </w:tcMar>
          </w:tcPr>
          <w:p>
            <w:pPr>
              <w:pStyle w:val="BodyX"/>
            </w:pPr>
            <w:r>
              <w:t>Reciprocity health</w:t>
            </w:r>
          </w:p>
        </w:tc>
        <w:tc>
          <w:tcPr>
            <w:tcW w:type="dxa" w:w="1987"/>
            <w:tcMar>
              <w:top w:w="90" w:type="dxa"/>
              <w:start w:w="90" w:type="dxa"/>
              <w:bottom w:w="90" w:type="dxa"/>
              <w:end w:w="90" w:type="dxa"/>
            </w:tcMar>
          </w:tcPr>
          <w:p>
            <w:pPr>
              <w:pStyle w:val="BodyX"/>
            </w:pPr>
            <w:r>
              <w:t>forecast_reciprocity_health</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Messaging / response / effort balance updates</w:t>
            </w:r>
          </w:p>
        </w:tc>
        <w:tc>
          <w:tcPr>
            <w:tcW w:type="dxa" w:w="1987"/>
            <w:tcMar>
              <w:top w:w="90" w:type="dxa"/>
              <w:start w:w="90" w:type="dxa"/>
              <w:bottom w:w="90" w:type="dxa"/>
              <w:end w:w="90" w:type="dxa"/>
            </w:tcMar>
          </w:tcPr>
          <w:p>
            <w:pPr>
              <w:pStyle w:val="BodyX"/>
            </w:pPr>
            <w:r>
              <w:t>Yes, if confidence allows</w:t>
            </w:r>
          </w:p>
        </w:tc>
      </w:tr>
      <w:tr>
        <w:tc>
          <w:tcPr>
            <w:tcW w:type="dxa" w:w="1987"/>
            <w:tcMar>
              <w:top w:w="90" w:type="dxa"/>
              <w:start w:w="90" w:type="dxa"/>
              <w:bottom w:w="90" w:type="dxa"/>
              <w:end w:w="90" w:type="dxa"/>
            </w:tcMar>
          </w:tcPr>
          <w:p>
            <w:pPr>
              <w:pStyle w:val="BodyX"/>
            </w:pPr>
            <w:r>
              <w:t>Pacing alignment</w:t>
            </w:r>
          </w:p>
        </w:tc>
        <w:tc>
          <w:tcPr>
            <w:tcW w:type="dxa" w:w="1987"/>
            <w:tcMar>
              <w:top w:w="90" w:type="dxa"/>
              <w:start w:w="90" w:type="dxa"/>
              <w:bottom w:w="90" w:type="dxa"/>
              <w:end w:w="90" w:type="dxa"/>
            </w:tcMar>
          </w:tcPr>
          <w:p>
            <w:pPr>
              <w:pStyle w:val="BodyX"/>
            </w:pPr>
            <w:r>
              <w:t>forecast_pacing_alignment</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Intentions, cadence, mismatch events, ask / avoid patterns</w:t>
            </w:r>
          </w:p>
        </w:tc>
        <w:tc>
          <w:tcPr>
            <w:tcW w:type="dxa" w:w="1987"/>
            <w:tcMar>
              <w:top w:w="90" w:type="dxa"/>
              <w:start w:w="90" w:type="dxa"/>
              <w:bottom w:w="90" w:type="dxa"/>
              <w:end w:w="90" w:type="dxa"/>
            </w:tcMar>
          </w:tcPr>
          <w:p>
            <w:pPr>
              <w:pStyle w:val="BodyX"/>
            </w:pPr>
            <w:r>
              <w:t>Yes, if confidence allows</w:t>
            </w:r>
          </w:p>
        </w:tc>
      </w:tr>
      <w:tr>
        <w:tc>
          <w:tcPr>
            <w:tcW w:type="dxa" w:w="1987"/>
            <w:tcMar>
              <w:top w:w="90" w:type="dxa"/>
              <w:start w:w="90" w:type="dxa"/>
              <w:bottom w:w="90" w:type="dxa"/>
              <w:end w:w="90" w:type="dxa"/>
            </w:tcMar>
          </w:tcPr>
          <w:p>
            <w:pPr>
              <w:pStyle w:val="BodyX"/>
            </w:pPr>
            <w:r>
              <w:t>Shadow pressure index</w:t>
            </w:r>
          </w:p>
        </w:tc>
        <w:tc>
          <w:tcPr>
            <w:tcW w:type="dxa" w:w="1987"/>
            <w:tcMar>
              <w:top w:w="90" w:type="dxa"/>
              <w:start w:w="90" w:type="dxa"/>
              <w:bottom w:w="90" w:type="dxa"/>
              <w:end w:w="90" w:type="dxa"/>
            </w:tcMar>
          </w:tcPr>
          <w:p>
            <w:pPr>
              <w:pStyle w:val="BodyX"/>
            </w:pPr>
            <w:r>
              <w:t>forecast_shadow_pressure</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Shadow activation / persistence refresh</w:t>
            </w:r>
          </w:p>
        </w:tc>
        <w:tc>
          <w:tcPr>
            <w:tcW w:type="dxa" w:w="1987"/>
            <w:tcMar>
              <w:top w:w="90" w:type="dxa"/>
              <w:start w:w="90" w:type="dxa"/>
              <w:bottom w:w="90" w:type="dxa"/>
              <w:end w:w="90" w:type="dxa"/>
            </w:tcMar>
          </w:tcPr>
          <w:p>
            <w:pPr>
              <w:pStyle w:val="BodyX"/>
            </w:pPr>
            <w:r>
              <w:t>Internal or soft-explained</w:t>
            </w:r>
          </w:p>
        </w:tc>
      </w:tr>
      <w:tr>
        <w:tc>
          <w:tcPr>
            <w:tcW w:type="dxa" w:w="1987"/>
            <w:tcMar>
              <w:top w:w="90" w:type="dxa"/>
              <w:start w:w="90" w:type="dxa"/>
              <w:bottom w:w="90" w:type="dxa"/>
              <w:end w:w="90" w:type="dxa"/>
            </w:tcMar>
          </w:tcPr>
          <w:p>
            <w:pPr>
              <w:pStyle w:val="BodyX"/>
            </w:pPr>
            <w:r>
              <w:t>Drift pressure index</w:t>
            </w:r>
          </w:p>
        </w:tc>
        <w:tc>
          <w:tcPr>
            <w:tcW w:type="dxa" w:w="1987"/>
            <w:tcMar>
              <w:top w:w="90" w:type="dxa"/>
              <w:start w:w="90" w:type="dxa"/>
              <w:bottom w:w="90" w:type="dxa"/>
              <w:end w:w="90" w:type="dxa"/>
            </w:tcMar>
          </w:tcPr>
          <w:p>
            <w:pPr>
              <w:pStyle w:val="BodyX"/>
            </w:pPr>
            <w:r>
              <w:t>forecast_drift_pressure</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Drift state changes</w:t>
            </w:r>
          </w:p>
        </w:tc>
        <w:tc>
          <w:tcPr>
            <w:tcW w:type="dxa" w:w="1987"/>
            <w:tcMar>
              <w:top w:w="90" w:type="dxa"/>
              <w:start w:w="90" w:type="dxa"/>
              <w:bottom w:w="90" w:type="dxa"/>
              <w:end w:w="90" w:type="dxa"/>
            </w:tcMar>
          </w:tcPr>
          <w:p>
            <w:pPr>
              <w:pStyle w:val="BodyX"/>
            </w:pPr>
            <w:r>
              <w:t>Mostly internal / soft-explained</w:t>
            </w:r>
          </w:p>
        </w:tc>
      </w:tr>
      <w:tr>
        <w:tc>
          <w:tcPr>
            <w:tcW w:type="dxa" w:w="1987"/>
            <w:tcMar>
              <w:top w:w="90" w:type="dxa"/>
              <w:start w:w="90" w:type="dxa"/>
              <w:bottom w:w="90" w:type="dxa"/>
              <w:end w:w="90" w:type="dxa"/>
            </w:tcMar>
          </w:tcPr>
          <w:p>
            <w:pPr>
              <w:pStyle w:val="BodyX"/>
            </w:pPr>
            <w:r>
              <w:t>Forecast confidence</w:t>
            </w:r>
          </w:p>
        </w:tc>
        <w:tc>
          <w:tcPr>
            <w:tcW w:type="dxa" w:w="1987"/>
            <w:tcMar>
              <w:top w:w="90" w:type="dxa"/>
              <w:start w:w="90" w:type="dxa"/>
              <w:bottom w:w="90" w:type="dxa"/>
              <w:end w:w="90" w:type="dxa"/>
            </w:tcMar>
          </w:tcPr>
          <w:p>
            <w:pPr>
              <w:pStyle w:val="BodyX"/>
            </w:pPr>
            <w:r>
              <w:t>forecast_confidence</w:t>
            </w:r>
          </w:p>
        </w:tc>
        <w:tc>
          <w:tcPr>
            <w:tcW w:type="dxa" w:w="1987"/>
            <w:tcMar>
              <w:top w:w="90" w:type="dxa"/>
              <w:start w:w="90" w:type="dxa"/>
              <w:bottom w:w="90" w:type="dxa"/>
              <w:end w:w="90" w:type="dxa"/>
            </w:tcMar>
          </w:tcPr>
          <w:p>
            <w:pPr>
              <w:pStyle w:val="BodyX"/>
            </w:pPr>
            <w:r>
              <w:t>0-100</w:t>
            </w:r>
          </w:p>
        </w:tc>
        <w:tc>
          <w:tcPr>
            <w:tcW w:type="dxa" w:w="1987"/>
            <w:tcMar>
              <w:top w:w="90" w:type="dxa"/>
              <w:start w:w="90" w:type="dxa"/>
              <w:bottom w:w="90" w:type="dxa"/>
              <w:end w:w="90" w:type="dxa"/>
            </w:tcMar>
          </w:tcPr>
          <w:p>
            <w:pPr>
              <w:pStyle w:val="BodyX"/>
            </w:pPr>
            <w:r>
              <w:t>Any forecast recompute</w:t>
            </w:r>
          </w:p>
        </w:tc>
        <w:tc>
          <w:tcPr>
            <w:tcW w:type="dxa" w:w="1987"/>
            <w:tcMar>
              <w:top w:w="90" w:type="dxa"/>
              <w:start w:w="90" w:type="dxa"/>
              <w:bottom w:w="90" w:type="dxa"/>
              <w:end w:w="90" w:type="dxa"/>
            </w:tcMar>
          </w:tcPr>
          <w:p>
            <w:pPr>
              <w:pStyle w:val="BodyX"/>
            </w:pPr>
            <w:r>
              <w:t>Always required, not always shown</w:t>
            </w:r>
          </w:p>
        </w:tc>
      </w:tr>
    </w:tbl>
    <w:p>
      <w:pPr>
        <w:pStyle w:val="H2X"/>
      </w:pPr>
      <w:r>
        <w:t>B3. Normalized source families</w:t>
      </w:r>
    </w:p>
    <w:p>
      <w:pPr>
        <w:pStyle w:val="CodeX"/>
      </w:pPr>
      <w:r>
        <w:t>compat_norm = clamp((compatibility_score - 350) / 500, 0.00, 1.00)</w:t>
      </w:r>
    </w:p>
    <w:p>
      <w:pPr>
        <w:pStyle w:val="CodeX"/>
      </w:pPr>
      <w:r>
        <w:t>pair_rhythm_norm = normalized pair rhythm from cadence, reciprocity, and mutual continuation patterns</w:t>
      </w:r>
    </w:p>
    <w:p>
      <w:pPr>
        <w:pStyle w:val="CodeX"/>
      </w:pPr>
      <w:r>
        <w:t>repair_norm = normalized repair capacity from apology quality, follow-through, and post-conflict recovery</w:t>
      </w:r>
    </w:p>
    <w:p>
      <w:pPr>
        <w:pStyle w:val="CodeX"/>
      </w:pPr>
      <w:r>
        <w:t>conflict_norm = normalized communication / conflict alignment</w:t>
      </w:r>
    </w:p>
    <w:p>
      <w:pPr>
        <w:pStyle w:val="CodeX"/>
      </w:pPr>
      <w:r>
        <w:t>shadow_load_norm = normalized pair shadow pressure from both users' shadow_effective values and event activations</w:t>
      </w:r>
    </w:p>
    <w:p>
      <w:pPr>
        <w:pStyle w:val="CodeX"/>
      </w:pPr>
      <w:r>
        <w:t>drift_load_norm = normalized pair drift pressure from both users' drift states and eligibility posture</w:t>
      </w:r>
    </w:p>
    <w:p>
      <w:pPr>
        <w:pStyle w:val="CodeX"/>
      </w:pPr>
      <w:r>
        <w:t>acute_pressure_norm = normalized acute disruption pressure from grief / anger / rupture recency</w:t>
      </w:r>
    </w:p>
    <w:p>
      <w:pPr>
        <w:pStyle w:val="H2X"/>
      </w:pPr>
      <w:r>
        <w:t>B4. Pair stability outlook formula</w:t>
      </w:r>
    </w:p>
    <w:p>
      <w:pPr>
        <w:pStyle w:val="CodeX"/>
      </w:pPr>
      <w:r>
        <w:t>pair_stability_base_01 = (0.40 * compat_norm) + (0.20 * pair_rhythm_norm) + (0.20 * repair_norm) + (0.10 * conflict_norm) + (0.10 * reciprocity_norm)</w:t>
      </w:r>
    </w:p>
    <w:p>
      <w:pPr>
        <w:pStyle w:val="CodeX"/>
      </w:pPr>
      <w:r>
        <w:t>pair_stability_penalty_01 = (0.30 * shadow_load_norm) + (0.25 * drift_load_norm) + (0.20 * acute_pressure_norm) + (0.25 * contradiction_load_norm)</w:t>
      </w:r>
    </w:p>
    <w:p>
      <w:pPr>
        <w:pStyle w:val="CodeX"/>
      </w:pPr>
      <w:r>
        <w:t>forecast_pair_stability = round(clamp(pair_stability_base_01 - pair_stability_penalty_01, 0.00, 1.00) * 100)</w:t>
      </w:r>
    </w:p>
    <w:p>
      <w:pPr>
        <w:pStyle w:val="H2X"/>
      </w:pPr>
      <w:r>
        <w:t>B5. Rupture risk 30d formula</w:t>
      </w:r>
    </w:p>
    <w:p>
      <w:pPr>
        <w:pStyle w:val="CodeX"/>
      </w:pPr>
      <w:r>
        <w:t>rupture_risk_base_01 = (0.35 * escalation_rate_30d) + (0.20 * unresolved_tension_density) + (0.15 * low_repair_rate) + (0.15 * shadow_load_norm) + (0.15 * drift_load_norm)</w:t>
      </w:r>
    </w:p>
    <w:p>
      <w:pPr>
        <w:pStyle w:val="CodeX"/>
      </w:pPr>
      <w:r>
        <w:t>forecast_rupture_risk_30d = round(clamp(rupture_risk_base_01, 0.00, 1.00) * 100)</w:t>
      </w:r>
    </w:p>
    <w:p>
      <w:pPr>
        <w:pStyle w:val="H2X"/>
      </w:pPr>
      <w:r>
        <w:t>B6. Repair capacity formula</w:t>
      </w:r>
    </w:p>
    <w:p>
      <w:pPr>
        <w:pStyle w:val="CodeX"/>
      </w:pPr>
      <w:r>
        <w:t>repair_capacity_01 = (0.40 * repair_success_rate) + (0.20 * apology_follow_through) + (0.15 * reduced_latency_norm) + (0.15 * mutual_repair_participation) + (0.10 * reflection_completion_pair)</w:t>
      </w:r>
    </w:p>
    <w:p>
      <w:pPr>
        <w:pStyle w:val="CodeX"/>
      </w:pPr>
      <w:r>
        <w:t>forecast_repair_capacity = round(clamp(repair_capacity_01, 0.00, 1.00) * 100)</w:t>
      </w:r>
    </w:p>
    <w:p>
      <w:pPr>
        <w:pStyle w:val="H2X"/>
      </w:pPr>
      <w:r>
        <w:t>B7. Reciprocity and pacing formulas</w:t>
      </w:r>
    </w:p>
    <w:p>
      <w:pPr>
        <w:pStyle w:val="CodeX"/>
      </w:pPr>
      <w:r>
        <w:t>reciprocity_health_01 = (0.45 * mutual_initiation_balance) + (0.25 * response_reciprocity) + (0.15 * effort_balance) + (0.15 * conversation_continuity)</w:t>
      </w:r>
    </w:p>
    <w:p>
      <w:pPr>
        <w:pStyle w:val="CodeX"/>
      </w:pPr>
      <w:r>
        <w:t>pacing_alignment_01 = (0.40 * intention_alignment) + (0.25 * cadence_alignment) + (0.20 * exclusivity_or_depth_alignment) + (0.15 * pressure_mismatch_inverse)</w:t>
      </w:r>
    </w:p>
    <w:p>
      <w:pPr>
        <w:pStyle w:val="CodeX"/>
      </w:pPr>
      <w:r>
        <w:t>forecast_reciprocity_health = round(clamp(reciprocity_health_01, 0.00, 1.00) * 100)</w:t>
      </w:r>
    </w:p>
    <w:p>
      <w:pPr>
        <w:pStyle w:val="CodeX"/>
      </w:pPr>
      <w:r>
        <w:t>forecast_pacing_alignment = round(clamp(pacing_alignment_01, 0.00, 1.00) * 100)</w:t>
      </w:r>
    </w:p>
    <w:p>
      <w:pPr>
        <w:pStyle w:val="H2X"/>
      </w:pPr>
      <w:r>
        <w:t>B8. Confidence and visibility</w:t>
      </w:r>
    </w:p>
    <w:p>
      <w:pPr>
        <w:pStyle w:val="CodeX"/>
      </w:pPr>
      <w:r>
        <w:t>forecast_confidence_01 = (0.35 * pair_event_depth) + (0.20 * recency_quality) + (0.20 * cross-signal_agreement) + (0.15 * duration_coverage) + (0.10 * evidence_diversity)</w:t>
      </w:r>
    </w:p>
    <w:p>
      <w:pPr>
        <w:pStyle w:val="CodeX"/>
      </w:pPr>
      <w:r>
        <w:t>forecast_confidence = round(clamp(forecast_confidence_01, 0.00, 1.00) * 100)</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F1E3D3"/>
          </w:tcPr>
          <w:p>
            <w:pPr>
              <w:pStyle w:val="BodyX"/>
            </w:pPr>
            <w:r>
              <w:t>Confidence</w:t>
            </w:r>
          </w:p>
        </w:tc>
        <w:tc>
          <w:tcPr>
            <w:tcW w:type="dxa" w:w="2484"/>
            <w:shd w:fill="F1E3D3"/>
          </w:tcPr>
          <w:p>
            <w:pPr>
              <w:pStyle w:val="BodyX"/>
            </w:pPr>
            <w:r>
              <w:t>Display posture</w:t>
            </w:r>
          </w:p>
        </w:tc>
        <w:tc>
          <w:tcPr>
            <w:tcW w:type="dxa" w:w="2484"/>
            <w:shd w:fill="F1E3D3"/>
          </w:tcPr>
          <w:p>
            <w:pPr>
              <w:pStyle w:val="BodyX"/>
            </w:pPr>
            <w:r>
              <w:t>User view</w:t>
            </w:r>
          </w:p>
        </w:tc>
        <w:tc>
          <w:tcPr>
            <w:tcW w:type="dxa" w:w="2484"/>
            <w:shd w:fill="F1E3D3"/>
          </w:tcPr>
          <w:p>
            <w:pPr>
              <w:pStyle w:val="BodyX"/>
            </w:pPr>
            <w:r>
              <w:t>Internal use</w:t>
            </w:r>
          </w:p>
        </w:tc>
      </w:tr>
      <w:tr>
        <w:tc>
          <w:tcPr>
            <w:tcW w:type="dxa" w:w="2484"/>
            <w:tcMar>
              <w:top w:w="90" w:type="dxa"/>
              <w:start w:w="90" w:type="dxa"/>
              <w:bottom w:w="90" w:type="dxa"/>
              <w:end w:w="90" w:type="dxa"/>
            </w:tcMar>
          </w:tcPr>
          <w:p>
            <w:pPr>
              <w:pStyle w:val="BodyX"/>
            </w:pPr>
            <w:r>
              <w:t>0-49</w:t>
            </w:r>
          </w:p>
        </w:tc>
        <w:tc>
          <w:tcPr>
            <w:tcW w:type="dxa" w:w="2484"/>
            <w:tcMar>
              <w:top w:w="90" w:type="dxa"/>
              <w:start w:w="90" w:type="dxa"/>
              <w:bottom w:w="90" w:type="dxa"/>
              <w:end w:w="90" w:type="dxa"/>
            </w:tcMar>
          </w:tcPr>
          <w:p>
            <w:pPr>
              <w:pStyle w:val="BodyX"/>
            </w:pPr>
            <w:r>
              <w:t>Suppressed</w:t>
            </w:r>
          </w:p>
        </w:tc>
        <w:tc>
          <w:tcPr>
            <w:tcW w:type="dxa" w:w="2484"/>
            <w:tcMar>
              <w:top w:w="90" w:type="dxa"/>
              <w:start w:w="90" w:type="dxa"/>
              <w:bottom w:w="90" w:type="dxa"/>
              <w:end w:w="90" w:type="dxa"/>
            </w:tcMar>
          </w:tcPr>
          <w:p>
            <w:pPr>
              <w:pStyle w:val="BodyX"/>
            </w:pPr>
            <w:r>
              <w:t>No forecast number. Use 'not enough shared evidence yet.'</w:t>
            </w:r>
          </w:p>
        </w:tc>
        <w:tc>
          <w:tcPr>
            <w:tcW w:type="dxa" w:w="2484"/>
            <w:tcMar>
              <w:top w:w="90" w:type="dxa"/>
              <w:start w:w="90" w:type="dxa"/>
              <w:bottom w:w="90" w:type="dxa"/>
              <w:end w:w="90" w:type="dxa"/>
            </w:tcMar>
          </w:tcPr>
          <w:p>
            <w:pPr>
              <w:pStyle w:val="BodyX"/>
            </w:pPr>
            <w:r>
              <w:t>Allowed for internal QA only.</w:t>
            </w:r>
          </w:p>
        </w:tc>
      </w:tr>
      <w:tr>
        <w:tc>
          <w:tcPr>
            <w:tcW w:type="dxa" w:w="2484"/>
            <w:tcMar>
              <w:top w:w="90" w:type="dxa"/>
              <w:start w:w="90" w:type="dxa"/>
              <w:bottom w:w="90" w:type="dxa"/>
              <w:end w:w="90" w:type="dxa"/>
            </w:tcMar>
          </w:tcPr>
          <w:p>
            <w:pPr>
              <w:pStyle w:val="BodyX"/>
            </w:pPr>
            <w:r>
              <w:t>50-64</w:t>
            </w:r>
          </w:p>
        </w:tc>
        <w:tc>
          <w:tcPr>
            <w:tcW w:type="dxa" w:w="2484"/>
            <w:tcMar>
              <w:top w:w="90" w:type="dxa"/>
              <w:start w:w="90" w:type="dxa"/>
              <w:bottom w:w="90" w:type="dxa"/>
              <w:end w:w="90" w:type="dxa"/>
            </w:tcMar>
          </w:tcPr>
          <w:p>
            <w:pPr>
              <w:pStyle w:val="BodyX"/>
            </w:pPr>
            <w:r>
              <w:t>Guarded</w:t>
            </w:r>
          </w:p>
        </w:tc>
        <w:tc>
          <w:tcPr>
            <w:tcW w:type="dxa" w:w="2484"/>
            <w:tcMar>
              <w:top w:w="90" w:type="dxa"/>
              <w:start w:w="90" w:type="dxa"/>
              <w:bottom w:w="90" w:type="dxa"/>
              <w:end w:w="90" w:type="dxa"/>
            </w:tcMar>
          </w:tcPr>
          <w:p>
            <w:pPr>
              <w:pStyle w:val="BodyX"/>
            </w:pPr>
            <w:r>
              <w:t>Only soft labels and guidance, no raw risk number.</w:t>
            </w:r>
          </w:p>
        </w:tc>
        <w:tc>
          <w:tcPr>
            <w:tcW w:type="dxa" w:w="2484"/>
            <w:tcMar>
              <w:top w:w="90" w:type="dxa"/>
              <w:start w:w="90" w:type="dxa"/>
              <w:bottom w:w="90" w:type="dxa"/>
              <w:end w:w="90" w:type="dxa"/>
            </w:tcMar>
          </w:tcPr>
          <w:p>
            <w:pPr>
              <w:pStyle w:val="BodyX"/>
            </w:pPr>
            <w:r>
              <w:t>Allowed for routing and interventions.</w:t>
            </w:r>
          </w:p>
        </w:tc>
      </w:tr>
      <w:tr>
        <w:tc>
          <w:tcPr>
            <w:tcW w:type="dxa" w:w="2484"/>
            <w:tcMar>
              <w:top w:w="90" w:type="dxa"/>
              <w:start w:w="90" w:type="dxa"/>
              <w:bottom w:w="90" w:type="dxa"/>
              <w:end w:w="90" w:type="dxa"/>
            </w:tcMar>
          </w:tcPr>
          <w:p>
            <w:pPr>
              <w:pStyle w:val="BodyX"/>
            </w:pPr>
            <w:r>
              <w:t>65-79</w:t>
            </w:r>
          </w:p>
        </w:tc>
        <w:tc>
          <w:tcPr>
            <w:tcW w:type="dxa" w:w="2484"/>
            <w:tcMar>
              <w:top w:w="90" w:type="dxa"/>
              <w:start w:w="90" w:type="dxa"/>
              <w:bottom w:w="90" w:type="dxa"/>
              <w:end w:w="90" w:type="dxa"/>
            </w:tcMar>
          </w:tcPr>
          <w:p>
            <w:pPr>
              <w:pStyle w:val="BodyX"/>
            </w:pPr>
            <w:r>
              <w:t>Visible</w:t>
            </w:r>
          </w:p>
        </w:tc>
        <w:tc>
          <w:tcPr>
            <w:tcW w:type="dxa" w:w="2484"/>
            <w:tcMar>
              <w:top w:w="90" w:type="dxa"/>
              <w:start w:w="90" w:type="dxa"/>
              <w:bottom w:w="90" w:type="dxa"/>
              <w:end w:w="90" w:type="dxa"/>
            </w:tcMar>
          </w:tcPr>
          <w:p>
            <w:pPr>
              <w:pStyle w:val="BodyX"/>
            </w:pPr>
            <w:r>
              <w:t>Rounded outputs and short explanation.</w:t>
            </w:r>
          </w:p>
        </w:tc>
        <w:tc>
          <w:tcPr>
            <w:tcW w:type="dxa" w:w="2484"/>
            <w:tcMar>
              <w:top w:w="90" w:type="dxa"/>
              <w:start w:w="90" w:type="dxa"/>
              <w:bottom w:w="90" w:type="dxa"/>
              <w:end w:w="90" w:type="dxa"/>
            </w:tcMar>
          </w:tcPr>
          <w:p>
            <w:pPr>
              <w:pStyle w:val="BodyX"/>
            </w:pPr>
            <w:r>
              <w:t>Allowed.</w:t>
            </w:r>
          </w:p>
        </w:tc>
      </w:tr>
      <w:tr>
        <w:tc>
          <w:tcPr>
            <w:tcW w:type="dxa" w:w="2484"/>
            <w:tcMar>
              <w:top w:w="90" w:type="dxa"/>
              <w:start w:w="90" w:type="dxa"/>
              <w:bottom w:w="90" w:type="dxa"/>
              <w:end w:w="90" w:type="dxa"/>
            </w:tcMar>
          </w:tcPr>
          <w:p>
            <w:pPr>
              <w:pStyle w:val="BodyX"/>
            </w:pPr>
            <w:r>
              <w:t>80-100</w:t>
            </w:r>
          </w:p>
        </w:tc>
        <w:tc>
          <w:tcPr>
            <w:tcW w:type="dxa" w:w="2484"/>
            <w:tcMar>
              <w:top w:w="90" w:type="dxa"/>
              <w:start w:w="90" w:type="dxa"/>
              <w:bottom w:w="90" w:type="dxa"/>
              <w:end w:w="90" w:type="dxa"/>
            </w:tcMar>
          </w:tcPr>
          <w:p>
            <w:pPr>
              <w:pStyle w:val="BodyX"/>
            </w:pPr>
            <w:r>
              <w:t>Expanded</w:t>
            </w:r>
          </w:p>
        </w:tc>
        <w:tc>
          <w:tcPr>
            <w:tcW w:type="dxa" w:w="2484"/>
            <w:tcMar>
              <w:top w:w="90" w:type="dxa"/>
              <w:start w:w="90" w:type="dxa"/>
              <w:bottom w:w="90" w:type="dxa"/>
              <w:end w:w="90" w:type="dxa"/>
            </w:tcMar>
          </w:tcPr>
          <w:p>
            <w:pPr>
              <w:pStyle w:val="BodyX"/>
            </w:pPr>
            <w:r>
              <w:t>Rounded outputs plus deeper relational insight.</w:t>
            </w:r>
          </w:p>
        </w:tc>
        <w:tc>
          <w:tcPr>
            <w:tcW w:type="dxa" w:w="2484"/>
            <w:tcMar>
              <w:top w:w="90" w:type="dxa"/>
              <w:start w:w="90" w:type="dxa"/>
              <w:bottom w:w="90" w:type="dxa"/>
              <w:end w:w="90" w:type="dxa"/>
            </w:tcMar>
          </w:tcPr>
          <w:p>
            <w:pPr>
              <w:pStyle w:val="BodyX"/>
            </w:pPr>
            <w:r>
              <w:t>Allowed.</w:t>
            </w:r>
          </w:p>
        </w:tc>
      </w:tr>
    </w:tbl>
    <w:p>
      <w:pPr>
        <w:pStyle w:val="H2X"/>
      </w:pPr>
      <w:r>
        <w:t>B9. Output thresholds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8F0E7"/>
          </w:tcPr>
          <w:p>
            <w:pPr>
              <w:pStyle w:val="BodyX"/>
            </w:pPr>
            <w:r>
              <w:t>Metric</w:t>
            </w:r>
          </w:p>
        </w:tc>
        <w:tc>
          <w:tcPr>
            <w:tcW w:type="dxa" w:w="2484"/>
            <w:shd w:fill="E8F0E7"/>
          </w:tcPr>
          <w:p>
            <w:pPr>
              <w:pStyle w:val="BodyX"/>
            </w:pPr>
            <w:r>
              <w:t>Strong</w:t>
            </w:r>
          </w:p>
        </w:tc>
        <w:tc>
          <w:tcPr>
            <w:tcW w:type="dxa" w:w="2484"/>
            <w:shd w:fill="E8F0E7"/>
          </w:tcPr>
          <w:p>
            <w:pPr>
              <w:pStyle w:val="BodyX"/>
            </w:pPr>
            <w:r>
              <w:t>Guarded</w:t>
            </w:r>
          </w:p>
        </w:tc>
        <w:tc>
          <w:tcPr>
            <w:tcW w:type="dxa" w:w="2484"/>
            <w:shd w:fill="E8F0E7"/>
          </w:tcPr>
          <w:p>
            <w:pPr>
              <w:pStyle w:val="BodyX"/>
            </w:pPr>
            <w:r>
              <w:t>Risk zone</w:t>
            </w:r>
          </w:p>
        </w:tc>
      </w:tr>
      <w:tr>
        <w:tc>
          <w:tcPr>
            <w:tcW w:type="dxa" w:w="2484"/>
            <w:tcMar>
              <w:top w:w="90" w:type="dxa"/>
              <w:start w:w="90" w:type="dxa"/>
              <w:bottom w:w="90" w:type="dxa"/>
              <w:end w:w="90" w:type="dxa"/>
            </w:tcMar>
          </w:tcPr>
          <w:p>
            <w:pPr>
              <w:pStyle w:val="BodyX"/>
            </w:pPr>
            <w:r>
              <w:t>Pair stability outlook</w:t>
            </w:r>
          </w:p>
        </w:tc>
        <w:tc>
          <w:tcPr>
            <w:tcW w:type="dxa" w:w="2484"/>
            <w:tcMar>
              <w:top w:w="90" w:type="dxa"/>
              <w:start w:w="90" w:type="dxa"/>
              <w:bottom w:w="90" w:type="dxa"/>
              <w:end w:w="90" w:type="dxa"/>
            </w:tcMar>
          </w:tcPr>
          <w:p>
            <w:pPr>
              <w:pStyle w:val="BodyX"/>
            </w:pPr>
            <w:r>
              <w:t>70-100</w:t>
            </w:r>
          </w:p>
        </w:tc>
        <w:tc>
          <w:tcPr>
            <w:tcW w:type="dxa" w:w="2484"/>
            <w:tcMar>
              <w:top w:w="90" w:type="dxa"/>
              <w:start w:w="90" w:type="dxa"/>
              <w:bottom w:w="90" w:type="dxa"/>
              <w:end w:w="90" w:type="dxa"/>
            </w:tcMar>
          </w:tcPr>
          <w:p>
            <w:pPr>
              <w:pStyle w:val="BodyX"/>
            </w:pPr>
            <w:r>
              <w:t>55-69</w:t>
            </w:r>
          </w:p>
        </w:tc>
        <w:tc>
          <w:tcPr>
            <w:tcW w:type="dxa" w:w="2484"/>
            <w:tcMar>
              <w:top w:w="90" w:type="dxa"/>
              <w:start w:w="90" w:type="dxa"/>
              <w:bottom w:w="90" w:type="dxa"/>
              <w:end w:w="90" w:type="dxa"/>
            </w:tcMar>
          </w:tcPr>
          <w:p>
            <w:pPr>
              <w:pStyle w:val="BodyX"/>
            </w:pPr>
            <w:r>
              <w:t>0-54</w:t>
            </w:r>
          </w:p>
        </w:tc>
      </w:tr>
      <w:tr>
        <w:tc>
          <w:tcPr>
            <w:tcW w:type="dxa" w:w="2484"/>
            <w:tcMar>
              <w:top w:w="90" w:type="dxa"/>
              <w:start w:w="90" w:type="dxa"/>
              <w:bottom w:w="90" w:type="dxa"/>
              <w:end w:w="90" w:type="dxa"/>
            </w:tcMar>
          </w:tcPr>
          <w:p>
            <w:pPr>
              <w:pStyle w:val="BodyX"/>
            </w:pPr>
            <w:r>
              <w:t>Repair capacity</w:t>
            </w:r>
          </w:p>
        </w:tc>
        <w:tc>
          <w:tcPr>
            <w:tcW w:type="dxa" w:w="2484"/>
            <w:tcMar>
              <w:top w:w="90" w:type="dxa"/>
              <w:start w:w="90" w:type="dxa"/>
              <w:bottom w:w="90" w:type="dxa"/>
              <w:end w:w="90" w:type="dxa"/>
            </w:tcMar>
          </w:tcPr>
          <w:p>
            <w:pPr>
              <w:pStyle w:val="BodyX"/>
            </w:pPr>
            <w:r>
              <w:t>70-100</w:t>
            </w:r>
          </w:p>
        </w:tc>
        <w:tc>
          <w:tcPr>
            <w:tcW w:type="dxa" w:w="2484"/>
            <w:tcMar>
              <w:top w:w="90" w:type="dxa"/>
              <w:start w:w="90" w:type="dxa"/>
              <w:bottom w:w="90" w:type="dxa"/>
              <w:end w:w="90" w:type="dxa"/>
            </w:tcMar>
          </w:tcPr>
          <w:p>
            <w:pPr>
              <w:pStyle w:val="BodyX"/>
            </w:pPr>
            <w:r>
              <w:t>55-69</w:t>
            </w:r>
          </w:p>
        </w:tc>
        <w:tc>
          <w:tcPr>
            <w:tcW w:type="dxa" w:w="2484"/>
            <w:tcMar>
              <w:top w:w="90" w:type="dxa"/>
              <w:start w:w="90" w:type="dxa"/>
              <w:bottom w:w="90" w:type="dxa"/>
              <w:end w:w="90" w:type="dxa"/>
            </w:tcMar>
          </w:tcPr>
          <w:p>
            <w:pPr>
              <w:pStyle w:val="BodyX"/>
            </w:pPr>
            <w:r>
              <w:t>0-54</w:t>
            </w:r>
          </w:p>
        </w:tc>
      </w:tr>
      <w:tr>
        <w:tc>
          <w:tcPr>
            <w:tcW w:type="dxa" w:w="2484"/>
            <w:tcMar>
              <w:top w:w="90" w:type="dxa"/>
              <w:start w:w="90" w:type="dxa"/>
              <w:bottom w:w="90" w:type="dxa"/>
              <w:end w:w="90" w:type="dxa"/>
            </w:tcMar>
          </w:tcPr>
          <w:p>
            <w:pPr>
              <w:pStyle w:val="BodyX"/>
            </w:pPr>
            <w:r>
              <w:t>Reciprocity health</w:t>
            </w:r>
          </w:p>
        </w:tc>
        <w:tc>
          <w:tcPr>
            <w:tcW w:type="dxa" w:w="2484"/>
            <w:tcMar>
              <w:top w:w="90" w:type="dxa"/>
              <w:start w:w="90" w:type="dxa"/>
              <w:bottom w:w="90" w:type="dxa"/>
              <w:end w:w="90" w:type="dxa"/>
            </w:tcMar>
          </w:tcPr>
          <w:p>
            <w:pPr>
              <w:pStyle w:val="BodyX"/>
            </w:pPr>
            <w:r>
              <w:t>70-100</w:t>
            </w:r>
          </w:p>
        </w:tc>
        <w:tc>
          <w:tcPr>
            <w:tcW w:type="dxa" w:w="2484"/>
            <w:tcMar>
              <w:top w:w="90" w:type="dxa"/>
              <w:start w:w="90" w:type="dxa"/>
              <w:bottom w:w="90" w:type="dxa"/>
              <w:end w:w="90" w:type="dxa"/>
            </w:tcMar>
          </w:tcPr>
          <w:p>
            <w:pPr>
              <w:pStyle w:val="BodyX"/>
            </w:pPr>
            <w:r>
              <w:t>55-69</w:t>
            </w:r>
          </w:p>
        </w:tc>
        <w:tc>
          <w:tcPr>
            <w:tcW w:type="dxa" w:w="2484"/>
            <w:tcMar>
              <w:top w:w="90" w:type="dxa"/>
              <w:start w:w="90" w:type="dxa"/>
              <w:bottom w:w="90" w:type="dxa"/>
              <w:end w:w="90" w:type="dxa"/>
            </w:tcMar>
          </w:tcPr>
          <w:p>
            <w:pPr>
              <w:pStyle w:val="BodyX"/>
            </w:pPr>
            <w:r>
              <w:t>0-54</w:t>
            </w:r>
          </w:p>
        </w:tc>
      </w:tr>
      <w:tr>
        <w:tc>
          <w:tcPr>
            <w:tcW w:type="dxa" w:w="2484"/>
            <w:tcMar>
              <w:top w:w="90" w:type="dxa"/>
              <w:start w:w="90" w:type="dxa"/>
              <w:bottom w:w="90" w:type="dxa"/>
              <w:end w:w="90" w:type="dxa"/>
            </w:tcMar>
          </w:tcPr>
          <w:p>
            <w:pPr>
              <w:pStyle w:val="BodyX"/>
            </w:pPr>
            <w:r>
              <w:t>Pacing alignment</w:t>
            </w:r>
          </w:p>
        </w:tc>
        <w:tc>
          <w:tcPr>
            <w:tcW w:type="dxa" w:w="2484"/>
            <w:tcMar>
              <w:top w:w="90" w:type="dxa"/>
              <w:start w:w="90" w:type="dxa"/>
              <w:bottom w:w="90" w:type="dxa"/>
              <w:end w:w="90" w:type="dxa"/>
            </w:tcMar>
          </w:tcPr>
          <w:p>
            <w:pPr>
              <w:pStyle w:val="BodyX"/>
            </w:pPr>
            <w:r>
              <w:t>70-100</w:t>
            </w:r>
          </w:p>
        </w:tc>
        <w:tc>
          <w:tcPr>
            <w:tcW w:type="dxa" w:w="2484"/>
            <w:tcMar>
              <w:top w:w="90" w:type="dxa"/>
              <w:start w:w="90" w:type="dxa"/>
              <w:bottom w:w="90" w:type="dxa"/>
              <w:end w:w="90" w:type="dxa"/>
            </w:tcMar>
          </w:tcPr>
          <w:p>
            <w:pPr>
              <w:pStyle w:val="BodyX"/>
            </w:pPr>
            <w:r>
              <w:t>55-69</w:t>
            </w:r>
          </w:p>
        </w:tc>
        <w:tc>
          <w:tcPr>
            <w:tcW w:type="dxa" w:w="2484"/>
            <w:tcMar>
              <w:top w:w="90" w:type="dxa"/>
              <w:start w:w="90" w:type="dxa"/>
              <w:bottom w:w="90" w:type="dxa"/>
              <w:end w:w="90" w:type="dxa"/>
            </w:tcMar>
          </w:tcPr>
          <w:p>
            <w:pPr>
              <w:pStyle w:val="BodyX"/>
            </w:pPr>
            <w:r>
              <w:t>0-54</w:t>
            </w:r>
          </w:p>
        </w:tc>
      </w:tr>
      <w:tr>
        <w:tc>
          <w:tcPr>
            <w:tcW w:type="dxa" w:w="2484"/>
            <w:tcMar>
              <w:top w:w="90" w:type="dxa"/>
              <w:start w:w="90" w:type="dxa"/>
              <w:bottom w:w="90" w:type="dxa"/>
              <w:end w:w="90" w:type="dxa"/>
            </w:tcMar>
          </w:tcPr>
          <w:p>
            <w:pPr>
              <w:pStyle w:val="BodyX"/>
            </w:pPr>
            <w:r>
              <w:t>Rupture risk 30d</w:t>
            </w:r>
          </w:p>
        </w:tc>
        <w:tc>
          <w:tcPr>
            <w:tcW w:type="dxa" w:w="2484"/>
            <w:tcMar>
              <w:top w:w="90" w:type="dxa"/>
              <w:start w:w="90" w:type="dxa"/>
              <w:bottom w:w="90" w:type="dxa"/>
              <w:end w:w="90" w:type="dxa"/>
            </w:tcMar>
          </w:tcPr>
          <w:p>
            <w:pPr>
              <w:pStyle w:val="BodyX"/>
            </w:pPr>
            <w:r>
              <w:t>0-29</w:t>
            </w:r>
          </w:p>
        </w:tc>
        <w:tc>
          <w:tcPr>
            <w:tcW w:type="dxa" w:w="2484"/>
            <w:tcMar>
              <w:top w:w="90" w:type="dxa"/>
              <w:start w:w="90" w:type="dxa"/>
              <w:bottom w:w="90" w:type="dxa"/>
              <w:end w:w="90" w:type="dxa"/>
            </w:tcMar>
          </w:tcPr>
          <w:p>
            <w:pPr>
              <w:pStyle w:val="BodyX"/>
            </w:pPr>
            <w:r>
              <w:t>30-49</w:t>
            </w:r>
          </w:p>
        </w:tc>
        <w:tc>
          <w:tcPr>
            <w:tcW w:type="dxa" w:w="2484"/>
            <w:tcMar>
              <w:top w:w="90" w:type="dxa"/>
              <w:start w:w="90" w:type="dxa"/>
              <w:bottom w:w="90" w:type="dxa"/>
              <w:end w:w="90" w:type="dxa"/>
            </w:tcMar>
          </w:tcPr>
          <w:p>
            <w:pPr>
              <w:pStyle w:val="BodyX"/>
            </w:pPr>
            <w:r>
              <w:t>50-100</w:t>
            </w:r>
          </w:p>
        </w:tc>
      </w:tr>
    </w:tbl>
    <w:p>
      <w:pPr>
        <w:pStyle w:val="H2X"/>
      </w:pPr>
      <w:r>
        <w:t>B10. Suppression rules</w:t>
      </w:r>
    </w:p>
    <w:p>
      <w:pPr>
        <w:pStyle w:val="BulletX"/>
        <w:ind w:left="288"/>
      </w:pPr>
      <w:r>
        <w:rPr>
          <w:b/>
        </w:rPr>
        <w:t xml:space="preserve">• </w:t>
      </w:r>
      <w:r>
        <w:t>No user-visible Forecast when pair_event_depth is below the configured minimum or when forecast_confidence &lt; 50.</w:t>
      </w:r>
    </w:p>
    <w:p>
      <w:pPr>
        <w:pStyle w:val="BulletX"/>
        <w:ind w:left="288"/>
      </w:pPr>
      <w:r>
        <w:rPr>
          <w:b/>
        </w:rPr>
        <w:t xml:space="preserve">• </w:t>
      </w:r>
      <w:r>
        <w:t>No raw rupture risk number on first-contact or low-evidence surfaces; use qualitative copy instead.</w:t>
      </w:r>
    </w:p>
    <w:p>
      <w:pPr>
        <w:pStyle w:val="BulletX"/>
        <w:ind w:left="288"/>
      </w:pPr>
      <w:r>
        <w:rPr>
          <w:b/>
        </w:rPr>
        <w:t xml:space="preserve">• </w:t>
      </w:r>
      <w:r>
        <w:t>Forecast is downgraded to guarded mode if either user is in hold_unstable drift state, acute grief / anger state, or high active contradiction state.</w:t>
      </w:r>
    </w:p>
    <w:p>
      <w:pPr>
        <w:pStyle w:val="BulletX"/>
        <w:ind w:left="288"/>
      </w:pPr>
      <w:r>
        <w:rPr>
          <w:b/>
        </w:rPr>
        <w:t xml:space="preserve">• </w:t>
      </w:r>
      <w:r>
        <w:t>Forecast cannot overrule explicit policy safety blocks or moderation actions.</w:t>
      </w:r>
    </w:p>
    <w:p>
      <w:pPr>
        <w:pStyle w:val="H2X"/>
      </w:pPr>
      <w:r>
        <w:t>B11. Relationship to match score</w:t>
      </w:r>
    </w:p>
    <w:p>
      <w:pPr>
        <w:pStyle w:val="BodyX"/>
      </w:pPr>
      <w:r>
        <w:t>Compatibility and Forecast are siblings, not duplicates. Compatibility reflects structural fit. Forecast reflects current projected pair-state under recent evidence. A high compatibility score with poor recent repair behavior can still produce guarded or risky Forecast outputs.</w:t>
      </w:r>
    </w:p>
    <w:p>
      <w:r>
        <w:br w:type="page"/>
      </w:r>
    </w:p>
    <w:p>
      <w:pPr>
        <w:pStyle w:val="H1X"/>
      </w:pPr>
      <w:r>
        <w:t>Appendix C - DriftEligibility Technical Appendix</w:t>
      </w:r>
    </w:p>
    <w:p>
      <w:pPr>
        <w:pStyle w:val="H2X"/>
      </w:pPr>
      <w:r>
        <w:t>C1. Purpose</w:t>
      </w:r>
    </w:p>
    <w:p>
      <w:pPr>
        <w:pStyle w:val="BodyX"/>
      </w:pPr>
      <w:r>
        <w:t>DriftEligibility governs when slow-changing identity-adjacent traits are allowed to move. Its purpose is to stop identity chaos, prevent one bad week from redefining a person, and distinguish short-term activation from durable pattern change.</w:t>
      </w:r>
    </w:p>
    <w:p>
      <w:pPr>
        <w:pStyle w:val="H2X"/>
      </w:pPr>
      <w:r>
        <w:t>C2. v1 stance</w:t>
      </w:r>
    </w:p>
    <w:p>
      <w:pPr>
        <w:pStyle w:val="BulletX"/>
        <w:ind w:left="288"/>
      </w:pPr>
      <w:r>
        <w:rPr>
          <w:b/>
        </w:rPr>
        <w:t xml:space="preserve">• </w:t>
      </w:r>
      <w:r>
        <w:t>Slow drift is OFF by default except for shadow_trait_prior micro-drift and attachment_stability_index.</w:t>
      </w:r>
    </w:p>
    <w:p>
      <w:pPr>
        <w:pStyle w:val="BulletX"/>
        <w:ind w:left="288"/>
      </w:pPr>
      <w:r>
        <w:rPr>
          <w:b/>
        </w:rPr>
        <w:t xml:space="preserve">• </w:t>
      </w:r>
      <w:r>
        <w:t>Archetype drift remains OFF in v1 production.</w:t>
      </w:r>
    </w:p>
    <w:p>
      <w:pPr>
        <w:pStyle w:val="BulletX"/>
        <w:ind w:left="288"/>
      </w:pPr>
      <w:r>
        <w:rPr>
          <w:b/>
        </w:rPr>
        <w:t xml:space="preserve">• </w:t>
      </w:r>
      <w:r>
        <w:t>Drift requires stable evidence and never fires in the middle of a storm.</w:t>
      </w:r>
    </w:p>
    <w:p>
      <w:pPr>
        <w:pStyle w:val="H2X"/>
      </w:pPr>
      <w:r>
        <w:t>C3. Inputs</w:t>
      </w:r>
    </w:p>
    <w:p>
      <w:pPr>
        <w:pStyle w:val="CodeX"/>
      </w:pPr>
      <w:r>
        <w:t>rollup_n50: last 50 eligible events</w:t>
      </w:r>
    </w:p>
    <w:p>
      <w:pPr>
        <w:pStyle w:val="CodeX"/>
      </w:pPr>
      <w:r>
        <w:t>rollup_n20: last 20 eligible events</w:t>
      </w:r>
    </w:p>
    <w:p>
      <w:pPr>
        <w:pStyle w:val="CodeX"/>
      </w:pPr>
      <w:r>
        <w:t>rollup_prev50: previous 50-event window, if available</w:t>
      </w:r>
    </w:p>
    <w:p>
      <w:pPr>
        <w:pStyle w:val="CodeX"/>
      </w:pPr>
      <w:r>
        <w:t>current_genome: current slow trait values and priors</w:t>
      </w:r>
    </w:p>
    <w:p>
      <w:pPr>
        <w:pStyle w:val="CodeX"/>
      </w:pPr>
      <w:r>
        <w:t>config thresholds: environment-owned values with version tag</w:t>
      </w:r>
    </w:p>
    <w:p>
      <w:pPr>
        <w:pStyle w:val="H2X"/>
      </w:pPr>
      <w:r>
        <w:t>C4. Required rollup metrics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8E7F3"/>
          </w:tcPr>
          <w:p>
            <w:pPr>
              <w:pStyle w:val="BodyX"/>
            </w:pPr>
            <w:r>
              <w:t>Metric</w:t>
            </w:r>
          </w:p>
        </w:tc>
        <w:tc>
          <w:tcPr>
            <w:tcW w:type="dxa" w:w="1987"/>
            <w:shd w:fill="D8E7F3"/>
          </w:tcPr>
          <w:p>
            <w:pPr>
              <w:pStyle w:val="BodyX"/>
            </w:pPr>
            <w:r>
              <w:t>Symbol</w:t>
            </w:r>
          </w:p>
        </w:tc>
        <w:tc>
          <w:tcPr>
            <w:tcW w:type="dxa" w:w="1987"/>
            <w:shd w:fill="D8E7F3"/>
          </w:tcPr>
          <w:p>
            <w:pPr>
              <w:pStyle w:val="BodyX"/>
            </w:pPr>
            <w:r>
              <w:t>Window</w:t>
            </w:r>
          </w:p>
        </w:tc>
        <w:tc>
          <w:tcPr>
            <w:tcW w:type="dxa" w:w="1987"/>
            <w:shd w:fill="D8E7F3"/>
          </w:tcPr>
          <w:p>
            <w:pPr>
              <w:pStyle w:val="BodyX"/>
            </w:pPr>
            <w:r>
              <w:t>Definition</w:t>
            </w:r>
          </w:p>
        </w:tc>
        <w:tc>
          <w:tcPr>
            <w:tcW w:type="dxa" w:w="1987"/>
            <w:shd w:fill="D8E7F3"/>
          </w:tcPr>
          <w:p>
            <w:pPr>
              <w:pStyle w:val="BodyX"/>
            </w:pPr>
            <w:r>
              <w:t>Threshold</w:t>
            </w:r>
          </w:p>
        </w:tc>
      </w:tr>
      <w:tr>
        <w:tc>
          <w:tcPr>
            <w:tcW w:type="dxa" w:w="1987"/>
            <w:tcMar>
              <w:top w:w="90" w:type="dxa"/>
              <w:start w:w="90" w:type="dxa"/>
              <w:bottom w:w="90" w:type="dxa"/>
              <w:end w:w="90" w:type="dxa"/>
            </w:tcMar>
          </w:tcPr>
          <w:p>
            <w:pPr>
              <w:pStyle w:val="BodyX"/>
            </w:pPr>
            <w:r>
              <w:t>Escalation rate</w:t>
            </w:r>
          </w:p>
        </w:tc>
        <w:tc>
          <w:tcPr>
            <w:tcW w:type="dxa" w:w="1987"/>
            <w:tcMar>
              <w:top w:w="90" w:type="dxa"/>
              <w:start w:w="90" w:type="dxa"/>
              <w:bottom w:w="90" w:type="dxa"/>
              <w:end w:w="90" w:type="dxa"/>
            </w:tcMar>
          </w:tcPr>
          <w:p>
            <w:pPr>
              <w:pStyle w:val="BodyX"/>
            </w:pPr>
            <w:r>
              <w:t>E50 / E20</w:t>
            </w:r>
          </w:p>
        </w:tc>
        <w:tc>
          <w:tcPr>
            <w:tcW w:type="dxa" w:w="1987"/>
            <w:tcMar>
              <w:top w:w="90" w:type="dxa"/>
              <w:start w:w="90" w:type="dxa"/>
              <w:bottom w:w="90" w:type="dxa"/>
              <w:end w:w="90" w:type="dxa"/>
            </w:tcMar>
          </w:tcPr>
          <w:p>
            <w:pPr>
              <w:pStyle w:val="BodyX"/>
            </w:pPr>
            <w:r>
              <w:t>50 / 20</w:t>
            </w:r>
          </w:p>
        </w:tc>
        <w:tc>
          <w:tcPr>
            <w:tcW w:type="dxa" w:w="1987"/>
            <w:tcMar>
              <w:top w:w="90" w:type="dxa"/>
              <w:start w:w="90" w:type="dxa"/>
              <w:bottom w:w="90" w:type="dxa"/>
              <w:end w:w="90" w:type="dxa"/>
            </w:tcMar>
          </w:tcPr>
          <w:p>
            <w:pPr>
              <w:pStyle w:val="BodyX"/>
            </w:pPr>
            <w:r>
              <w:t>Escalation events divided by eligible events in window</w:t>
            </w:r>
          </w:p>
        </w:tc>
        <w:tc>
          <w:tcPr>
            <w:tcW w:type="dxa" w:w="1987"/>
            <w:tcMar>
              <w:top w:w="90" w:type="dxa"/>
              <w:start w:w="90" w:type="dxa"/>
              <w:bottom w:w="90" w:type="dxa"/>
              <w:end w:w="90" w:type="dxa"/>
            </w:tcMar>
          </w:tcPr>
          <w:p>
            <w:pPr>
              <w:pStyle w:val="BodyX"/>
            </w:pPr>
            <w:r>
              <w:t>E20 &lt;= 0.35</w:t>
            </w:r>
          </w:p>
        </w:tc>
      </w:tr>
      <w:tr>
        <w:tc>
          <w:tcPr>
            <w:tcW w:type="dxa" w:w="1987"/>
            <w:tcMar>
              <w:top w:w="90" w:type="dxa"/>
              <w:start w:w="90" w:type="dxa"/>
              <w:bottom w:w="90" w:type="dxa"/>
              <w:end w:w="90" w:type="dxa"/>
            </w:tcMar>
          </w:tcPr>
          <w:p>
            <w:pPr>
              <w:pStyle w:val="BodyX"/>
            </w:pPr>
            <w:r>
              <w:t>Repair success rate</w:t>
            </w:r>
          </w:p>
        </w:tc>
        <w:tc>
          <w:tcPr>
            <w:tcW w:type="dxa" w:w="1987"/>
            <w:tcMar>
              <w:top w:w="90" w:type="dxa"/>
              <w:start w:w="90" w:type="dxa"/>
              <w:bottom w:w="90" w:type="dxa"/>
              <w:end w:w="90" w:type="dxa"/>
            </w:tcMar>
          </w:tcPr>
          <w:p>
            <w:pPr>
              <w:pStyle w:val="BodyX"/>
            </w:pPr>
            <w:r>
              <w:t>R50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repair_event / tension_events</w:t>
            </w:r>
          </w:p>
        </w:tc>
        <w:tc>
          <w:tcPr>
            <w:tcW w:type="dxa" w:w="1987"/>
            <w:tcMar>
              <w:top w:w="90" w:type="dxa"/>
              <w:start w:w="90" w:type="dxa"/>
              <w:bottom w:w="90" w:type="dxa"/>
              <w:end w:w="90" w:type="dxa"/>
            </w:tcMar>
          </w:tcPr>
          <w:p>
            <w:pPr>
              <w:pStyle w:val="BodyX"/>
            </w:pPr>
            <w:r>
              <w:t>No hard gate; used in context and confidence</w:t>
            </w:r>
          </w:p>
        </w:tc>
      </w:tr>
      <w:tr>
        <w:tc>
          <w:tcPr>
            <w:tcW w:type="dxa" w:w="1987"/>
            <w:tcMar>
              <w:top w:w="90" w:type="dxa"/>
              <w:start w:w="90" w:type="dxa"/>
              <w:bottom w:w="90" w:type="dxa"/>
              <w:end w:w="90" w:type="dxa"/>
            </w:tcMar>
          </w:tcPr>
          <w:p>
            <w:pPr>
              <w:pStyle w:val="BodyX"/>
            </w:pPr>
            <w:r>
              <w:t>Repair latency normalized</w:t>
            </w:r>
          </w:p>
        </w:tc>
        <w:tc>
          <w:tcPr>
            <w:tcW w:type="dxa" w:w="1987"/>
            <w:tcMar>
              <w:top w:w="90" w:type="dxa"/>
              <w:start w:w="90" w:type="dxa"/>
              <w:bottom w:w="90" w:type="dxa"/>
              <w:end w:w="90" w:type="dxa"/>
            </w:tcMar>
          </w:tcPr>
          <w:p>
            <w:pPr>
              <w:pStyle w:val="BodyX"/>
            </w:pPr>
            <w:r>
              <w:t>L50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Mean normalized delay from rupture to repair</w:t>
            </w:r>
          </w:p>
        </w:tc>
        <w:tc>
          <w:tcPr>
            <w:tcW w:type="dxa" w:w="1987"/>
            <w:tcMar>
              <w:top w:w="90" w:type="dxa"/>
              <w:start w:w="90" w:type="dxa"/>
              <w:bottom w:w="90" w:type="dxa"/>
              <w:end w:w="90" w:type="dxa"/>
            </w:tcMar>
          </w:tcPr>
          <w:p>
            <w:pPr>
              <w:pStyle w:val="BodyX"/>
            </w:pPr>
            <w:r>
              <w:t>No hard gate; informs confidence and forecast</w:t>
            </w:r>
          </w:p>
        </w:tc>
      </w:tr>
      <w:tr>
        <w:tc>
          <w:tcPr>
            <w:tcW w:type="dxa" w:w="1987"/>
            <w:tcMar>
              <w:top w:w="90" w:type="dxa"/>
              <w:start w:w="90" w:type="dxa"/>
              <w:bottom w:w="90" w:type="dxa"/>
              <w:end w:w="90" w:type="dxa"/>
            </w:tcMar>
          </w:tcPr>
          <w:p>
            <w:pPr>
              <w:pStyle w:val="BodyX"/>
            </w:pPr>
            <w:r>
              <w:t>Arousal slope</w:t>
            </w:r>
          </w:p>
        </w:tc>
        <w:tc>
          <w:tcPr>
            <w:tcW w:type="dxa" w:w="1987"/>
            <w:tcMar>
              <w:top w:w="90" w:type="dxa"/>
              <w:start w:w="90" w:type="dxa"/>
              <w:bottom w:w="90" w:type="dxa"/>
              <w:end w:w="90" w:type="dxa"/>
            </w:tcMar>
          </w:tcPr>
          <w:p>
            <w:pPr>
              <w:pStyle w:val="BodyX"/>
            </w:pPr>
            <w:r>
              <w:t>A_slope50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Linear trend of arousal over window</w:t>
            </w:r>
          </w:p>
        </w:tc>
        <w:tc>
          <w:tcPr>
            <w:tcW w:type="dxa" w:w="1987"/>
            <w:tcMar>
              <w:top w:w="90" w:type="dxa"/>
              <w:start w:w="90" w:type="dxa"/>
              <w:bottom w:w="90" w:type="dxa"/>
              <w:end w:w="90" w:type="dxa"/>
            </w:tcMar>
          </w:tcPr>
          <w:p>
            <w:pPr>
              <w:pStyle w:val="BodyX"/>
            </w:pPr>
            <w:r>
              <w:t>abs(A_slope50) &lt;= 0.05</w:t>
            </w:r>
          </w:p>
        </w:tc>
      </w:tr>
      <w:tr>
        <w:tc>
          <w:tcPr>
            <w:tcW w:type="dxa" w:w="1987"/>
            <w:tcMar>
              <w:top w:w="90" w:type="dxa"/>
              <w:start w:w="90" w:type="dxa"/>
              <w:bottom w:w="90" w:type="dxa"/>
              <w:end w:w="90" w:type="dxa"/>
            </w:tcMar>
          </w:tcPr>
          <w:p>
            <w:pPr>
              <w:pStyle w:val="BodyX"/>
            </w:pPr>
            <w:r>
              <w:t>Arousal volatility</w:t>
            </w:r>
          </w:p>
        </w:tc>
        <w:tc>
          <w:tcPr>
            <w:tcW w:type="dxa" w:w="1987"/>
            <w:tcMar>
              <w:top w:w="90" w:type="dxa"/>
              <w:start w:w="90" w:type="dxa"/>
              <w:bottom w:w="90" w:type="dxa"/>
              <w:end w:w="90" w:type="dxa"/>
            </w:tcMar>
          </w:tcPr>
          <w:p>
            <w:pPr>
              <w:pStyle w:val="BodyX"/>
            </w:pPr>
            <w:r>
              <w:t>A_std50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Standard deviation of arousal</w:t>
            </w:r>
          </w:p>
        </w:tc>
        <w:tc>
          <w:tcPr>
            <w:tcW w:type="dxa" w:w="1987"/>
            <w:tcMar>
              <w:top w:w="90" w:type="dxa"/>
              <w:start w:w="90" w:type="dxa"/>
              <w:bottom w:w="90" w:type="dxa"/>
              <w:end w:w="90" w:type="dxa"/>
            </w:tcMar>
          </w:tcPr>
          <w:p>
            <w:pPr>
              <w:pStyle w:val="BodyX"/>
            </w:pPr>
            <w:r>
              <w:t>A_std50 &lt;= 0.22</w:t>
            </w:r>
          </w:p>
        </w:tc>
      </w:tr>
      <w:tr>
        <w:tc>
          <w:tcPr>
            <w:tcW w:type="dxa" w:w="1987"/>
            <w:tcMar>
              <w:top w:w="90" w:type="dxa"/>
              <w:start w:w="90" w:type="dxa"/>
              <w:bottom w:w="90" w:type="dxa"/>
              <w:end w:w="90" w:type="dxa"/>
            </w:tcMar>
          </w:tcPr>
          <w:p>
            <w:pPr>
              <w:pStyle w:val="BodyX"/>
            </w:pPr>
            <w:r>
              <w:t>Contradiction severity mean</w:t>
            </w:r>
          </w:p>
        </w:tc>
        <w:tc>
          <w:tcPr>
            <w:tcW w:type="dxa" w:w="1987"/>
            <w:tcMar>
              <w:top w:w="90" w:type="dxa"/>
              <w:start w:w="90" w:type="dxa"/>
              <w:bottom w:w="90" w:type="dxa"/>
              <w:end w:w="90" w:type="dxa"/>
            </w:tcMar>
          </w:tcPr>
          <w:p>
            <w:pPr>
              <w:pStyle w:val="BodyX"/>
            </w:pPr>
            <w:r>
              <w:t>C50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Mean contradiction severity over window</w:t>
            </w:r>
          </w:p>
        </w:tc>
        <w:tc>
          <w:tcPr>
            <w:tcW w:type="dxa" w:w="1987"/>
            <w:tcMar>
              <w:top w:w="90" w:type="dxa"/>
              <w:start w:w="90" w:type="dxa"/>
              <w:bottom w:w="90" w:type="dxa"/>
              <w:end w:w="90" w:type="dxa"/>
            </w:tcMar>
          </w:tcPr>
          <w:p>
            <w:pPr>
              <w:pStyle w:val="BodyX"/>
            </w:pPr>
            <w:r>
              <w:t>C50 &lt;= 0.55 OR improved by &gt;= 0.10</w:t>
            </w:r>
          </w:p>
        </w:tc>
      </w:tr>
      <w:tr>
        <w:tc>
          <w:tcPr>
            <w:tcW w:type="dxa" w:w="1987"/>
            <w:tcMar>
              <w:top w:w="90" w:type="dxa"/>
              <w:start w:w="90" w:type="dxa"/>
              <w:bottom w:w="90" w:type="dxa"/>
              <w:end w:w="90" w:type="dxa"/>
            </w:tcMar>
          </w:tcPr>
          <w:p>
            <w:pPr>
              <w:pStyle w:val="BodyX"/>
            </w:pPr>
            <w:r>
              <w:t>Move entropy normalized</w:t>
            </w:r>
          </w:p>
        </w:tc>
        <w:tc>
          <w:tcPr>
            <w:tcW w:type="dxa" w:w="1987"/>
            <w:tcMar>
              <w:top w:w="90" w:type="dxa"/>
              <w:start w:w="90" w:type="dxa"/>
              <w:bottom w:w="90" w:type="dxa"/>
              <w:end w:w="90" w:type="dxa"/>
            </w:tcMar>
          </w:tcPr>
          <w:p>
            <w:pPr>
              <w:pStyle w:val="BodyX"/>
            </w:pPr>
            <w:r>
              <w:t>H_norm</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Entropy of move distribution across withdraw / press / escalate / appease / repair / joke</w:t>
            </w:r>
          </w:p>
        </w:tc>
        <w:tc>
          <w:tcPr>
            <w:tcW w:type="dxa" w:w="1987"/>
            <w:tcMar>
              <w:top w:w="90" w:type="dxa"/>
              <w:start w:w="90" w:type="dxa"/>
              <w:bottom w:w="90" w:type="dxa"/>
              <w:end w:w="90" w:type="dxa"/>
            </w:tcMar>
          </w:tcPr>
          <w:p>
            <w:pPr>
              <w:pStyle w:val="BodyX"/>
            </w:pPr>
            <w:r>
              <w:t>H_norm &lt;= 0.78</w:t>
            </w:r>
          </w:p>
        </w:tc>
      </w:tr>
      <w:tr>
        <w:tc>
          <w:tcPr>
            <w:tcW w:type="dxa" w:w="1987"/>
            <w:tcMar>
              <w:top w:w="90" w:type="dxa"/>
              <w:start w:w="90" w:type="dxa"/>
              <w:bottom w:w="90" w:type="dxa"/>
              <w:end w:w="90" w:type="dxa"/>
            </w:tcMar>
          </w:tcPr>
          <w:p>
            <w:pPr>
              <w:pStyle w:val="BodyX"/>
            </w:pPr>
            <w:r>
              <w:t>Event count</w:t>
            </w:r>
          </w:p>
        </w:tc>
        <w:tc>
          <w:tcPr>
            <w:tcW w:type="dxa" w:w="1987"/>
            <w:tcMar>
              <w:top w:w="90" w:type="dxa"/>
              <w:start w:w="90" w:type="dxa"/>
              <w:bottom w:w="90" w:type="dxa"/>
              <w:end w:w="90" w:type="dxa"/>
            </w:tcMar>
          </w:tcPr>
          <w:p>
            <w:pPr>
              <w:pStyle w:val="BodyX"/>
            </w:pPr>
            <w:r>
              <w:t>N50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Total eligible events available</w:t>
            </w:r>
          </w:p>
        </w:tc>
        <w:tc>
          <w:tcPr>
            <w:tcW w:type="dxa" w:w="1987"/>
            <w:tcMar>
              <w:top w:w="90" w:type="dxa"/>
              <w:start w:w="90" w:type="dxa"/>
              <w:bottom w:w="90" w:type="dxa"/>
              <w:end w:w="90" w:type="dxa"/>
            </w:tcMar>
          </w:tcPr>
          <w:p>
            <w:pPr>
              <w:pStyle w:val="BodyX"/>
            </w:pPr>
            <w:r>
              <w:t>N50 &gt;= 50</w:t>
            </w:r>
          </w:p>
        </w:tc>
      </w:tr>
      <w:tr>
        <w:tc>
          <w:tcPr>
            <w:tcW w:type="dxa" w:w="1987"/>
            <w:tcMar>
              <w:top w:w="90" w:type="dxa"/>
              <w:start w:w="90" w:type="dxa"/>
              <w:bottom w:w="90" w:type="dxa"/>
              <w:end w:w="90" w:type="dxa"/>
            </w:tcMar>
          </w:tcPr>
          <w:p>
            <w:pPr>
              <w:pStyle w:val="BodyX"/>
            </w:pPr>
            <w:r>
              <w:t>Unique day spread</w:t>
            </w:r>
          </w:p>
        </w:tc>
        <w:tc>
          <w:tcPr>
            <w:tcW w:type="dxa" w:w="1987"/>
            <w:tcMar>
              <w:top w:w="90" w:type="dxa"/>
              <w:start w:w="90" w:type="dxa"/>
              <w:bottom w:w="90" w:type="dxa"/>
              <w:end w:w="90" w:type="dxa"/>
            </w:tcMar>
          </w:tcPr>
          <w:p>
            <w:pPr>
              <w:pStyle w:val="BodyX"/>
            </w:pPr>
            <w:r>
              <w:t>D50</w:t>
            </w:r>
          </w:p>
        </w:tc>
        <w:tc>
          <w:tcPr>
            <w:tcW w:type="dxa" w:w="1987"/>
            <w:tcMar>
              <w:top w:w="90" w:type="dxa"/>
              <w:start w:w="90" w:type="dxa"/>
              <w:bottom w:w="90" w:type="dxa"/>
              <w:end w:w="90" w:type="dxa"/>
            </w:tcMar>
          </w:tcPr>
          <w:p>
            <w:pPr>
              <w:pStyle w:val="BodyX"/>
            </w:pPr>
            <w:r>
              <w:t>50</w:t>
            </w:r>
          </w:p>
        </w:tc>
        <w:tc>
          <w:tcPr>
            <w:tcW w:type="dxa" w:w="1987"/>
            <w:tcMar>
              <w:top w:w="90" w:type="dxa"/>
              <w:start w:w="90" w:type="dxa"/>
              <w:bottom w:w="90" w:type="dxa"/>
              <w:end w:w="90" w:type="dxa"/>
            </w:tcMar>
          </w:tcPr>
          <w:p>
            <w:pPr>
              <w:pStyle w:val="BodyX"/>
            </w:pPr>
            <w:r>
              <w:t>Number of distinct days covered by rollup</w:t>
            </w:r>
          </w:p>
        </w:tc>
        <w:tc>
          <w:tcPr>
            <w:tcW w:type="dxa" w:w="1987"/>
            <w:tcMar>
              <w:top w:w="90" w:type="dxa"/>
              <w:start w:w="90" w:type="dxa"/>
              <w:bottom w:w="90" w:type="dxa"/>
              <w:end w:w="90" w:type="dxa"/>
            </w:tcMar>
          </w:tcPr>
          <w:p>
            <w:pPr>
              <w:pStyle w:val="BodyX"/>
            </w:pPr>
            <w:r>
              <w:t>D50 &gt;= 10</w:t>
            </w:r>
          </w:p>
        </w:tc>
      </w:tr>
    </w:tbl>
    <w:p>
      <w:pPr>
        <w:pStyle w:val="H2X"/>
      </w:pPr>
      <w:r>
        <w:t>C5. Move entropy formula</w:t>
      </w:r>
    </w:p>
    <w:p>
      <w:pPr>
        <w:pStyle w:val="CodeX"/>
      </w:pPr>
      <w:r>
        <w:t>Let p_i be the normalized frequency of move categories in the last 50 events: withdraw, press, escalate, appease, repair, joke.</w:t>
      </w:r>
    </w:p>
    <w:p>
      <w:pPr>
        <w:pStyle w:val="CodeX"/>
      </w:pPr>
      <w:r>
        <w:t>H = - Σ p_i * ln(p_i)</w:t>
      </w:r>
    </w:p>
    <w:p>
      <w:pPr>
        <w:pStyle w:val="CodeX"/>
      </w:pPr>
      <w:r>
        <w:t>H_norm = H / ln(K), where K is the number of move categories present</w:t>
      </w:r>
    </w:p>
    <w:p>
      <w:pPr>
        <w:pStyle w:val="CodeX"/>
      </w:pPr>
      <w:r>
        <w:t>Lower entropy means the behavior pattern is more stable and therefore more eligible for slow drift evaluation.</w:t>
      </w:r>
    </w:p>
    <w:p>
      <w:pPr>
        <w:pStyle w:val="H2X"/>
      </w:pPr>
      <w:r>
        <w:t>C6. Gate logic</w:t>
      </w:r>
    </w:p>
    <w:p>
      <w:pPr>
        <w:pStyle w:val="BulletX"/>
        <w:ind w:left="288"/>
      </w:pPr>
      <w:r>
        <w:rPr>
          <w:b/>
        </w:rPr>
        <w:t xml:space="preserve">• </w:t>
      </w:r>
      <w:r>
        <w:t>G0 Evidence minimum: N50 &gt;= 50 and D50 &gt;= 10.</w:t>
      </w:r>
    </w:p>
    <w:p>
      <w:pPr>
        <w:pStyle w:val="BulletX"/>
        <w:ind w:left="288"/>
      </w:pPr>
      <w:r>
        <w:rPr>
          <w:b/>
        </w:rPr>
        <w:t xml:space="preserve">• </w:t>
      </w:r>
      <w:r>
        <w:t>G1 Not currently unstable: E20 &lt;= 0.35 and A_std50 &lt;= 0.22.</w:t>
      </w:r>
    </w:p>
    <w:p>
      <w:pPr>
        <w:pStyle w:val="BulletX"/>
        <w:ind w:left="288"/>
      </w:pPr>
      <w:r>
        <w:rPr>
          <w:b/>
        </w:rPr>
        <w:t xml:space="preserve">• </w:t>
      </w:r>
      <w:r>
        <w:t>G2 Trend is settled: abs(A_slope50) &lt;= 0.05.</w:t>
      </w:r>
    </w:p>
    <w:p>
      <w:pPr>
        <w:pStyle w:val="BulletX"/>
        <w:ind w:left="288"/>
      </w:pPr>
      <w:r>
        <w:rPr>
          <w:b/>
        </w:rPr>
        <w:t xml:space="preserve">• </w:t>
      </w:r>
      <w:r>
        <w:t>G3 Contradictions are not spiking: C50 &lt;= 0.55 OR C50 improved by at least 0.10 versus previous 50-window.</w:t>
      </w:r>
    </w:p>
    <w:p>
      <w:pPr>
        <w:pStyle w:val="BulletX"/>
        <w:ind w:left="288"/>
      </w:pPr>
      <w:r>
        <w:rPr>
          <w:b/>
        </w:rPr>
        <w:t xml:space="preserve">• </w:t>
      </w:r>
      <w:r>
        <w:t>G4 Behavior distribution is not chaotic: H_norm &lt;= 0.78.</w:t>
      </w:r>
    </w:p>
    <w:p>
      <w:pPr>
        <w:pStyle w:val="BulletX"/>
        <w:ind w:left="288"/>
      </w:pPr>
      <w:r>
        <w:rPr>
          <w:b/>
        </w:rPr>
        <w:t xml:space="preserve">• </w:t>
      </w:r>
      <w:r>
        <w:t>All gates must pass before slow drift is eligible.</w:t>
      </w:r>
    </w:p>
    <w:p>
      <w:pPr>
        <w:pStyle w:val="H2X"/>
      </w:pPr>
      <w:r>
        <w:t>C7. Eligibility confidence formula</w:t>
      </w:r>
    </w:p>
    <w:p>
      <w:pPr>
        <w:pStyle w:val="CodeX"/>
      </w:pPr>
      <w:r>
        <w:t>conf = 0.25 * (1 - clamp(E20 / 0.35, 0, 1))</w:t>
      </w:r>
    </w:p>
    <w:p>
      <w:pPr>
        <w:pStyle w:val="CodeX"/>
      </w:pPr>
      <w:r>
        <w:t xml:space="preserve">     + 0.20 * (1 - clamp(A_std50 / 0.22, 0, 1))</w:t>
      </w:r>
    </w:p>
    <w:p>
      <w:pPr>
        <w:pStyle w:val="CodeX"/>
      </w:pPr>
      <w:r>
        <w:t xml:space="preserve">     + 0.20 * (1 - clamp(abs(A_slope50) / 0.05, 0, 1))</w:t>
      </w:r>
    </w:p>
    <w:p>
      <w:pPr>
        <w:pStyle w:val="CodeX"/>
      </w:pPr>
      <w:r>
        <w:t xml:space="preserve">     + 0.20 * (1 - clamp(C50 / 0.55, 0, 1))</w:t>
      </w:r>
    </w:p>
    <w:p>
      <w:pPr>
        <w:pStyle w:val="CodeX"/>
      </w:pPr>
      <w:r>
        <w:t xml:space="preserve">     + 0.15 * (1 - clamp(H_norm / 0.78, 0, 1))</w:t>
      </w:r>
    </w:p>
    <w:p>
      <w:pPr>
        <w:pStyle w:val="CodeX"/>
      </w:pPr>
      <w:r>
        <w:t>eligible_final = gates_passed AND conf &gt;= 0.60</w:t>
      </w:r>
    </w:p>
    <w:p>
      <w:pPr>
        <w:pStyle w:val="H2X"/>
      </w:pPr>
      <w:r>
        <w:t>C8. Reason codes</w:t>
      </w:r>
    </w:p>
    <w:tbl>
      <w:tblPr>
        <w:tblStyle w:val="TableGrid"/>
        <w:tblW w:type="auto" w:w="0"/>
        <w:tblLook w:firstColumn="1" w:firstRow="1" w:lastColumn="0" w:lastRow="0" w:noHBand="0" w:noVBand="1" w:val="04A0"/>
      </w:tblPr>
      <w:tblGrid>
        <w:gridCol w:w="4968"/>
        <w:gridCol w:w="4968"/>
      </w:tblGrid>
      <w:tr>
        <w:tc>
          <w:tcPr>
            <w:tcW w:type="dxa" w:w="4968"/>
            <w:shd w:fill="F1E3D3"/>
          </w:tcPr>
          <w:p>
            <w:pPr>
              <w:pStyle w:val="BodyX"/>
            </w:pPr>
            <w:r>
              <w:t>Reason code</w:t>
            </w:r>
          </w:p>
        </w:tc>
        <w:tc>
          <w:tcPr>
            <w:tcW w:type="dxa" w:w="4968"/>
            <w:shd w:fill="F1E3D3"/>
          </w:tcPr>
          <w:p>
            <w:pPr>
              <w:pStyle w:val="BodyX"/>
            </w:pPr>
            <w:r>
              <w:t>Meaning</w:t>
            </w:r>
          </w:p>
        </w:tc>
      </w:tr>
      <w:tr>
        <w:tc>
          <w:tcPr>
            <w:tcW w:type="dxa" w:w="4968"/>
            <w:tcMar>
              <w:top w:w="90" w:type="dxa"/>
              <w:start w:w="90" w:type="dxa"/>
              <w:bottom w:w="90" w:type="dxa"/>
              <w:end w:w="90" w:type="dxa"/>
            </w:tcMar>
          </w:tcPr>
          <w:p>
            <w:pPr>
              <w:pStyle w:val="BodyX"/>
            </w:pPr>
            <w:r>
              <w:t>insufficient_events</w:t>
            </w:r>
          </w:p>
        </w:tc>
        <w:tc>
          <w:tcPr>
            <w:tcW w:type="dxa" w:w="4968"/>
            <w:tcMar>
              <w:top w:w="90" w:type="dxa"/>
              <w:start w:w="90" w:type="dxa"/>
              <w:bottom w:w="90" w:type="dxa"/>
              <w:end w:w="90" w:type="dxa"/>
            </w:tcMar>
          </w:tcPr>
          <w:p>
            <w:pPr>
              <w:pStyle w:val="BodyX"/>
            </w:pPr>
            <w:r>
              <w:t>Not enough events to support slow drift evaluation.</w:t>
            </w:r>
          </w:p>
        </w:tc>
      </w:tr>
      <w:tr>
        <w:tc>
          <w:tcPr>
            <w:tcW w:type="dxa" w:w="4968"/>
            <w:tcMar>
              <w:top w:w="90" w:type="dxa"/>
              <w:start w:w="90" w:type="dxa"/>
              <w:bottom w:w="90" w:type="dxa"/>
              <w:end w:w="90" w:type="dxa"/>
            </w:tcMar>
          </w:tcPr>
          <w:p>
            <w:pPr>
              <w:pStyle w:val="BodyX"/>
            </w:pPr>
            <w:r>
              <w:t>insufficient_day_spread</w:t>
            </w:r>
          </w:p>
        </w:tc>
        <w:tc>
          <w:tcPr>
            <w:tcW w:type="dxa" w:w="4968"/>
            <w:tcMar>
              <w:top w:w="90" w:type="dxa"/>
              <w:start w:w="90" w:type="dxa"/>
              <w:bottom w:w="90" w:type="dxa"/>
              <w:end w:w="90" w:type="dxa"/>
            </w:tcMar>
          </w:tcPr>
          <w:p>
            <w:pPr>
              <w:pStyle w:val="BodyX"/>
            </w:pPr>
            <w:r>
              <w:t>Events are too concentrated in time; one short period cannot redefine identity.</w:t>
            </w:r>
          </w:p>
        </w:tc>
      </w:tr>
      <w:tr>
        <w:tc>
          <w:tcPr>
            <w:tcW w:type="dxa" w:w="4968"/>
            <w:tcMar>
              <w:top w:w="90" w:type="dxa"/>
              <w:start w:w="90" w:type="dxa"/>
              <w:bottom w:w="90" w:type="dxa"/>
              <w:end w:w="90" w:type="dxa"/>
            </w:tcMar>
          </w:tcPr>
          <w:p>
            <w:pPr>
              <w:pStyle w:val="BodyX"/>
            </w:pPr>
            <w:r>
              <w:t>too_unstable_recently</w:t>
            </w:r>
          </w:p>
        </w:tc>
        <w:tc>
          <w:tcPr>
            <w:tcW w:type="dxa" w:w="4968"/>
            <w:tcMar>
              <w:top w:w="90" w:type="dxa"/>
              <w:start w:w="90" w:type="dxa"/>
              <w:bottom w:w="90" w:type="dxa"/>
              <w:end w:w="90" w:type="dxa"/>
            </w:tcMar>
          </w:tcPr>
          <w:p>
            <w:pPr>
              <w:pStyle w:val="BodyX"/>
            </w:pPr>
            <w:r>
              <w:t>Recent escalation rate is too high for safe drift reclassification.</w:t>
            </w:r>
          </w:p>
        </w:tc>
      </w:tr>
      <w:tr>
        <w:tc>
          <w:tcPr>
            <w:tcW w:type="dxa" w:w="4968"/>
            <w:tcMar>
              <w:top w:w="90" w:type="dxa"/>
              <w:start w:w="90" w:type="dxa"/>
              <w:bottom w:w="90" w:type="dxa"/>
              <w:end w:w="90" w:type="dxa"/>
            </w:tcMar>
          </w:tcPr>
          <w:p>
            <w:pPr>
              <w:pStyle w:val="BodyX"/>
            </w:pPr>
            <w:r>
              <w:t>high_volatility</w:t>
            </w:r>
          </w:p>
        </w:tc>
        <w:tc>
          <w:tcPr>
            <w:tcW w:type="dxa" w:w="4968"/>
            <w:tcMar>
              <w:top w:w="90" w:type="dxa"/>
              <w:start w:w="90" w:type="dxa"/>
              <w:bottom w:w="90" w:type="dxa"/>
              <w:end w:w="90" w:type="dxa"/>
            </w:tcMar>
          </w:tcPr>
          <w:p>
            <w:pPr>
              <w:pStyle w:val="BodyX"/>
            </w:pPr>
            <w:r>
              <w:t>Arousal volatility is too high; postpone slow drift.</w:t>
            </w:r>
          </w:p>
        </w:tc>
      </w:tr>
      <w:tr>
        <w:tc>
          <w:tcPr>
            <w:tcW w:type="dxa" w:w="4968"/>
            <w:tcMar>
              <w:top w:w="90" w:type="dxa"/>
              <w:start w:w="90" w:type="dxa"/>
              <w:bottom w:w="90" w:type="dxa"/>
              <w:end w:w="90" w:type="dxa"/>
            </w:tcMar>
          </w:tcPr>
          <w:p>
            <w:pPr>
              <w:pStyle w:val="BodyX"/>
            </w:pPr>
            <w:r>
              <w:t>trend_not_settled</w:t>
            </w:r>
          </w:p>
        </w:tc>
        <w:tc>
          <w:tcPr>
            <w:tcW w:type="dxa" w:w="4968"/>
            <w:tcMar>
              <w:top w:w="90" w:type="dxa"/>
              <w:start w:w="90" w:type="dxa"/>
              <w:bottom w:w="90" w:type="dxa"/>
              <w:end w:w="90" w:type="dxa"/>
            </w:tcMar>
          </w:tcPr>
          <w:p>
            <w:pPr>
              <w:pStyle w:val="BodyX"/>
            </w:pPr>
            <w:r>
              <w:t>Arousal slope suggests the user is still moving sharply rather than stabilizing.</w:t>
            </w:r>
          </w:p>
        </w:tc>
      </w:tr>
      <w:tr>
        <w:tc>
          <w:tcPr>
            <w:tcW w:type="dxa" w:w="4968"/>
            <w:tcMar>
              <w:top w:w="90" w:type="dxa"/>
              <w:start w:w="90" w:type="dxa"/>
              <w:bottom w:w="90" w:type="dxa"/>
              <w:end w:w="90" w:type="dxa"/>
            </w:tcMar>
          </w:tcPr>
          <w:p>
            <w:pPr>
              <w:pStyle w:val="BodyX"/>
            </w:pPr>
            <w:r>
              <w:t>contradictions_spiking</w:t>
            </w:r>
          </w:p>
        </w:tc>
        <w:tc>
          <w:tcPr>
            <w:tcW w:type="dxa" w:w="4968"/>
            <w:tcMar>
              <w:top w:w="90" w:type="dxa"/>
              <w:start w:w="90" w:type="dxa"/>
              <w:bottom w:w="90" w:type="dxa"/>
              <w:end w:w="90" w:type="dxa"/>
            </w:tcMar>
          </w:tcPr>
          <w:p>
            <w:pPr>
              <w:pStyle w:val="BodyX"/>
            </w:pPr>
            <w:r>
              <w:t>Contradictions remain too elevated or have not improved enough.</w:t>
            </w:r>
          </w:p>
        </w:tc>
      </w:tr>
      <w:tr>
        <w:tc>
          <w:tcPr>
            <w:tcW w:type="dxa" w:w="4968"/>
            <w:tcMar>
              <w:top w:w="90" w:type="dxa"/>
              <w:start w:w="90" w:type="dxa"/>
              <w:bottom w:w="90" w:type="dxa"/>
              <w:end w:w="90" w:type="dxa"/>
            </w:tcMar>
          </w:tcPr>
          <w:p>
            <w:pPr>
              <w:pStyle w:val="BodyX"/>
            </w:pPr>
            <w:r>
              <w:t>behavior_inconsistent</w:t>
            </w:r>
          </w:p>
        </w:tc>
        <w:tc>
          <w:tcPr>
            <w:tcW w:type="dxa" w:w="4968"/>
            <w:tcMar>
              <w:top w:w="90" w:type="dxa"/>
              <w:start w:w="90" w:type="dxa"/>
              <w:bottom w:w="90" w:type="dxa"/>
              <w:end w:w="90" w:type="dxa"/>
            </w:tcMar>
          </w:tcPr>
          <w:p>
            <w:pPr>
              <w:pStyle w:val="BodyX"/>
            </w:pPr>
            <w:r>
              <w:t>Move entropy indicates unstable or chaotic behavior distribution.</w:t>
            </w:r>
          </w:p>
        </w:tc>
      </w:tr>
    </w:tbl>
    <w:p>
      <w:pPr>
        <w:pStyle w:val="H2X"/>
      </w:pPr>
      <w:r>
        <w:t>C9. Drift state machine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8F0E7"/>
          </w:tcPr>
          <w:p>
            <w:pPr>
              <w:pStyle w:val="BodyX"/>
            </w:pPr>
            <w:r>
              <w:t>State</w:t>
            </w:r>
          </w:p>
        </w:tc>
        <w:tc>
          <w:tcPr>
            <w:tcW w:type="dxa" w:w="2484"/>
            <w:shd w:fill="E8F0E7"/>
          </w:tcPr>
          <w:p>
            <w:pPr>
              <w:pStyle w:val="BodyX"/>
            </w:pPr>
            <w:r>
              <w:t>Meaning</w:t>
            </w:r>
          </w:p>
        </w:tc>
        <w:tc>
          <w:tcPr>
            <w:tcW w:type="dxa" w:w="2484"/>
            <w:shd w:fill="E8F0E7"/>
          </w:tcPr>
          <w:p>
            <w:pPr>
              <w:pStyle w:val="BodyX"/>
            </w:pPr>
            <w:r>
              <w:t>Enter when</w:t>
            </w:r>
          </w:p>
        </w:tc>
        <w:tc>
          <w:tcPr>
            <w:tcW w:type="dxa" w:w="2484"/>
            <w:shd w:fill="E8F0E7"/>
          </w:tcPr>
          <w:p>
            <w:pPr>
              <w:pStyle w:val="BodyX"/>
            </w:pPr>
            <w:r>
              <w:t>Exit when</w:t>
            </w:r>
          </w:p>
        </w:tc>
      </w:tr>
      <w:tr>
        <w:tc>
          <w:tcPr>
            <w:tcW w:type="dxa" w:w="2484"/>
            <w:tcMar>
              <w:top w:w="90" w:type="dxa"/>
              <w:start w:w="90" w:type="dxa"/>
              <w:bottom w:w="90" w:type="dxa"/>
              <w:end w:w="90" w:type="dxa"/>
            </w:tcMar>
          </w:tcPr>
          <w:p>
            <w:pPr>
              <w:pStyle w:val="BodyX"/>
            </w:pPr>
            <w:r>
              <w:t>none</w:t>
            </w:r>
          </w:p>
        </w:tc>
        <w:tc>
          <w:tcPr>
            <w:tcW w:type="dxa" w:w="2484"/>
            <w:tcMar>
              <w:top w:w="90" w:type="dxa"/>
              <w:start w:w="90" w:type="dxa"/>
              <w:bottom w:w="90" w:type="dxa"/>
              <w:end w:w="90" w:type="dxa"/>
            </w:tcMar>
          </w:tcPr>
          <w:p>
            <w:pPr>
              <w:pStyle w:val="BodyX"/>
            </w:pPr>
            <w:r>
              <w:t>No drift evidence yet</w:t>
            </w:r>
          </w:p>
        </w:tc>
        <w:tc>
          <w:tcPr>
            <w:tcW w:type="dxa" w:w="2484"/>
            <w:tcMar>
              <w:top w:w="90" w:type="dxa"/>
              <w:start w:w="90" w:type="dxa"/>
              <w:bottom w:w="90" w:type="dxa"/>
              <w:end w:w="90" w:type="dxa"/>
            </w:tcMar>
          </w:tcPr>
          <w:p>
            <w:pPr>
              <w:pStyle w:val="BodyX"/>
            </w:pPr>
            <w:r>
              <w:t>New user or no drift-eligible rollups</w:t>
            </w:r>
          </w:p>
        </w:tc>
        <w:tc>
          <w:tcPr>
            <w:tcW w:type="dxa" w:w="2484"/>
            <w:tcMar>
              <w:top w:w="90" w:type="dxa"/>
              <w:start w:w="90" w:type="dxa"/>
              <w:bottom w:w="90" w:type="dxa"/>
              <w:end w:w="90" w:type="dxa"/>
            </w:tcMar>
          </w:tcPr>
          <w:p>
            <w:pPr>
              <w:pStyle w:val="BodyX"/>
            </w:pPr>
            <w:r>
              <w:t>Evidence arrives</w:t>
            </w:r>
          </w:p>
        </w:tc>
      </w:tr>
      <w:tr>
        <w:tc>
          <w:tcPr>
            <w:tcW w:type="dxa" w:w="2484"/>
            <w:tcMar>
              <w:top w:w="90" w:type="dxa"/>
              <w:start w:w="90" w:type="dxa"/>
              <w:bottom w:w="90" w:type="dxa"/>
              <w:end w:w="90" w:type="dxa"/>
            </w:tcMar>
          </w:tcPr>
          <w:p>
            <w:pPr>
              <w:pStyle w:val="BodyX"/>
            </w:pPr>
            <w:r>
              <w:t>provisional_watch</w:t>
            </w:r>
          </w:p>
        </w:tc>
        <w:tc>
          <w:tcPr>
            <w:tcW w:type="dxa" w:w="2484"/>
            <w:tcMar>
              <w:top w:w="90" w:type="dxa"/>
              <w:start w:w="90" w:type="dxa"/>
              <w:bottom w:w="90" w:type="dxa"/>
              <w:end w:w="90" w:type="dxa"/>
            </w:tcMar>
          </w:tcPr>
          <w:p>
            <w:pPr>
              <w:pStyle w:val="BodyX"/>
            </w:pPr>
            <w:r>
              <w:t>Soft movement pressure exists but gates do not fully pass</w:t>
            </w:r>
          </w:p>
        </w:tc>
        <w:tc>
          <w:tcPr>
            <w:tcW w:type="dxa" w:w="2484"/>
            <w:tcMar>
              <w:top w:w="90" w:type="dxa"/>
              <w:start w:w="90" w:type="dxa"/>
              <w:bottom w:w="90" w:type="dxa"/>
              <w:end w:w="90" w:type="dxa"/>
            </w:tcMar>
          </w:tcPr>
          <w:p>
            <w:pPr>
              <w:pStyle w:val="BodyX"/>
            </w:pPr>
            <w:r>
              <w:t>Micro-drift pressure detected but slow drift gates not met</w:t>
            </w:r>
          </w:p>
        </w:tc>
        <w:tc>
          <w:tcPr>
            <w:tcW w:type="dxa" w:w="2484"/>
            <w:tcMar>
              <w:top w:w="90" w:type="dxa"/>
              <w:start w:w="90" w:type="dxa"/>
              <w:bottom w:w="90" w:type="dxa"/>
              <w:end w:w="90" w:type="dxa"/>
            </w:tcMar>
          </w:tcPr>
          <w:p>
            <w:pPr>
              <w:pStyle w:val="BodyX"/>
            </w:pPr>
            <w:r>
              <w:t>Pressure clears or gates pass consistently</w:t>
            </w:r>
          </w:p>
        </w:tc>
      </w:tr>
      <w:tr>
        <w:tc>
          <w:tcPr>
            <w:tcW w:type="dxa" w:w="2484"/>
            <w:tcMar>
              <w:top w:w="90" w:type="dxa"/>
              <w:start w:w="90" w:type="dxa"/>
              <w:bottom w:w="90" w:type="dxa"/>
              <w:end w:w="90" w:type="dxa"/>
            </w:tcMar>
          </w:tcPr>
          <w:p>
            <w:pPr>
              <w:pStyle w:val="BodyX"/>
            </w:pPr>
            <w:r>
              <w:t>hold_unstable</w:t>
            </w:r>
          </w:p>
        </w:tc>
        <w:tc>
          <w:tcPr>
            <w:tcW w:type="dxa" w:w="2484"/>
            <w:tcMar>
              <w:top w:w="90" w:type="dxa"/>
              <w:start w:w="90" w:type="dxa"/>
              <w:bottom w:w="90" w:type="dxa"/>
              <w:end w:w="90" w:type="dxa"/>
            </w:tcMar>
          </w:tcPr>
          <w:p>
            <w:pPr>
              <w:pStyle w:val="BodyX"/>
            </w:pPr>
            <w:r>
              <w:t>System is explicitly preventing drift because recent instability is too high</w:t>
            </w:r>
          </w:p>
        </w:tc>
        <w:tc>
          <w:tcPr>
            <w:tcW w:type="dxa" w:w="2484"/>
            <w:tcMar>
              <w:top w:w="90" w:type="dxa"/>
              <w:start w:w="90" w:type="dxa"/>
              <w:bottom w:w="90" w:type="dxa"/>
              <w:end w:w="90" w:type="dxa"/>
            </w:tcMar>
          </w:tcPr>
          <w:p>
            <w:pPr>
              <w:pStyle w:val="BodyX"/>
            </w:pPr>
            <w:r>
              <w:t>E20 &gt; 0.35 or A_std50 &gt; 0.22</w:t>
            </w:r>
          </w:p>
        </w:tc>
        <w:tc>
          <w:tcPr>
            <w:tcW w:type="dxa" w:w="2484"/>
            <w:tcMar>
              <w:top w:w="90" w:type="dxa"/>
              <w:start w:w="90" w:type="dxa"/>
              <w:bottom w:w="90" w:type="dxa"/>
              <w:end w:w="90" w:type="dxa"/>
            </w:tcMar>
          </w:tcPr>
          <w:p>
            <w:pPr>
              <w:pStyle w:val="BodyX"/>
            </w:pPr>
            <w:r>
              <w:t>Stability gates pass for two consecutive recomputes</w:t>
            </w:r>
          </w:p>
        </w:tc>
      </w:tr>
      <w:tr>
        <w:tc>
          <w:tcPr>
            <w:tcW w:type="dxa" w:w="2484"/>
            <w:tcMar>
              <w:top w:w="90" w:type="dxa"/>
              <w:start w:w="90" w:type="dxa"/>
              <w:bottom w:w="90" w:type="dxa"/>
              <w:end w:w="90" w:type="dxa"/>
            </w:tcMar>
          </w:tcPr>
          <w:p>
            <w:pPr>
              <w:pStyle w:val="BodyX"/>
            </w:pPr>
            <w:r>
              <w:t>eligible_micro_drift</w:t>
            </w:r>
          </w:p>
        </w:tc>
        <w:tc>
          <w:tcPr>
            <w:tcW w:type="dxa" w:w="2484"/>
            <w:tcMar>
              <w:top w:w="90" w:type="dxa"/>
              <w:start w:w="90" w:type="dxa"/>
              <w:bottom w:w="90" w:type="dxa"/>
              <w:end w:w="90" w:type="dxa"/>
            </w:tcMar>
          </w:tcPr>
          <w:p>
            <w:pPr>
              <w:pStyle w:val="BodyX"/>
            </w:pPr>
            <w:r>
              <w:t>Micro-drift may update shadow_trait_prior or attachment_stability_index with caps</w:t>
            </w:r>
          </w:p>
        </w:tc>
        <w:tc>
          <w:tcPr>
            <w:tcW w:type="dxa" w:w="2484"/>
            <w:tcMar>
              <w:top w:w="90" w:type="dxa"/>
              <w:start w:w="90" w:type="dxa"/>
              <w:bottom w:w="90" w:type="dxa"/>
              <w:end w:w="90" w:type="dxa"/>
            </w:tcMar>
          </w:tcPr>
          <w:p>
            <w:pPr>
              <w:pStyle w:val="BodyX"/>
            </w:pPr>
            <w:r>
              <w:t>Pressure exists and micro-drift rules pass</w:t>
            </w:r>
          </w:p>
        </w:tc>
        <w:tc>
          <w:tcPr>
            <w:tcW w:type="dxa" w:w="2484"/>
            <w:tcMar>
              <w:top w:w="90" w:type="dxa"/>
              <w:start w:w="90" w:type="dxa"/>
              <w:bottom w:w="90" w:type="dxa"/>
              <w:end w:w="90" w:type="dxa"/>
            </w:tcMar>
          </w:tcPr>
          <w:p>
            <w:pPr>
              <w:pStyle w:val="BodyX"/>
            </w:pPr>
            <w:r>
              <w:t>Pressure clears or stronger drift state applies</w:t>
            </w:r>
          </w:p>
        </w:tc>
      </w:tr>
      <w:tr>
        <w:tc>
          <w:tcPr>
            <w:tcW w:type="dxa" w:w="2484"/>
            <w:tcMar>
              <w:top w:w="90" w:type="dxa"/>
              <w:start w:w="90" w:type="dxa"/>
              <w:bottom w:w="90" w:type="dxa"/>
              <w:end w:w="90" w:type="dxa"/>
            </w:tcMar>
          </w:tcPr>
          <w:p>
            <w:pPr>
              <w:pStyle w:val="BodyX"/>
            </w:pPr>
            <w:r>
              <w:t>eligible_slow_drift</w:t>
            </w:r>
          </w:p>
        </w:tc>
        <w:tc>
          <w:tcPr>
            <w:tcW w:type="dxa" w:w="2484"/>
            <w:tcMar>
              <w:top w:w="90" w:type="dxa"/>
              <w:start w:w="90" w:type="dxa"/>
              <w:bottom w:w="90" w:type="dxa"/>
              <w:end w:w="90" w:type="dxa"/>
            </w:tcMar>
          </w:tcPr>
          <w:p>
            <w:pPr>
              <w:pStyle w:val="BodyX"/>
            </w:pPr>
            <w:r>
              <w:t>Slow drift may update allowed slow traits</w:t>
            </w:r>
          </w:p>
        </w:tc>
        <w:tc>
          <w:tcPr>
            <w:tcW w:type="dxa" w:w="2484"/>
            <w:tcMar>
              <w:top w:w="90" w:type="dxa"/>
              <w:start w:w="90" w:type="dxa"/>
              <w:bottom w:w="90" w:type="dxa"/>
              <w:end w:w="90" w:type="dxa"/>
            </w:tcMar>
          </w:tcPr>
          <w:p>
            <w:pPr>
              <w:pStyle w:val="BodyX"/>
            </w:pPr>
            <w:r>
              <w:t>All gates pass and conf &gt;= 0.60</w:t>
            </w:r>
          </w:p>
        </w:tc>
        <w:tc>
          <w:tcPr>
            <w:tcW w:type="dxa" w:w="2484"/>
            <w:tcMar>
              <w:top w:w="90" w:type="dxa"/>
              <w:start w:w="90" w:type="dxa"/>
              <w:bottom w:w="90" w:type="dxa"/>
              <w:end w:w="90" w:type="dxa"/>
            </w:tcMar>
          </w:tcPr>
          <w:p>
            <w:pPr>
              <w:pStyle w:val="BodyX"/>
            </w:pPr>
            <w:r>
              <w:t>Stability fails or cooldown begins after apply</w:t>
            </w:r>
          </w:p>
        </w:tc>
      </w:tr>
      <w:tr>
        <w:tc>
          <w:tcPr>
            <w:tcW w:type="dxa" w:w="2484"/>
            <w:tcMar>
              <w:top w:w="90" w:type="dxa"/>
              <w:start w:w="90" w:type="dxa"/>
              <w:bottom w:w="90" w:type="dxa"/>
              <w:end w:w="90" w:type="dxa"/>
            </w:tcMar>
          </w:tcPr>
          <w:p>
            <w:pPr>
              <w:pStyle w:val="BodyX"/>
            </w:pPr>
            <w:r>
              <w:t>active_slow_drift</w:t>
            </w:r>
          </w:p>
        </w:tc>
        <w:tc>
          <w:tcPr>
            <w:tcW w:type="dxa" w:w="2484"/>
            <w:tcMar>
              <w:top w:w="90" w:type="dxa"/>
              <w:start w:w="90" w:type="dxa"/>
              <w:bottom w:w="90" w:type="dxa"/>
              <w:end w:w="90" w:type="dxa"/>
            </w:tcMar>
          </w:tcPr>
          <w:p>
            <w:pPr>
              <w:pStyle w:val="BodyX"/>
            </w:pPr>
            <w:r>
              <w:t>A permitted slow trait update has been applied during current cycle</w:t>
            </w:r>
          </w:p>
        </w:tc>
        <w:tc>
          <w:tcPr>
            <w:tcW w:type="dxa" w:w="2484"/>
            <w:tcMar>
              <w:top w:w="90" w:type="dxa"/>
              <w:start w:w="90" w:type="dxa"/>
              <w:bottom w:w="90" w:type="dxa"/>
              <w:end w:w="90" w:type="dxa"/>
            </w:tcMar>
          </w:tcPr>
          <w:p>
            <w:pPr>
              <w:pStyle w:val="BodyX"/>
            </w:pPr>
            <w:r>
              <w:t>eligible_slow_drift and capped update committed</w:t>
            </w:r>
          </w:p>
        </w:tc>
        <w:tc>
          <w:tcPr>
            <w:tcW w:type="dxa" w:w="2484"/>
            <w:tcMar>
              <w:top w:w="90" w:type="dxa"/>
              <w:start w:w="90" w:type="dxa"/>
              <w:bottom w:w="90" w:type="dxa"/>
              <w:end w:w="90" w:type="dxa"/>
            </w:tcMar>
          </w:tcPr>
          <w:p>
            <w:pPr>
              <w:pStyle w:val="BodyX"/>
            </w:pPr>
            <w:r>
              <w:t>Cooldown ends</w:t>
            </w:r>
          </w:p>
        </w:tc>
      </w:tr>
      <w:tr>
        <w:tc>
          <w:tcPr>
            <w:tcW w:type="dxa" w:w="2484"/>
            <w:tcMar>
              <w:top w:w="90" w:type="dxa"/>
              <w:start w:w="90" w:type="dxa"/>
              <w:bottom w:w="90" w:type="dxa"/>
              <w:end w:w="90" w:type="dxa"/>
            </w:tcMar>
          </w:tcPr>
          <w:p>
            <w:pPr>
              <w:pStyle w:val="BodyX"/>
            </w:pPr>
            <w:r>
              <w:t>cooldown</w:t>
            </w:r>
          </w:p>
        </w:tc>
        <w:tc>
          <w:tcPr>
            <w:tcW w:type="dxa" w:w="2484"/>
            <w:tcMar>
              <w:top w:w="90" w:type="dxa"/>
              <w:start w:w="90" w:type="dxa"/>
              <w:bottom w:w="90" w:type="dxa"/>
              <w:end w:w="90" w:type="dxa"/>
            </w:tcMar>
          </w:tcPr>
          <w:p>
            <w:pPr>
              <w:pStyle w:val="BodyX"/>
            </w:pPr>
            <w:r>
              <w:t>Prevent repeated reclassification thrashing</w:t>
            </w:r>
          </w:p>
        </w:tc>
        <w:tc>
          <w:tcPr>
            <w:tcW w:type="dxa" w:w="2484"/>
            <w:tcMar>
              <w:top w:w="90" w:type="dxa"/>
              <w:start w:w="90" w:type="dxa"/>
              <w:bottom w:w="90" w:type="dxa"/>
              <w:end w:w="90" w:type="dxa"/>
            </w:tcMar>
          </w:tcPr>
          <w:p>
            <w:pPr>
              <w:pStyle w:val="BodyX"/>
            </w:pPr>
            <w:r>
              <w:t>Any slow-drift apply event</w:t>
            </w:r>
          </w:p>
        </w:tc>
        <w:tc>
          <w:tcPr>
            <w:tcW w:type="dxa" w:w="2484"/>
            <w:tcMar>
              <w:top w:w="90" w:type="dxa"/>
              <w:start w:w="90" w:type="dxa"/>
              <w:bottom w:w="90" w:type="dxa"/>
              <w:end w:w="90" w:type="dxa"/>
            </w:tcMar>
          </w:tcPr>
          <w:p>
            <w:pPr>
              <w:pStyle w:val="BodyX"/>
            </w:pPr>
            <w:r>
              <w:t>Cooldown duration expires and new evidence accumulates</w:t>
            </w:r>
          </w:p>
        </w:tc>
      </w:tr>
    </w:tbl>
    <w:p>
      <w:pPr>
        <w:pStyle w:val="H2X"/>
      </w:pPr>
      <w:r>
        <w:t>C10. Transition rules</w:t>
      </w:r>
    </w:p>
    <w:p>
      <w:pPr>
        <w:pStyle w:val="BulletX"/>
        <w:ind w:left="288"/>
      </w:pPr>
      <w:r>
        <w:rPr>
          <w:b/>
        </w:rPr>
        <w:t xml:space="preserve">• </w:t>
      </w:r>
      <w:r>
        <w:t>none -&gt; provisional_watch when repeated micro-pressure is detected but evidence is still shallow.</w:t>
      </w:r>
    </w:p>
    <w:p>
      <w:pPr>
        <w:pStyle w:val="BulletX"/>
        <w:ind w:left="288"/>
      </w:pPr>
      <w:r>
        <w:rPr>
          <w:b/>
        </w:rPr>
        <w:t xml:space="preserve">• </w:t>
      </w:r>
      <w:r>
        <w:t>provisional_watch -&gt; hold_unstable when E20 or A_std50 crosses instability gates.</w:t>
      </w:r>
    </w:p>
    <w:p>
      <w:pPr>
        <w:pStyle w:val="BulletX"/>
        <w:ind w:left="288"/>
      </w:pPr>
      <w:r>
        <w:rPr>
          <w:b/>
        </w:rPr>
        <w:t xml:space="preserve">• </w:t>
      </w:r>
      <w:r>
        <w:t>provisional_watch -&gt; eligible_micro_drift when micro-drift-specific thresholds are met for at least two consecutive recomputes.</w:t>
      </w:r>
    </w:p>
    <w:p>
      <w:pPr>
        <w:pStyle w:val="BulletX"/>
        <w:ind w:left="288"/>
      </w:pPr>
      <w:r>
        <w:rPr>
          <w:b/>
        </w:rPr>
        <w:t xml:space="preserve">• </w:t>
      </w:r>
      <w:r>
        <w:t>eligible_micro_drift -&gt; eligible_slow_drift only if all slow gates pass and conf &gt;= 0.60.</w:t>
      </w:r>
    </w:p>
    <w:p>
      <w:pPr>
        <w:pStyle w:val="BulletX"/>
        <w:ind w:left="288"/>
      </w:pPr>
      <w:r>
        <w:rPr>
          <w:b/>
        </w:rPr>
        <w:t xml:space="preserve">• </w:t>
      </w:r>
      <w:r>
        <w:t>eligible_slow_drift -&gt; active_slow_drift only after an update commit writes old value, delta, reason codes, and version id to the audit ledger.</w:t>
      </w:r>
    </w:p>
    <w:p>
      <w:pPr>
        <w:pStyle w:val="BulletX"/>
        <w:ind w:left="288"/>
      </w:pPr>
      <w:r>
        <w:rPr>
          <w:b/>
        </w:rPr>
        <w:t xml:space="preserve">• </w:t>
      </w:r>
      <w:r>
        <w:t>active_slow_drift -&gt; cooldown immediately after apply. Cooldown prevents churn.</w:t>
      </w:r>
    </w:p>
    <w:p>
      <w:pPr>
        <w:pStyle w:val="BulletX"/>
        <w:ind w:left="288"/>
      </w:pPr>
      <w:r>
        <w:rPr>
          <w:b/>
        </w:rPr>
        <w:t xml:space="preserve">• </w:t>
      </w:r>
      <w:r>
        <w:t>cooldown -&gt; provisional_watch or none once the cooldown duration expires and fresh evidence exists.</w:t>
      </w:r>
    </w:p>
    <w:p>
      <w:pPr>
        <w:pStyle w:val="H2X"/>
      </w:pPr>
      <w:r>
        <w:t>C11. Update caps</w:t>
      </w:r>
    </w:p>
    <w:p>
      <w:pPr>
        <w:pStyle w:val="CodeX"/>
      </w:pPr>
      <w:r>
        <w:t>shadow_activation_recent_k = shadow_activation_recent_k + B * (a_k - shadow_activation_recent_k), where B = 0.06</w:t>
      </w:r>
    </w:p>
    <w:p>
      <w:pPr>
        <w:pStyle w:val="CodeX"/>
      </w:pPr>
      <w:r>
        <w:t>daily increase cap per shadow activation recent = +0.12</w:t>
      </w:r>
    </w:p>
    <w:p>
      <w:pPr>
        <w:pStyle w:val="CodeX"/>
      </w:pPr>
      <w:r>
        <w:t>shadow_effective_k = clip(0.70 * shadow_trait_prior_k + 0.30 * shadow_activation_recent_k, 0.00, 1.00)</w:t>
      </w:r>
    </w:p>
    <w:p>
      <w:pPr>
        <w:pStyle w:val="BulletX"/>
        <w:ind w:left="288"/>
      </w:pPr>
      <w:r>
        <w:rPr>
          <w:b/>
        </w:rPr>
        <w:t xml:space="preserve">• </w:t>
      </w:r>
      <w:r>
        <w:t>One bad fight must not permanently brand a user.</w:t>
      </w:r>
    </w:p>
    <w:p>
      <w:pPr>
        <w:pStyle w:val="BulletX"/>
        <w:ind w:left="288"/>
      </w:pPr>
      <w:r>
        <w:rPr>
          <w:b/>
        </w:rPr>
        <w:t xml:space="preserve">• </w:t>
      </w:r>
      <w:r>
        <w:t>Meaningful activation requires persistence: treat a shadow as active only if a_k &gt;= 0.70 in at least 3 of the last 10 eligible events.</w:t>
      </w:r>
    </w:p>
    <w:p>
      <w:pPr>
        <w:pStyle w:val="BulletX"/>
        <w:ind w:left="288"/>
      </w:pPr>
      <w:r>
        <w:rPr>
          <w:b/>
        </w:rPr>
        <w:t xml:space="preserve">• </w:t>
      </w:r>
      <w:r>
        <w:t>Slow trait updates should be capped per cycle and logged with before/after values.</w:t>
      </w:r>
    </w:p>
    <w:p>
      <w:pPr>
        <w:pStyle w:val="H2X"/>
      </w:pPr>
      <w:r>
        <w:t>C12. Pseudocode</w:t>
      </w:r>
    </w:p>
    <w:p>
      <w:pPr>
        <w:pStyle w:val="CodeX"/>
      </w:pPr>
      <w:r>
        <w:t>function DriftEligibility(roll50, roll20, rollPrev50, currentState):</w:t>
      </w:r>
    </w:p>
    <w:p>
      <w:pPr>
        <w:pStyle w:val="CodeX"/>
      </w:pPr>
      <w:r>
        <w:t xml:space="preserve">    reasons = []</w:t>
      </w:r>
    </w:p>
    <w:p>
      <w:pPr>
        <w:pStyle w:val="CodeX"/>
      </w:pPr>
      <w:r>
        <w:t xml:space="preserve">    if roll50.total_events &lt; 50: reasons += ['insufficient_events']</w:t>
      </w:r>
    </w:p>
    <w:p>
      <w:pPr>
        <w:pStyle w:val="CodeX"/>
      </w:pPr>
      <w:r>
        <w:t xml:space="preserve">    if roll50.unique_days &lt; 10: reasons += ['insufficient_day_spread']</w:t>
      </w:r>
    </w:p>
    <w:p>
      <w:pPr>
        <w:pStyle w:val="CodeX"/>
      </w:pPr>
      <w:r>
        <w:t xml:space="preserve">    if roll20.escalation_rate &gt; 0.35: reasons += ['too_unstable_recently']</w:t>
      </w:r>
    </w:p>
    <w:p>
      <w:pPr>
        <w:pStyle w:val="CodeX"/>
      </w:pPr>
      <w:r>
        <w:t xml:space="preserve">    if roll50.arousal_std &gt; 0.22: reasons += ['high_volatility']</w:t>
      </w:r>
    </w:p>
    <w:p>
      <w:pPr>
        <w:pStyle w:val="CodeX"/>
      </w:pPr>
      <w:r>
        <w:t xml:space="preserve">    if abs(roll50.arousal_slope) &gt; 0.05: reasons += ['trend_not_settled']</w:t>
      </w:r>
    </w:p>
    <w:p>
      <w:pPr>
        <w:pStyle w:val="CodeX"/>
      </w:pPr>
      <w:r>
        <w:t xml:space="preserve">    contradiction_ok = (roll50.contradiction_mean &lt;= 0.55) or ((rollPrev50 exists) and ((rollPrev50.contradiction_mean - roll50.contradiction_mean) &gt;= 0.10))</w:t>
      </w:r>
    </w:p>
    <w:p>
      <w:pPr>
        <w:pStyle w:val="CodeX"/>
      </w:pPr>
      <w:r>
        <w:t xml:space="preserve">    if not contradiction_ok: reasons += ['contradictions_spiking']</w:t>
      </w:r>
    </w:p>
    <w:p>
      <w:pPr>
        <w:pStyle w:val="CodeX"/>
      </w:pPr>
      <w:r>
        <w:t xml:space="preserve">    if roll50.move_entropy_norm &gt; 0.78: reasons += ['behavior_inconsistent']</w:t>
      </w:r>
    </w:p>
    <w:p>
      <w:pPr>
        <w:pStyle w:val="CodeX"/>
      </w:pPr>
      <w:r>
        <w:t xml:space="preserve">    conf = compute_conf(...)</w:t>
      </w:r>
    </w:p>
    <w:p>
      <w:pPr>
        <w:pStyle w:val="CodeX"/>
      </w:pPr>
      <w:r>
        <w:t xml:space="preserve">    eligible = (len(reasons) == 0) and (conf &gt;= 0.60)</w:t>
      </w:r>
    </w:p>
    <w:p>
      <w:pPr>
        <w:pStyle w:val="CodeX"/>
      </w:pPr>
      <w:r>
        <w:t xml:space="preserve">    return { eligible, reason_codes: reasons, confidence: conf }</w:t>
      </w:r>
    </w:p>
    <w:p>
      <w:r>
        <w:br w:type="page"/>
      </w:r>
    </w:p>
    <w:p>
      <w:pPr>
        <w:pStyle w:val="H1X"/>
      </w:pPr>
      <w:r>
        <w:t>Appendix D - User-Facing Copy Library</w:t>
      </w:r>
    </w:p>
    <w:p>
      <w:pPr>
        <w:pStyle w:val="H2X"/>
      </w:pPr>
      <w:r>
        <w:t>D1. Purpose</w:t>
      </w:r>
    </w:p>
    <w:p>
      <w:pPr>
        <w:pStyle w:val="BodyX"/>
      </w:pPr>
      <w:r>
        <w:t>This library standardizes how readiness and forecast surfaces explain scores without sounding clinical, deterministic, or manipulative. Copy must be calm, specific, and non-prophetic. The product is allowed to give signals and guidance. It is not allowed to cosplay as fate.</w:t>
      </w:r>
    </w:p>
    <w:p>
      <w:pPr>
        <w:pStyle w:val="H2X"/>
      </w:pPr>
      <w:r>
        <w:t>D2. Copy rules</w:t>
      </w:r>
    </w:p>
    <w:p>
      <w:pPr>
        <w:pStyle w:val="BulletX"/>
        <w:ind w:left="288"/>
      </w:pPr>
      <w:r>
        <w:rPr>
          <w:b/>
        </w:rPr>
        <w:t xml:space="preserve">• </w:t>
      </w:r>
      <w:r>
        <w:t>Prefer signal, pattern, trend, current outlook, current evidence.</w:t>
      </w:r>
    </w:p>
    <w:p>
      <w:pPr>
        <w:pStyle w:val="BulletX"/>
        <w:ind w:left="288"/>
      </w:pPr>
      <w:r>
        <w:rPr>
          <w:b/>
        </w:rPr>
        <w:t xml:space="preserve">• </w:t>
      </w:r>
      <w:r>
        <w:t>Avoid destiny, guaranteed outcome, diagnosis, final truth, doomed, soulmate certainty.</w:t>
      </w:r>
    </w:p>
    <w:p>
      <w:pPr>
        <w:pStyle w:val="BulletX"/>
        <w:ind w:left="288"/>
      </w:pPr>
      <w:r>
        <w:rPr>
          <w:b/>
        </w:rPr>
        <w:t xml:space="preserve">• </w:t>
      </w:r>
      <w:r>
        <w:t>Use the present tense. Forecast speaks about current projected pattern, not permanent identity.</w:t>
      </w:r>
    </w:p>
    <w:p>
      <w:pPr>
        <w:pStyle w:val="BulletX"/>
        <w:ind w:left="288"/>
      </w:pPr>
      <w:r>
        <w:rPr>
          <w:b/>
        </w:rPr>
        <w:t xml:space="preserve">• </w:t>
      </w:r>
      <w:r>
        <w:t>Do not tell users another person is bad, broken, or unsafe as a medical-style verdict.</w:t>
      </w:r>
    </w:p>
    <w:p>
      <w:pPr>
        <w:pStyle w:val="BulletX"/>
        <w:ind w:left="288"/>
      </w:pPr>
      <w:r>
        <w:rPr>
          <w:b/>
        </w:rPr>
        <w:t xml:space="preserve">• </w:t>
      </w:r>
      <w:r>
        <w:t>When confidence is low, say so plainly and avoid numeric theater.</w:t>
      </w:r>
    </w:p>
    <w:p>
      <w:pPr>
        <w:pStyle w:val="H2X"/>
      </w:pPr>
      <w:r>
        <w:t>D3. Readiness copy library</w:t>
      </w:r>
    </w:p>
    <w:tbl>
      <w:tblPr>
        <w:tblStyle w:val="TableGrid"/>
        <w:tblW w:type="auto" w:w="0"/>
        <w:tblLook w:firstColumn="1" w:firstRow="1" w:lastColumn="0" w:lastRow="0" w:noHBand="0" w:noVBand="1" w:val="04A0"/>
      </w:tblPr>
      <w:tblGrid>
        <w:gridCol w:w="3312"/>
        <w:gridCol w:w="3312"/>
        <w:gridCol w:w="3312"/>
      </w:tblGrid>
      <w:tr>
        <w:tc>
          <w:tcPr>
            <w:tcW w:type="dxa" w:w="3312"/>
            <w:shd w:fill="D8E7F3"/>
          </w:tcPr>
          <w:p>
            <w:pPr>
              <w:pStyle w:val="BodyX"/>
            </w:pPr>
            <w:r>
              <w:t>Use case</w:t>
            </w:r>
          </w:p>
        </w:tc>
        <w:tc>
          <w:tcPr>
            <w:tcW w:type="dxa" w:w="3312"/>
            <w:shd w:fill="D8E7F3"/>
          </w:tcPr>
          <w:p>
            <w:pPr>
              <w:pStyle w:val="BodyX"/>
            </w:pPr>
            <w:r>
              <w:t>Recommended copy</w:t>
            </w:r>
          </w:p>
        </w:tc>
        <w:tc>
          <w:tcPr>
            <w:tcW w:type="dxa" w:w="3312"/>
            <w:shd w:fill="D8E7F3"/>
          </w:tcPr>
          <w:p>
            <w:pPr>
              <w:pStyle w:val="BodyX"/>
            </w:pPr>
            <w:r>
              <w:t>Do not use</w:t>
            </w:r>
          </w:p>
        </w:tc>
      </w:tr>
      <w:tr>
        <w:tc>
          <w:tcPr>
            <w:tcW w:type="dxa" w:w="3312"/>
            <w:tcMar>
              <w:top w:w="90" w:type="dxa"/>
              <w:start w:w="90" w:type="dxa"/>
              <w:bottom w:w="90" w:type="dxa"/>
              <w:end w:w="90" w:type="dxa"/>
            </w:tcMar>
          </w:tcPr>
          <w:p>
            <w:pPr>
              <w:pStyle w:val="BodyX"/>
            </w:pPr>
            <w:r>
              <w:t>Primary score card</w:t>
            </w:r>
          </w:p>
        </w:tc>
        <w:tc>
          <w:tcPr>
            <w:tcW w:type="dxa" w:w="3312"/>
            <w:tcMar>
              <w:top w:w="90" w:type="dxa"/>
              <w:start w:w="90" w:type="dxa"/>
              <w:bottom w:w="90" w:type="dxa"/>
              <w:end w:w="90" w:type="dxa"/>
            </w:tcMar>
          </w:tcPr>
          <w:p>
            <w:pPr>
              <w:pStyle w:val="BodyX"/>
            </w:pPr>
            <w:r>
              <w:t>Your current Readiness score is {score}. This is a signal of how steady and relationship-ready your current patterns look right now.</w:t>
            </w:r>
          </w:p>
        </w:tc>
        <w:tc>
          <w:tcPr>
            <w:tcW w:type="dxa" w:w="3312"/>
            <w:tcMar>
              <w:top w:w="90" w:type="dxa"/>
              <w:start w:w="90" w:type="dxa"/>
              <w:bottom w:w="90" w:type="dxa"/>
              <w:end w:w="90" w:type="dxa"/>
            </w:tcMar>
          </w:tcPr>
          <w:p>
            <w:pPr>
              <w:pStyle w:val="BodyX"/>
            </w:pPr>
            <w:r>
              <w:t>You are officially ready for love forever.</w:t>
            </w:r>
          </w:p>
        </w:tc>
      </w:tr>
      <w:tr>
        <w:tc>
          <w:tcPr>
            <w:tcW w:type="dxa" w:w="3312"/>
            <w:tcMar>
              <w:top w:w="90" w:type="dxa"/>
              <w:start w:w="90" w:type="dxa"/>
              <w:bottom w:w="90" w:type="dxa"/>
              <w:end w:w="90" w:type="dxa"/>
            </w:tcMar>
          </w:tcPr>
          <w:p>
            <w:pPr>
              <w:pStyle w:val="BodyX"/>
            </w:pPr>
            <w:r>
              <w:t>Band-only low confidence</w:t>
            </w:r>
          </w:p>
        </w:tc>
        <w:tc>
          <w:tcPr>
            <w:tcW w:type="dxa" w:w="3312"/>
            <w:tcMar>
              <w:top w:w="90" w:type="dxa"/>
              <w:start w:w="90" w:type="dxa"/>
              <w:bottom w:w="90" w:type="dxa"/>
              <w:end w:w="90" w:type="dxa"/>
            </w:tcMar>
          </w:tcPr>
          <w:p>
            <w:pPr>
              <w:pStyle w:val="BodyX"/>
            </w:pPr>
            <w:r>
              <w:t>We're still gathering enough real evidence to turn this into a stronger signal. For now, your readiness looks {band_label}.</w:t>
            </w:r>
          </w:p>
        </w:tc>
        <w:tc>
          <w:tcPr>
            <w:tcW w:type="dxa" w:w="3312"/>
            <w:tcMar>
              <w:top w:w="90" w:type="dxa"/>
              <w:start w:w="90" w:type="dxa"/>
              <w:bottom w:w="90" w:type="dxa"/>
              <w:end w:w="90" w:type="dxa"/>
            </w:tcMar>
          </w:tcPr>
          <w:p>
            <w:pPr>
              <w:pStyle w:val="BodyX"/>
            </w:pPr>
            <w:r>
              <w:t>This is your exact truth.</w:t>
            </w:r>
          </w:p>
        </w:tc>
      </w:tr>
      <w:tr>
        <w:tc>
          <w:tcPr>
            <w:tcW w:type="dxa" w:w="3312"/>
            <w:tcMar>
              <w:top w:w="90" w:type="dxa"/>
              <w:start w:w="90" w:type="dxa"/>
              <w:bottom w:w="90" w:type="dxa"/>
              <w:end w:w="90" w:type="dxa"/>
            </w:tcMar>
          </w:tcPr>
          <w:p>
            <w:pPr>
              <w:pStyle w:val="BodyX"/>
            </w:pPr>
            <w:r>
              <w:t>Readiness explanation</w:t>
            </w:r>
          </w:p>
        </w:tc>
        <w:tc>
          <w:tcPr>
            <w:tcW w:type="dxa" w:w="3312"/>
            <w:tcMar>
              <w:top w:w="90" w:type="dxa"/>
              <w:start w:w="90" w:type="dxa"/>
              <w:bottom w:w="90" w:type="dxa"/>
              <w:end w:w="90" w:type="dxa"/>
            </w:tcMar>
          </w:tcPr>
          <w:p>
            <w:pPr>
              <w:pStyle w:val="BodyX"/>
            </w:pPr>
            <w:r>
              <w:t>This score reflects your current mix of consistency, emotional regulation, and follow-through - not your worth.</w:t>
            </w:r>
          </w:p>
        </w:tc>
        <w:tc>
          <w:tcPr>
            <w:tcW w:type="dxa" w:w="3312"/>
            <w:tcMar>
              <w:top w:w="90" w:type="dxa"/>
              <w:start w:w="90" w:type="dxa"/>
              <w:bottom w:w="90" w:type="dxa"/>
              <w:end w:w="90" w:type="dxa"/>
            </w:tcMar>
          </w:tcPr>
          <w:p>
            <w:pPr>
              <w:pStyle w:val="BodyX"/>
            </w:pPr>
            <w:r>
              <w:t>This proves who you are.</w:t>
            </w:r>
          </w:p>
        </w:tc>
      </w:tr>
      <w:tr>
        <w:tc>
          <w:tcPr>
            <w:tcW w:type="dxa" w:w="3312"/>
            <w:tcMar>
              <w:top w:w="90" w:type="dxa"/>
              <w:start w:w="90" w:type="dxa"/>
              <w:bottom w:w="90" w:type="dxa"/>
              <w:end w:w="90" w:type="dxa"/>
            </w:tcMar>
          </w:tcPr>
          <w:p>
            <w:pPr>
              <w:pStyle w:val="BodyX"/>
            </w:pPr>
            <w:r>
              <w:t>Improvement nudge</w:t>
            </w:r>
          </w:p>
        </w:tc>
        <w:tc>
          <w:tcPr>
            <w:tcW w:type="dxa" w:w="3312"/>
            <w:tcMar>
              <w:top w:w="90" w:type="dxa"/>
              <w:start w:w="90" w:type="dxa"/>
              <w:bottom w:w="90" w:type="dxa"/>
              <w:end w:w="90" w:type="dxa"/>
            </w:tcMar>
          </w:tcPr>
          <w:p>
            <w:pPr>
              <w:pStyle w:val="BodyX"/>
            </w:pPr>
            <w:r>
              <w:t>Your score can move when your patterns move. Reflection, repair, and steadier behavior matter more than perfect answers.</w:t>
            </w:r>
          </w:p>
        </w:tc>
        <w:tc>
          <w:tcPr>
            <w:tcW w:type="dxa" w:w="3312"/>
            <w:tcMar>
              <w:top w:w="90" w:type="dxa"/>
              <w:start w:w="90" w:type="dxa"/>
              <w:bottom w:w="90" w:type="dxa"/>
              <w:end w:w="90" w:type="dxa"/>
            </w:tcMar>
          </w:tcPr>
          <w:p>
            <w:pPr>
              <w:pStyle w:val="BodyX"/>
            </w:pPr>
            <w:r>
              <w:t>Just retake the quiz until the number is higher.</w:t>
            </w:r>
          </w:p>
        </w:tc>
      </w:tr>
      <w:tr>
        <w:tc>
          <w:tcPr>
            <w:tcW w:type="dxa" w:w="3312"/>
            <w:tcMar>
              <w:top w:w="90" w:type="dxa"/>
              <w:start w:w="90" w:type="dxa"/>
              <w:bottom w:w="90" w:type="dxa"/>
              <w:end w:w="90" w:type="dxa"/>
            </w:tcMar>
          </w:tcPr>
          <w:p>
            <w:pPr>
              <w:pStyle w:val="BodyX"/>
            </w:pPr>
            <w:r>
              <w:t>Suppressed due to stale evidence</w:t>
            </w:r>
          </w:p>
        </w:tc>
        <w:tc>
          <w:tcPr>
            <w:tcW w:type="dxa" w:w="3312"/>
            <w:tcMar>
              <w:top w:w="90" w:type="dxa"/>
              <w:start w:w="90" w:type="dxa"/>
              <w:bottom w:w="90" w:type="dxa"/>
              <w:end w:w="90" w:type="dxa"/>
            </w:tcMar>
          </w:tcPr>
          <w:p>
            <w:pPr>
              <w:pStyle w:val="BodyX"/>
            </w:pPr>
            <w:r>
              <w:t>Your readiness signal is paused until we have fresher evidence.</w:t>
            </w:r>
          </w:p>
        </w:tc>
        <w:tc>
          <w:tcPr>
            <w:tcW w:type="dxa" w:w="3312"/>
            <w:tcMar>
              <w:top w:w="90" w:type="dxa"/>
              <w:start w:w="90" w:type="dxa"/>
              <w:bottom w:w="90" w:type="dxa"/>
              <w:end w:w="90" w:type="dxa"/>
            </w:tcMar>
          </w:tcPr>
          <w:p>
            <w:pPr>
              <w:pStyle w:val="BodyX"/>
            </w:pPr>
            <w:r>
              <w:t>Your readiness has disappeared.</w:t>
            </w:r>
          </w:p>
        </w:tc>
      </w:tr>
    </w:tbl>
    <w:p>
      <w:pPr>
        <w:pStyle w:val="H2X"/>
      </w:pPr>
      <w:r>
        <w:t>D4. Forecast copy library</w:t>
      </w:r>
    </w:p>
    <w:tbl>
      <w:tblPr>
        <w:tblStyle w:val="TableGrid"/>
        <w:tblW w:type="auto" w:w="0"/>
        <w:tblLook w:firstColumn="1" w:firstRow="1" w:lastColumn="0" w:lastRow="0" w:noHBand="0" w:noVBand="1" w:val="04A0"/>
      </w:tblPr>
      <w:tblGrid>
        <w:gridCol w:w="3312"/>
        <w:gridCol w:w="3312"/>
        <w:gridCol w:w="3312"/>
      </w:tblGrid>
      <w:tr>
        <w:tc>
          <w:tcPr>
            <w:tcW w:type="dxa" w:w="3312"/>
            <w:shd w:fill="F1E3D3"/>
          </w:tcPr>
          <w:p>
            <w:pPr>
              <w:pStyle w:val="BodyX"/>
            </w:pPr>
            <w:r>
              <w:t>Use case</w:t>
            </w:r>
          </w:p>
        </w:tc>
        <w:tc>
          <w:tcPr>
            <w:tcW w:type="dxa" w:w="3312"/>
            <w:shd w:fill="F1E3D3"/>
          </w:tcPr>
          <w:p>
            <w:pPr>
              <w:pStyle w:val="BodyX"/>
            </w:pPr>
            <w:r>
              <w:t>Recommended copy</w:t>
            </w:r>
          </w:p>
        </w:tc>
        <w:tc>
          <w:tcPr>
            <w:tcW w:type="dxa" w:w="3312"/>
            <w:shd w:fill="F1E3D3"/>
          </w:tcPr>
          <w:p>
            <w:pPr>
              <w:pStyle w:val="BodyX"/>
            </w:pPr>
            <w:r>
              <w:t>Do not use</w:t>
            </w:r>
          </w:p>
        </w:tc>
      </w:tr>
      <w:tr>
        <w:tc>
          <w:tcPr>
            <w:tcW w:type="dxa" w:w="3312"/>
            <w:tcMar>
              <w:top w:w="90" w:type="dxa"/>
              <w:start w:w="90" w:type="dxa"/>
              <w:bottom w:w="90" w:type="dxa"/>
              <w:end w:w="90" w:type="dxa"/>
            </w:tcMar>
          </w:tcPr>
          <w:p>
            <w:pPr>
              <w:pStyle w:val="BodyX"/>
            </w:pPr>
            <w:r>
              <w:t>Forecast intro</w:t>
            </w:r>
          </w:p>
        </w:tc>
        <w:tc>
          <w:tcPr>
            <w:tcW w:type="dxa" w:w="3312"/>
            <w:tcMar>
              <w:top w:w="90" w:type="dxa"/>
              <w:start w:w="90" w:type="dxa"/>
              <w:bottom w:w="90" w:type="dxa"/>
              <w:end w:w="90" w:type="dxa"/>
            </w:tcMar>
          </w:tcPr>
          <w:p>
            <w:pPr>
              <w:pStyle w:val="BodyX"/>
            </w:pPr>
            <w:r>
              <w:t>Forecast shows the current outlook of this connection based on shared evidence, not a guaranteed future.</w:t>
            </w:r>
          </w:p>
        </w:tc>
        <w:tc>
          <w:tcPr>
            <w:tcW w:type="dxa" w:w="3312"/>
            <w:tcMar>
              <w:top w:w="90" w:type="dxa"/>
              <w:start w:w="90" w:type="dxa"/>
              <w:bottom w:w="90" w:type="dxa"/>
              <w:end w:w="90" w:type="dxa"/>
            </w:tcMar>
          </w:tcPr>
          <w:p>
            <w:pPr>
              <w:pStyle w:val="BodyX"/>
            </w:pPr>
            <w:r>
              <w:t>This relationship will definitely work.</w:t>
            </w:r>
          </w:p>
        </w:tc>
      </w:tr>
      <w:tr>
        <w:tc>
          <w:tcPr>
            <w:tcW w:type="dxa" w:w="3312"/>
            <w:tcMar>
              <w:top w:w="90" w:type="dxa"/>
              <w:start w:w="90" w:type="dxa"/>
              <w:bottom w:w="90" w:type="dxa"/>
              <w:end w:w="90" w:type="dxa"/>
            </w:tcMar>
          </w:tcPr>
          <w:p>
            <w:pPr>
              <w:pStyle w:val="BodyX"/>
            </w:pPr>
            <w:r>
              <w:t>Low evidence pair</w:t>
            </w:r>
          </w:p>
        </w:tc>
        <w:tc>
          <w:tcPr>
            <w:tcW w:type="dxa" w:w="3312"/>
            <w:tcMar>
              <w:top w:w="90" w:type="dxa"/>
              <w:start w:w="90" w:type="dxa"/>
              <w:bottom w:w="90" w:type="dxa"/>
              <w:end w:w="90" w:type="dxa"/>
            </w:tcMar>
          </w:tcPr>
          <w:p>
            <w:pPr>
              <w:pStyle w:val="BodyX"/>
            </w:pPr>
            <w:r>
              <w:t>Not enough shared evidence yet to show a full forecast. As this connection develops, the signal will sharpen.</w:t>
            </w:r>
          </w:p>
        </w:tc>
        <w:tc>
          <w:tcPr>
            <w:tcW w:type="dxa" w:w="3312"/>
            <w:tcMar>
              <w:top w:w="90" w:type="dxa"/>
              <w:start w:w="90" w:type="dxa"/>
              <w:bottom w:w="90" w:type="dxa"/>
              <w:end w:w="90" w:type="dxa"/>
            </w:tcMar>
          </w:tcPr>
          <w:p>
            <w:pPr>
              <w:pStyle w:val="BodyX"/>
            </w:pPr>
            <w:r>
              <w:t>We already know where this is going.</w:t>
            </w:r>
          </w:p>
        </w:tc>
      </w:tr>
      <w:tr>
        <w:tc>
          <w:tcPr>
            <w:tcW w:type="dxa" w:w="3312"/>
            <w:tcMar>
              <w:top w:w="90" w:type="dxa"/>
              <w:start w:w="90" w:type="dxa"/>
              <w:bottom w:w="90" w:type="dxa"/>
              <w:end w:w="90" w:type="dxa"/>
            </w:tcMar>
          </w:tcPr>
          <w:p>
            <w:pPr>
              <w:pStyle w:val="BodyX"/>
            </w:pPr>
            <w:r>
              <w:t>Strong pair stability</w:t>
            </w:r>
          </w:p>
        </w:tc>
        <w:tc>
          <w:tcPr>
            <w:tcW w:type="dxa" w:w="3312"/>
            <w:tcMar>
              <w:top w:w="90" w:type="dxa"/>
              <w:start w:w="90" w:type="dxa"/>
              <w:bottom w:w="90" w:type="dxa"/>
              <w:end w:w="90" w:type="dxa"/>
            </w:tcMar>
          </w:tcPr>
          <w:p>
            <w:pPr>
              <w:pStyle w:val="BodyX"/>
            </w:pPr>
            <w:r>
              <w:t>Current evidence suggests a strong stability outlook if both people keep showing up the same way.</w:t>
            </w:r>
          </w:p>
        </w:tc>
        <w:tc>
          <w:tcPr>
            <w:tcW w:type="dxa" w:w="3312"/>
            <w:tcMar>
              <w:top w:w="90" w:type="dxa"/>
              <w:start w:w="90" w:type="dxa"/>
              <w:bottom w:w="90" w:type="dxa"/>
              <w:end w:w="90" w:type="dxa"/>
            </w:tcMar>
          </w:tcPr>
          <w:p>
            <w:pPr>
              <w:pStyle w:val="BodyX"/>
            </w:pPr>
            <w:r>
              <w:t>You two are soulmates.</w:t>
            </w:r>
          </w:p>
        </w:tc>
      </w:tr>
      <w:tr>
        <w:tc>
          <w:tcPr>
            <w:tcW w:type="dxa" w:w="3312"/>
            <w:tcMar>
              <w:top w:w="90" w:type="dxa"/>
              <w:start w:w="90" w:type="dxa"/>
              <w:bottom w:w="90" w:type="dxa"/>
              <w:end w:w="90" w:type="dxa"/>
            </w:tcMar>
          </w:tcPr>
          <w:p>
            <w:pPr>
              <w:pStyle w:val="BodyX"/>
            </w:pPr>
            <w:r>
              <w:t>Elevated rupture risk</w:t>
            </w:r>
          </w:p>
        </w:tc>
        <w:tc>
          <w:tcPr>
            <w:tcW w:type="dxa" w:w="3312"/>
            <w:tcMar>
              <w:top w:w="90" w:type="dxa"/>
              <w:start w:w="90" w:type="dxa"/>
              <w:bottom w:w="90" w:type="dxa"/>
              <w:end w:w="90" w:type="dxa"/>
            </w:tcMar>
          </w:tcPr>
          <w:p>
            <w:pPr>
              <w:pStyle w:val="BodyX"/>
            </w:pPr>
            <w:r>
              <w:t>The current pattern shows pressure around conflict and recovery. That doesn't equal failure, but it does call for care.</w:t>
            </w:r>
          </w:p>
        </w:tc>
        <w:tc>
          <w:tcPr>
            <w:tcW w:type="dxa" w:w="3312"/>
            <w:tcMar>
              <w:top w:w="90" w:type="dxa"/>
              <w:start w:w="90" w:type="dxa"/>
              <w:bottom w:w="90" w:type="dxa"/>
              <w:end w:w="90" w:type="dxa"/>
            </w:tcMar>
          </w:tcPr>
          <w:p>
            <w:pPr>
              <w:pStyle w:val="BodyX"/>
            </w:pPr>
            <w:r>
              <w:t>This relationship is doomed.</w:t>
            </w:r>
          </w:p>
        </w:tc>
      </w:tr>
      <w:tr>
        <w:tc>
          <w:tcPr>
            <w:tcW w:type="dxa" w:w="3312"/>
            <w:tcMar>
              <w:top w:w="90" w:type="dxa"/>
              <w:start w:w="90" w:type="dxa"/>
              <w:bottom w:w="90" w:type="dxa"/>
              <w:end w:w="90" w:type="dxa"/>
            </w:tcMar>
          </w:tcPr>
          <w:p>
            <w:pPr>
              <w:pStyle w:val="BodyX"/>
            </w:pPr>
            <w:r>
              <w:t>Good repair capacity</w:t>
            </w:r>
          </w:p>
        </w:tc>
        <w:tc>
          <w:tcPr>
            <w:tcW w:type="dxa" w:w="3312"/>
            <w:tcMar>
              <w:top w:w="90" w:type="dxa"/>
              <w:start w:w="90" w:type="dxa"/>
              <w:bottom w:w="90" w:type="dxa"/>
              <w:end w:w="90" w:type="dxa"/>
            </w:tcMar>
          </w:tcPr>
          <w:p>
            <w:pPr>
              <w:pStyle w:val="BodyX"/>
            </w:pPr>
            <w:r>
              <w:t>You both show signs of coming back together after tension instead of getting stuck in it.</w:t>
            </w:r>
          </w:p>
        </w:tc>
        <w:tc>
          <w:tcPr>
            <w:tcW w:type="dxa" w:w="3312"/>
            <w:tcMar>
              <w:top w:w="90" w:type="dxa"/>
              <w:start w:w="90" w:type="dxa"/>
              <w:bottom w:w="90" w:type="dxa"/>
              <w:end w:w="90" w:type="dxa"/>
            </w:tcMar>
          </w:tcPr>
          <w:p>
            <w:pPr>
              <w:pStyle w:val="BodyX"/>
            </w:pPr>
            <w:r>
              <w:t>You will always work things out.</w:t>
            </w:r>
          </w:p>
        </w:tc>
      </w:tr>
    </w:tbl>
    <w:p>
      <w:pPr>
        <w:pStyle w:val="H2X"/>
      </w:pPr>
      <w:r>
        <w:t>D5. Safe short labels</w:t>
      </w:r>
    </w:p>
    <w:p>
      <w:pPr>
        <w:pStyle w:val="CodeX"/>
      </w:pPr>
      <w:r>
        <w:t>Readiness labels: not ready right now | needs grounding | emerging readiness | relationship-ready | strong readiness signal</w:t>
      </w:r>
    </w:p>
    <w:p>
      <w:pPr>
        <w:pStyle w:val="CodeX"/>
      </w:pPr>
      <w:r>
        <w:t>Forecast labels: early signal only | guarded outlook | mixed outlook | stable outlook | strong outlook</w:t>
      </w:r>
    </w:p>
    <w:p>
      <w:pPr>
        <w:pStyle w:val="CodeX"/>
      </w:pPr>
      <w:r>
        <w:t>Risk labels: low current risk | moderate pressure | elevated pressure | high pressure</w:t>
      </w:r>
    </w:p>
    <w:p>
      <w:pPr>
        <w:pStyle w:val="H2X"/>
      </w:pPr>
      <w:r>
        <w:t>D6. Sanctuary and coaching prompts</w:t>
      </w:r>
    </w:p>
    <w:tbl>
      <w:tblPr>
        <w:tblStyle w:val="TableGrid"/>
        <w:tblW w:type="auto" w:w="0"/>
        <w:tblLook w:firstColumn="1" w:firstRow="1" w:lastColumn="0" w:lastRow="0" w:noHBand="0" w:noVBand="1" w:val="04A0"/>
      </w:tblPr>
      <w:tblGrid>
        <w:gridCol w:w="4968"/>
        <w:gridCol w:w="4968"/>
      </w:tblGrid>
      <w:tr>
        <w:tc>
          <w:tcPr>
            <w:tcW w:type="dxa" w:w="4968"/>
            <w:shd w:fill="E8F0E7"/>
          </w:tcPr>
          <w:p>
            <w:pPr>
              <w:pStyle w:val="BodyX"/>
            </w:pPr>
            <w:r>
              <w:t>Scenario</w:t>
            </w:r>
          </w:p>
        </w:tc>
        <w:tc>
          <w:tcPr>
            <w:tcW w:type="dxa" w:w="4968"/>
            <w:shd w:fill="E8F0E7"/>
          </w:tcPr>
          <w:p>
            <w:pPr>
              <w:pStyle w:val="BodyX"/>
            </w:pPr>
            <w:r>
              <w:t>Approved copy</w:t>
            </w:r>
          </w:p>
        </w:tc>
      </w:tr>
      <w:tr>
        <w:tc>
          <w:tcPr>
            <w:tcW w:type="dxa" w:w="4968"/>
            <w:tcMar>
              <w:top w:w="90" w:type="dxa"/>
              <w:start w:w="90" w:type="dxa"/>
              <w:bottom w:w="90" w:type="dxa"/>
              <w:end w:w="90" w:type="dxa"/>
            </w:tcMar>
          </w:tcPr>
          <w:p>
            <w:pPr>
              <w:pStyle w:val="BodyX"/>
            </w:pPr>
            <w:r>
              <w:t>Readiness dip</w:t>
            </w:r>
          </w:p>
        </w:tc>
        <w:tc>
          <w:tcPr>
            <w:tcW w:type="dxa" w:w="4968"/>
            <w:tcMar>
              <w:top w:w="90" w:type="dxa"/>
              <w:start w:w="90" w:type="dxa"/>
              <w:bottom w:w="90" w:type="dxa"/>
              <w:end w:w="90" w:type="dxa"/>
            </w:tcMar>
          </w:tcPr>
          <w:p>
            <w:pPr>
              <w:pStyle w:val="BodyX"/>
            </w:pPr>
            <w:r>
              <w:t>Your score dipped because the system sees more pressure than steadiness right now. That is a signal to slow down and reset, not a verdict about your future.</w:t>
            </w:r>
          </w:p>
        </w:tc>
      </w:tr>
      <w:tr>
        <w:tc>
          <w:tcPr>
            <w:tcW w:type="dxa" w:w="4968"/>
            <w:tcMar>
              <w:top w:w="90" w:type="dxa"/>
              <w:start w:w="90" w:type="dxa"/>
              <w:bottom w:w="90" w:type="dxa"/>
              <w:end w:w="90" w:type="dxa"/>
            </w:tcMar>
          </w:tcPr>
          <w:p>
            <w:pPr>
              <w:pStyle w:val="BodyX"/>
            </w:pPr>
            <w:r>
              <w:t>Contradiction cluster</w:t>
            </w:r>
          </w:p>
        </w:tc>
        <w:tc>
          <w:tcPr>
            <w:tcW w:type="dxa" w:w="4968"/>
            <w:tcMar>
              <w:top w:w="90" w:type="dxa"/>
              <w:start w:w="90" w:type="dxa"/>
              <w:bottom w:w="90" w:type="dxa"/>
              <w:end w:w="90" w:type="dxa"/>
            </w:tcMar>
          </w:tcPr>
          <w:p>
            <w:pPr>
              <w:pStyle w:val="BodyX"/>
            </w:pPr>
            <w:r>
              <w:t>Some of your answers and behaviors are pulling in different directions. Before your score can rise, the system needs to see those signals settle.</w:t>
            </w:r>
          </w:p>
        </w:tc>
      </w:tr>
      <w:tr>
        <w:tc>
          <w:tcPr>
            <w:tcW w:type="dxa" w:w="4968"/>
            <w:tcMar>
              <w:top w:w="90" w:type="dxa"/>
              <w:start w:w="90" w:type="dxa"/>
              <w:bottom w:w="90" w:type="dxa"/>
              <w:end w:w="90" w:type="dxa"/>
            </w:tcMar>
          </w:tcPr>
          <w:p>
            <w:pPr>
              <w:pStyle w:val="BodyX"/>
            </w:pPr>
            <w:r>
              <w:t>Forecast guarded</w:t>
            </w:r>
          </w:p>
        </w:tc>
        <w:tc>
          <w:tcPr>
            <w:tcW w:type="dxa" w:w="4968"/>
            <w:tcMar>
              <w:top w:w="90" w:type="dxa"/>
              <w:start w:w="90" w:type="dxa"/>
              <w:bottom w:w="90" w:type="dxa"/>
              <w:end w:w="90" w:type="dxa"/>
            </w:tcMar>
          </w:tcPr>
          <w:p>
            <w:pPr>
              <w:pStyle w:val="BodyX"/>
            </w:pPr>
            <w:r>
              <w:t>This connection still has more questions than proof. Move slower. Let behavior answer what chemistry can't.</w:t>
            </w:r>
          </w:p>
        </w:tc>
      </w:tr>
      <w:tr>
        <w:tc>
          <w:tcPr>
            <w:tcW w:type="dxa" w:w="4968"/>
            <w:tcMar>
              <w:top w:w="90" w:type="dxa"/>
              <w:start w:w="90" w:type="dxa"/>
              <w:bottom w:w="90" w:type="dxa"/>
              <w:end w:w="90" w:type="dxa"/>
            </w:tcMar>
          </w:tcPr>
          <w:p>
            <w:pPr>
              <w:pStyle w:val="BodyX"/>
            </w:pPr>
            <w:r>
              <w:t>Repair nudge</w:t>
            </w:r>
          </w:p>
        </w:tc>
        <w:tc>
          <w:tcPr>
            <w:tcW w:type="dxa" w:w="4968"/>
            <w:tcMar>
              <w:top w:w="90" w:type="dxa"/>
              <w:start w:w="90" w:type="dxa"/>
              <w:bottom w:w="90" w:type="dxa"/>
              <w:end w:w="90" w:type="dxa"/>
            </w:tcMar>
          </w:tcPr>
          <w:p>
            <w:pPr>
              <w:pStyle w:val="BodyX"/>
            </w:pPr>
            <w:r>
              <w:t>The strongest improvement here won't come from saying the right thing once - it will come from what happens after tension.</w:t>
            </w:r>
          </w:p>
        </w:tc>
      </w:tr>
    </w:tbl>
    <w:p>
      <w:pPr>
        <w:pStyle w:val="H2X"/>
      </w:pPr>
      <w:r>
        <w:t>D7. Final rule</w:t>
      </w:r>
    </w:p>
    <w:p>
      <w:pPr>
        <w:pStyle w:val="BodyX"/>
      </w:pPr>
      <w:r>
        <w:t>Any new surface that explains readiness or forecast must use this library or a reviewed descendant of it. Engineers may not improvise emotionally loaded copy directly in templates, notifications, or partner payloads.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Part 2 Appendix Pack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keepNext w:val="0"/>
      <w:spacing w:before="0" w:after="120" w:line="276" w:lineRule="auto"/>
    </w:pPr>
    <w:rPr>
      <w:rFonts w:ascii="Aptos" w:hAnsi="Aptos"/>
      <w:b/>
      <w:color w:val="1F3A56"/>
      <w:sz w:val="44"/>
    </w:rPr>
  </w:style>
  <w:style w:type="paragraph" w:customStyle="1" w:styleId="SubtitleX">
    <w:name w:val="SubtitleX"/>
    <w:basedOn w:val="Normal"/>
    <w:pPr>
      <w:keepNext w:val="0"/>
      <w:spacing w:before="0" w:after="240" w:line="276" w:lineRule="auto"/>
    </w:pPr>
    <w:rPr>
      <w:rFonts w:ascii="Aptos" w:hAnsi="Aptos"/>
      <w:b w:val="0"/>
      <w:color w:val="505050"/>
      <w:sz w:val="22"/>
    </w:rPr>
  </w:style>
  <w:style w:type="paragraph" w:customStyle="1" w:styleId="H1X">
    <w:name w:val="H1X"/>
    <w:basedOn w:val="Normal"/>
    <w:pPr>
      <w:keepNext/>
      <w:spacing w:before="320" w:after="120" w:line="276" w:lineRule="auto"/>
    </w:pPr>
    <w:rPr>
      <w:rFonts w:ascii="Aptos" w:hAnsi="Aptos"/>
      <w:b/>
      <w:color w:val="1F3A56"/>
      <w:sz w:val="30"/>
    </w:rPr>
  </w:style>
  <w:style w:type="paragraph" w:customStyle="1" w:styleId="H2X">
    <w:name w:val="H2X"/>
    <w:basedOn w:val="Normal"/>
    <w:pPr>
      <w:keepNext/>
      <w:spacing w:before="240" w:after="80" w:line="276" w:lineRule="auto"/>
    </w:pPr>
    <w:rPr>
      <w:rFonts w:ascii="Aptos" w:hAnsi="Aptos"/>
      <w:b/>
      <w:color w:val="375C79"/>
      <w:sz w:val="24"/>
    </w:rPr>
  </w:style>
  <w:style w:type="paragraph" w:customStyle="1" w:styleId="H3X">
    <w:name w:val="H3X"/>
    <w:basedOn w:val="Normal"/>
    <w:pPr>
      <w:keepNext/>
      <w:spacing w:before="160" w:after="40" w:line="276" w:lineRule="auto"/>
    </w:pPr>
    <w:rPr>
      <w:rFonts w:ascii="Aptos" w:hAnsi="Aptos"/>
      <w:b/>
      <w:color w:val="4B4B4B"/>
      <w:sz w:val="21"/>
    </w:rPr>
  </w:style>
  <w:style w:type="paragraph" w:customStyle="1" w:styleId="BodyX">
    <w:name w:val="BodyX"/>
    <w:basedOn w:val="Normal"/>
    <w:pPr>
      <w:keepNext w:val="0"/>
      <w:spacing w:before="0" w:after="100" w:line="276" w:lineRule="auto"/>
    </w:pPr>
    <w:rPr>
      <w:rFonts w:ascii="Aptos" w:hAnsi="Aptos"/>
      <w:b w:val="0"/>
      <w:sz w:val="21"/>
    </w:rPr>
  </w:style>
  <w:style w:type="paragraph" w:customStyle="1" w:styleId="BulletX">
    <w:name w:val="BulletX"/>
    <w:basedOn w:val="Normal"/>
    <w:pPr>
      <w:keepNext w:val="0"/>
      <w:spacing w:before="0" w:after="40" w:line="276" w:lineRule="auto"/>
    </w:pPr>
    <w:rPr>
      <w:rFonts w:ascii="Aptos" w:hAnsi="Aptos"/>
      <w:b w:val="0"/>
      <w:sz w:val="20"/>
    </w:rPr>
  </w:style>
  <w:style w:type="paragraph" w:customStyle="1" w:styleId="CodeX">
    <w:name w:val="CodeX"/>
    <w:basedOn w:val="Normal"/>
    <w:pPr>
      <w:keepNext w:val="0"/>
      <w:spacing w:before="40" w:after="100" w:line="276" w:lineRule="auto"/>
    </w:pPr>
    <w:rPr>
      <w:rFonts w:ascii="Courier New" w:hAnsi="Courier New"/>
      <w:b w:val="0"/>
      <w:sz w:val="18"/>
    </w:rPr>
  </w:style>
  <w:style w:type="paragraph" w:customStyle="1" w:styleId="SmallX">
    <w:name w:val="SmallX"/>
    <w:basedOn w:val="Normal"/>
    <w:pPr>
      <w:keepNext w:val="0"/>
      <w:spacing w:before="0" w:after="80" w:line="276" w:lineRule="auto"/>
    </w:pPr>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