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Genesis OS / Relationship Scores</w:t>
        <w:br/>
      </w:r>
      <w:r>
        <w:t>Readiness &amp; Forecast Contract v1</w:t>
      </w:r>
    </w:p>
    <w:p>
      <w:pPr>
        <w:pStyle w:val="SubtitleCustom"/>
        <w:jc w:val="center"/>
      </w:pPr>
      <w:r>
        <w:t>Developer contract for individual readiness, pair forecast outputs, display policy, confidence rules, drift interaction, governance, and audit controls.</w:t>
      </w:r>
    </w:p>
    <w:p>
      <w:pPr>
        <w:pStyle w:val="BodySmall"/>
        <w:jc w:val="center"/>
      </w:pPr>
      <w:r>
        <w:t>Draft date: 2026-03-21  •  Status: Build directive  •  Scope: v1 launch + safe public exposure rules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tcMar>
              <w:top w:w="80" w:type="dxa"/>
              <w:start w:w="90" w:type="dxa"/>
              <w:bottom w:w="80" w:type="dxa"/>
              <w:end w:w="90" w:type="dxa"/>
            </w:tcMar>
          </w:tcPr>
          <w:p>
            <w:r>
              <w:rPr>
                <w:b/>
                <w:sz w:val="19"/>
              </w:rPr>
              <w:t>Contract goal</w:t>
            </w:r>
          </w:p>
        </w:tc>
        <w:tc>
          <w:tcPr>
            <w:tcW w:type="dxa" w:w="2484"/>
            <w:shd w:fill="D9E2F3"/>
            <w:tcMar>
              <w:top w:w="80" w:type="dxa"/>
              <w:start w:w="90" w:type="dxa"/>
              <w:bottom w:w="80" w:type="dxa"/>
              <w:end w:w="90" w:type="dxa"/>
            </w:tcMar>
          </w:tcPr>
          <w:p>
            <w:r>
              <w:rPr>
                <w:b/>
                <w:sz w:val="19"/>
              </w:rPr>
              <w:t>Primary public score</w:t>
            </w:r>
          </w:p>
        </w:tc>
        <w:tc>
          <w:tcPr>
            <w:tcW w:type="dxa" w:w="2484"/>
            <w:shd w:fill="D9E2F3"/>
            <w:tcMar>
              <w:top w:w="80" w:type="dxa"/>
              <w:start w:w="90" w:type="dxa"/>
              <w:bottom w:w="80" w:type="dxa"/>
              <w:end w:w="90" w:type="dxa"/>
            </w:tcMar>
          </w:tcPr>
          <w:p>
            <w:r>
              <w:rPr>
                <w:b/>
                <w:sz w:val="19"/>
              </w:rPr>
              <w:t>Forecast stance</w:t>
            </w:r>
          </w:p>
        </w:tc>
        <w:tc>
          <w:tcPr>
            <w:tcW w:type="dxa" w:w="2484"/>
            <w:shd w:fill="D9E2F3"/>
            <w:tcMar>
              <w:top w:w="80" w:type="dxa"/>
              <w:start w:w="90" w:type="dxa"/>
              <w:bottom w:w="80" w:type="dxa"/>
              <w:end w:w="90" w:type="dxa"/>
            </w:tcMar>
          </w:tcPr>
          <w:p>
            <w:r>
              <w:rPr>
                <w:b/>
                <w:sz w:val="19"/>
              </w:rPr>
              <w:t>Hard rule</w:t>
            </w:r>
          </w:p>
        </w:tc>
      </w:tr>
      <w:tr>
        <w:tc>
          <w:tcPr>
            <w:tcW w:type="dxa" w:w="2484"/>
            <w:tcMar>
              <w:top w:w="80" w:type="dxa"/>
              <w:start w:w="90" w:type="dxa"/>
              <w:bottom w:w="80" w:type="dxa"/>
              <w:end w:w="90" w:type="dxa"/>
            </w:tcMar>
          </w:tcPr>
          <w:p>
            <w:r>
              <w:rPr>
                <w:sz w:val="18"/>
              </w:rPr>
              <w:t>Prevent inconsistent implementations across services</w:t>
            </w:r>
          </w:p>
        </w:tc>
        <w:tc>
          <w:tcPr>
            <w:tcW w:type="dxa" w:w="2484"/>
            <w:tcMar>
              <w:top w:w="80" w:type="dxa"/>
              <w:start w:w="90" w:type="dxa"/>
              <w:bottom w:w="80" w:type="dxa"/>
              <w:end w:w="90" w:type="dxa"/>
            </w:tcMar>
          </w:tcPr>
          <w:p>
            <w:r>
              <w:rPr>
                <w:sz w:val="18"/>
              </w:rPr>
              <w:t>Readiness (0-100)</w:t>
            </w:r>
          </w:p>
        </w:tc>
        <w:tc>
          <w:tcPr>
            <w:tcW w:type="dxa" w:w="2484"/>
            <w:tcMar>
              <w:top w:w="80" w:type="dxa"/>
              <w:start w:w="90" w:type="dxa"/>
              <w:bottom w:w="80" w:type="dxa"/>
              <w:end w:w="90" w:type="dxa"/>
            </w:tcMar>
          </w:tcPr>
          <w:p>
            <w:r>
              <w:rPr>
                <w:sz w:val="18"/>
              </w:rPr>
              <w:t>Forecast remains governed, confidence-gated, and more restricted than readiness</w:t>
            </w:r>
          </w:p>
        </w:tc>
        <w:tc>
          <w:tcPr>
            <w:tcW w:type="dxa" w:w="2484"/>
            <w:tcMar>
              <w:top w:w="80" w:type="dxa"/>
              <w:start w:w="90" w:type="dxa"/>
              <w:bottom w:w="80" w:type="dxa"/>
              <w:end w:w="90" w:type="dxa"/>
            </w:tcMar>
          </w:tcPr>
          <w:p>
            <w:r>
              <w:rPr>
                <w:sz w:val="18"/>
              </w:rPr>
              <w:t>No public score without sufficiency + confidence + version tag</w:t>
            </w:r>
          </w:p>
        </w:tc>
      </w:tr>
    </w:tbl>
    <w:p/>
    <w:p>
      <w:pPr>
        <w:pStyle w:val="Heading1Custom"/>
      </w:pPr>
      <w:r>
        <w:t>1. Purpose and non-negotiable design intent</w:t>
      </w:r>
    </w:p>
    <w:p>
      <w:pPr/>
      <w:r>
        <w:t>This contract standardizes how Genesis OS calculates, stores, updates, displays, suppresses, audits, and explains Readiness and Forecast outputs. Its job is to eliminate score drift between services, prevent false precision, and stop public-facing numbers from being shown without enough evidence.</w:t>
      </w:r>
    </w:p>
    <w:p>
      <w:pPr/>
      <w:r>
        <w:t>Readiness is the primary public-facing individual signal. Forecast is a governed family of projected pair-state outputs and must be treated as more sensitive, more confidence-dependent, and more restricted than readiness.</w:t>
      </w:r>
    </w:p>
    <w:p>
      <w:pPr/>
      <w:r>
        <w:t>This document is binding on product, backend, scoring services, analytics, moderation, AI orchestration, admin tooling, and any partner or licensing packet that consumes these fields.</w:t>
      </w:r>
    </w:p>
    <w:p>
      <w:pPr>
        <w:pStyle w:val="Heading1Custom"/>
      </w:pPr>
      <w:r>
        <w:t>2. Contract scope</w:t>
      </w:r>
    </w:p>
    <w:p>
      <w:pPr>
        <w:spacing w:after="40"/>
        <w:ind w:left="288"/>
      </w:pPr>
      <w:r>
        <w:rPr>
          <w:b/>
        </w:rPr>
        <w:t xml:space="preserve">• </w:t>
      </w:r>
      <w:r>
        <w:t>In scope: user-level readiness outputs, pair-level forecast outputs, confidence scoring, sufficiency checks, display rules, suppression rules, drift interaction, contradiction handling, AI usage permissions, event logging, versioning, and audit requirements.</w:t>
      </w:r>
    </w:p>
    <w:p>
      <w:pPr>
        <w:spacing w:after="40"/>
        <w:ind w:left="288"/>
      </w:pPr>
      <w:r>
        <w:rPr>
          <w:b/>
        </w:rPr>
        <w:t xml:space="preserve">• </w:t>
      </w:r>
      <w:r>
        <w:t>Out of scope: the full 350-850 compatibility formula, UI styling, partner commercial pricing, and non-relational wellness tools that do not mutate readiness or forecast fields.</w:t>
      </w:r>
    </w:p>
    <w:p>
      <w:pPr>
        <w:spacing w:after="40"/>
        <w:ind w:left="288"/>
      </w:pPr>
      <w:r>
        <w:rPr>
          <w:b/>
        </w:rPr>
        <w:t xml:space="preserve">• </w:t>
      </w:r>
      <w:r>
        <w:t>Nothing in this contract authorizes a service to invent a new readiness or forecast field in production without versioned approval.</w:t>
      </w:r>
    </w:p>
    <w:p>
      <w:pPr>
        <w:pStyle w:val="Heading1Custom"/>
      </w:pPr>
      <w:r>
        <w:t>3. Canonical definitions</w:t>
      </w:r>
    </w:p>
    <w:tbl>
      <w:tblPr>
        <w:tblStyle w:val="TableGrid"/>
        <w:tblW w:type="auto" w:w="0"/>
        <w:jc w:val="center"/>
        <w:tblLook w:firstColumn="1" w:firstRow="1" w:lastColumn="0" w:lastRow="0" w:noHBand="0" w:noVBand="1" w:val="04A0"/>
      </w:tblPr>
      <w:tblGrid>
        <w:gridCol w:w="4968"/>
        <w:gridCol w:w="4968"/>
      </w:tblGrid>
      <w:tr>
        <w:tc>
          <w:tcPr>
            <w:tcW w:type="dxa" w:w="4968"/>
            <w:shd w:fill="D9EAD3"/>
            <w:tcMar>
              <w:top w:w="80" w:type="dxa"/>
              <w:start w:w="90" w:type="dxa"/>
              <w:bottom w:w="80" w:type="dxa"/>
              <w:end w:w="90" w:type="dxa"/>
            </w:tcMar>
          </w:tcPr>
          <w:p>
            <w:r>
              <w:rPr>
                <w:b/>
              </w:rPr>
              <w:t>Term</w:t>
            </w:r>
          </w:p>
        </w:tc>
        <w:tc>
          <w:tcPr>
            <w:tcW w:type="dxa" w:w="4968"/>
            <w:shd w:fill="D9EAD3"/>
            <w:tcMar>
              <w:top w:w="80" w:type="dxa"/>
              <w:start w:w="90" w:type="dxa"/>
              <w:bottom w:w="80" w:type="dxa"/>
              <w:end w:w="90" w:type="dxa"/>
            </w:tcMar>
          </w:tcPr>
          <w:p>
            <w:r>
              <w:rPr>
                <w:b/>
              </w:rPr>
              <w:t>Canonical meaning</w:t>
            </w:r>
          </w:p>
        </w:tc>
      </w:tr>
      <w:tr>
        <w:tc>
          <w:tcPr>
            <w:tcW w:type="dxa" w:w="4968"/>
            <w:tcMar>
              <w:top w:w="80" w:type="dxa"/>
              <w:start w:w="90" w:type="dxa"/>
              <w:bottom w:w="80" w:type="dxa"/>
              <w:end w:w="90" w:type="dxa"/>
            </w:tcMar>
            <w:vAlign w:val="center"/>
          </w:tcPr>
          <w:p>
            <w:r>
              <w:t>Readiness</w:t>
            </w:r>
          </w:p>
        </w:tc>
        <w:tc>
          <w:tcPr>
            <w:tcW w:type="dxa" w:w="4968"/>
            <w:tcMar>
              <w:top w:w="80" w:type="dxa"/>
              <w:start w:w="90" w:type="dxa"/>
              <w:bottom w:w="80" w:type="dxa"/>
              <w:end w:w="90" w:type="dxa"/>
            </w:tcMar>
            <w:vAlign w:val="center"/>
          </w:tcPr>
          <w:p>
            <w:r>
              <w:t>An individual 0-100 score representing current relational stability, honesty, availability, accountability, and usable emotional capacity for healthy connection. It is not chemistry, popularity, desirability, or a clinical diagnosis.</w:t>
            </w:r>
          </w:p>
        </w:tc>
      </w:tr>
      <w:tr>
        <w:tc>
          <w:tcPr>
            <w:tcW w:type="dxa" w:w="4968"/>
            <w:tcMar>
              <w:top w:w="80" w:type="dxa"/>
              <w:start w:w="90" w:type="dxa"/>
              <w:bottom w:w="80" w:type="dxa"/>
              <w:end w:w="90" w:type="dxa"/>
            </w:tcMar>
            <w:vAlign w:val="center"/>
          </w:tcPr>
          <w:p>
            <w:r>
              <w:t>Forecast family</w:t>
            </w:r>
          </w:p>
        </w:tc>
        <w:tc>
          <w:tcPr>
            <w:tcW w:type="dxa" w:w="4968"/>
            <w:tcMar>
              <w:top w:w="80" w:type="dxa"/>
              <w:start w:w="90" w:type="dxa"/>
              <w:bottom w:w="80" w:type="dxa"/>
              <w:end w:w="90" w:type="dxa"/>
            </w:tcMar>
            <w:vAlign w:val="center"/>
          </w:tcPr>
          <w:p>
            <w:r>
              <w:t>A controlled set of pair-level projected signals that estimate likely relational conditions under current evidence. Forecast is not fate and must never be described as a guarantee.</w:t>
            </w:r>
          </w:p>
        </w:tc>
      </w:tr>
      <w:tr>
        <w:tc>
          <w:tcPr>
            <w:tcW w:type="dxa" w:w="4968"/>
            <w:tcMar>
              <w:top w:w="80" w:type="dxa"/>
              <w:start w:w="90" w:type="dxa"/>
              <w:bottom w:w="80" w:type="dxa"/>
              <w:end w:w="90" w:type="dxa"/>
            </w:tcMar>
            <w:vAlign w:val="center"/>
          </w:tcPr>
          <w:p>
            <w:r>
              <w:t>Forecast output</w:t>
            </w:r>
          </w:p>
        </w:tc>
        <w:tc>
          <w:tcPr>
            <w:tcW w:type="dxa" w:w="4968"/>
            <w:tcMar>
              <w:top w:w="80" w:type="dxa"/>
              <w:start w:w="90" w:type="dxa"/>
              <w:bottom w:w="80" w:type="dxa"/>
              <w:end w:w="90" w:type="dxa"/>
            </w:tcMar>
            <w:vAlign w:val="center"/>
          </w:tcPr>
          <w:p>
            <w:r>
              <w:t>Any deterministic or probabilistic pair-state metric derived from combined user data, behavior, or companion systems. This includes risk bands, growth potential, drift pressure, repair probability, communication strain, and volatility tendency.</w:t>
            </w:r>
          </w:p>
        </w:tc>
      </w:tr>
      <w:tr>
        <w:tc>
          <w:tcPr>
            <w:tcW w:type="dxa" w:w="4968"/>
            <w:tcMar>
              <w:top w:w="80" w:type="dxa"/>
              <w:start w:w="90" w:type="dxa"/>
              <w:bottom w:w="80" w:type="dxa"/>
              <w:end w:w="90" w:type="dxa"/>
            </w:tcMar>
            <w:vAlign w:val="center"/>
          </w:tcPr>
          <w:p>
            <w:r>
              <w:t>Confidence</w:t>
            </w:r>
          </w:p>
        </w:tc>
        <w:tc>
          <w:tcPr>
            <w:tcW w:type="dxa" w:w="4968"/>
            <w:tcMar>
              <w:top w:w="80" w:type="dxa"/>
              <w:start w:w="90" w:type="dxa"/>
              <w:bottom w:w="80" w:type="dxa"/>
              <w:end w:w="90" w:type="dxa"/>
            </w:tcMar>
            <w:vAlign w:val="center"/>
          </w:tcPr>
          <w:p>
            <w:r>
              <w:t>A separate 0-1 internal scalar and public band that measures how trustworthy a given readiness or forecast output is, based on sufficiency, recency, consistency, and evidence quality.</w:t>
            </w:r>
          </w:p>
        </w:tc>
      </w:tr>
      <w:tr>
        <w:tc>
          <w:tcPr>
            <w:tcW w:type="dxa" w:w="4968"/>
            <w:tcMar>
              <w:top w:w="80" w:type="dxa"/>
              <w:start w:w="90" w:type="dxa"/>
              <w:bottom w:w="80" w:type="dxa"/>
              <w:end w:w="90" w:type="dxa"/>
            </w:tcMar>
            <w:vAlign w:val="center"/>
          </w:tcPr>
          <w:p>
            <w:r>
              <w:t>Sufficiency</w:t>
            </w:r>
          </w:p>
        </w:tc>
        <w:tc>
          <w:tcPr>
            <w:tcW w:type="dxa" w:w="4968"/>
            <w:tcMar>
              <w:top w:w="80" w:type="dxa"/>
              <w:start w:w="90" w:type="dxa"/>
              <w:bottom w:w="80" w:type="dxa"/>
              <w:end w:w="90" w:type="dxa"/>
            </w:tcMar>
            <w:vAlign w:val="center"/>
          </w:tcPr>
          <w:p>
            <w:r>
              <w:t>The minimum evidence standard required before a score may be stored, displayed, or allowed to trigger product behavior.</w:t>
            </w:r>
          </w:p>
        </w:tc>
      </w:tr>
      <w:tr>
        <w:tc>
          <w:tcPr>
            <w:tcW w:type="dxa" w:w="4968"/>
            <w:tcMar>
              <w:top w:w="80" w:type="dxa"/>
              <w:start w:w="90" w:type="dxa"/>
              <w:bottom w:w="80" w:type="dxa"/>
              <w:end w:w="90" w:type="dxa"/>
            </w:tcMar>
            <w:vAlign w:val="center"/>
          </w:tcPr>
          <w:p>
            <w:r>
              <w:t>Suppression</w:t>
            </w:r>
          </w:p>
        </w:tc>
        <w:tc>
          <w:tcPr>
            <w:tcW w:type="dxa" w:w="4968"/>
            <w:tcMar>
              <w:top w:w="80" w:type="dxa"/>
              <w:start w:w="90" w:type="dxa"/>
              <w:bottom w:w="80" w:type="dxa"/>
              <w:end w:w="90" w:type="dxa"/>
            </w:tcMar>
            <w:vAlign w:val="center"/>
          </w:tcPr>
          <w:p>
            <w:r>
              <w:t>A required holdback state in which the system stores raw components internally but withholds the public score, band, or trigger because confidence or sufficiency is inadequate.</w:t>
            </w:r>
          </w:p>
        </w:tc>
      </w:tr>
      <w:tr>
        <w:tc>
          <w:tcPr>
            <w:tcW w:type="dxa" w:w="4968"/>
            <w:tcMar>
              <w:top w:w="80" w:type="dxa"/>
              <w:start w:w="90" w:type="dxa"/>
              <w:bottom w:w="80" w:type="dxa"/>
              <w:end w:w="90" w:type="dxa"/>
            </w:tcMar>
            <w:vAlign w:val="center"/>
          </w:tcPr>
          <w:p>
            <w:r>
              <w:t>Drift</w:t>
            </w:r>
          </w:p>
        </w:tc>
        <w:tc>
          <w:tcPr>
            <w:tcW w:type="dxa" w:w="4968"/>
            <w:tcMar>
              <w:top w:w="80" w:type="dxa"/>
              <w:start w:w="90" w:type="dxa"/>
              <w:bottom w:w="80" w:type="dxa"/>
              <w:end w:w="90" w:type="dxa"/>
            </w:tcMar>
            <w:vAlign w:val="center"/>
          </w:tcPr>
          <w:p>
            <w:r>
              <w:t>A measurable deviation between declared alignment and observed relational behavior over time. Drift is not punishment; it is a governance layer that prevents stale self-description from masquerading as current truth.</w:t>
            </w:r>
          </w:p>
        </w:tc>
      </w:tr>
    </w:tbl>
    <w:p/>
    <w:p>
      <w:pPr>
        <w:pStyle w:val="Heading1Custom"/>
      </w:pPr>
      <w:r>
        <w:t>4. Core contract principles</w:t>
      </w:r>
    </w:p>
    <w:p>
      <w:pPr>
        <w:spacing w:after="40"/>
        <w:ind w:left="288"/>
      </w:pPr>
      <w:r>
        <w:rPr>
          <w:b/>
        </w:rPr>
        <w:t xml:space="preserve">• </w:t>
      </w:r>
      <w:r>
        <w:t>One score, one meaning. A field name cannot carry different semantics across services.</w:t>
      </w:r>
    </w:p>
    <w:p>
      <w:pPr>
        <w:spacing w:after="40"/>
        <w:ind w:left="288"/>
      </w:pPr>
      <w:r>
        <w:rPr>
          <w:b/>
        </w:rPr>
        <w:t xml:space="preserve">• </w:t>
      </w:r>
      <w:r>
        <w:t>Confidence travels with the score. Any service reading readiness or forecast must also read confidence, version, timestamp, and evidence snapshot metadata.</w:t>
      </w:r>
    </w:p>
    <w:p>
      <w:pPr>
        <w:spacing w:after="40"/>
        <w:ind w:left="288"/>
      </w:pPr>
      <w:r>
        <w:rPr>
          <w:b/>
        </w:rPr>
        <w:t xml:space="preserve">• </w:t>
      </w:r>
      <w:r>
        <w:t>Display is a policy decision, not a side effect of computation. Calculation alone does not authorize exposure.</w:t>
      </w:r>
    </w:p>
    <w:p>
      <w:pPr>
        <w:spacing w:after="40"/>
        <w:ind w:left="288"/>
      </w:pPr>
      <w:r>
        <w:rPr>
          <w:b/>
        </w:rPr>
        <w:t xml:space="preserve">• </w:t>
      </w:r>
      <w:r>
        <w:t>Forecast is more restricted than readiness. Where rules conflict, the more conservative forecast rule wins.</w:t>
      </w:r>
    </w:p>
    <w:p>
      <w:pPr>
        <w:spacing w:after="40"/>
        <w:ind w:left="288"/>
      </w:pPr>
      <w:r>
        <w:rPr>
          <w:b/>
        </w:rPr>
        <w:t xml:space="preserve">• </w:t>
      </w:r>
      <w:r>
        <w:t>No false precision. Public surfaces may use ranges, labels, or banded phrasing instead of raw decimals.</w:t>
      </w:r>
    </w:p>
    <w:p>
      <w:pPr>
        <w:spacing w:after="40"/>
        <w:ind w:left="288"/>
      </w:pPr>
      <w:r>
        <w:rPr>
          <w:b/>
        </w:rPr>
        <w:t xml:space="preserve">• </w:t>
      </w:r>
      <w:r>
        <w:t>No diagnosis language. The system may describe signals, patterns, or trends, never medical or deterministic conclusions.</w:t>
      </w:r>
    </w:p>
    <w:p>
      <w:pPr>
        <w:spacing w:after="40"/>
        <w:ind w:left="288"/>
      </w:pPr>
      <w:r>
        <w:rPr>
          <w:b/>
        </w:rPr>
        <w:t xml:space="preserve">• </w:t>
      </w:r>
      <w:r>
        <w:t>Version everything. If formulas, weights, or eligibility rules change, prior outputs remain reproducible via stored version tags.</w:t>
      </w:r>
    </w:p>
    <w:p>
      <w:pPr>
        <w:pStyle w:val="Heading1Custom"/>
      </w:pPr>
      <w:r>
        <w:t>5. Readiness v1 contract</w:t>
      </w:r>
    </w:p>
    <w:p>
      <w:pPr>
        <w:pStyle w:val="Heading2Custom"/>
      </w:pPr>
      <w:r>
        <w:t>5.1 Output</w:t>
      </w:r>
    </w:p>
    <w:p>
      <w:pPr/>
      <w:r>
        <w:t>Readiness shall be stored as an integer from 0 to 100. Decimals may exist internally during computation but the canonical stored public-ready score is rounded to the nearest whole number using banker-safe standard rounding rules defined at service level.</w:t>
      </w:r>
    </w:p>
    <w:p>
      <w:pPr>
        <w:pStyle w:val="Heading2Custom"/>
      </w:pPr>
      <w:r>
        <w:t>5.2 Meaning</w:t>
      </w:r>
    </w:p>
    <w:p>
      <w:pPr/>
      <w:r>
        <w:t>Readiness answers a narrow question: 'How prepared is this person, right now, to participate in a healthy relationship without requiring the other person to carry the weight of unmanaged contradiction, instability, avoidance, or unresolved active pattern disruption?'</w:t>
      </w:r>
    </w:p>
    <w:p>
      <w:pPr>
        <w:pStyle w:val="Heading2Custom"/>
      </w:pPr>
      <w:r>
        <w:t>5.3 Readiness components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tcMar>
              <w:top w:w="80" w:type="dxa"/>
              <w:start w:w="90" w:type="dxa"/>
              <w:bottom w:w="80" w:type="dxa"/>
              <w:end w:w="90" w:type="dxa"/>
            </w:tcMar>
          </w:tcPr>
          <w:p>
            <w:r>
              <w:rPr>
                <w:b/>
              </w:rPr>
              <w:t>Component family</w:t>
            </w:r>
          </w:p>
        </w:tc>
        <w:tc>
          <w:tcPr>
            <w:tcW w:type="dxa" w:w="2484"/>
            <w:shd w:fill="D9E2F3"/>
            <w:tcMar>
              <w:top w:w="80" w:type="dxa"/>
              <w:start w:w="90" w:type="dxa"/>
              <w:bottom w:w="80" w:type="dxa"/>
              <w:end w:w="90" w:type="dxa"/>
            </w:tcMar>
          </w:tcPr>
          <w:p>
            <w:r>
              <w:rPr>
                <w:b/>
              </w:rPr>
              <w:t>Purpose</w:t>
            </w:r>
          </w:p>
        </w:tc>
        <w:tc>
          <w:tcPr>
            <w:tcW w:type="dxa" w:w="2484"/>
            <w:shd w:fill="D9E2F3"/>
            <w:tcMar>
              <w:top w:w="80" w:type="dxa"/>
              <w:start w:w="90" w:type="dxa"/>
              <w:bottom w:w="80" w:type="dxa"/>
              <w:end w:w="90" w:type="dxa"/>
            </w:tcMar>
          </w:tcPr>
          <w:p>
            <w:r>
              <w:rPr>
                <w:b/>
              </w:rPr>
              <w:t>Typical sources</w:t>
            </w:r>
          </w:p>
        </w:tc>
        <w:tc>
          <w:tcPr>
            <w:tcW w:type="dxa" w:w="2484"/>
            <w:shd w:fill="D9E2F3"/>
            <w:tcMar>
              <w:top w:w="80" w:type="dxa"/>
              <w:start w:w="90" w:type="dxa"/>
              <w:bottom w:w="80" w:type="dxa"/>
              <w:end w:w="90" w:type="dxa"/>
            </w:tcMar>
          </w:tcPr>
          <w:p>
            <w:r>
              <w:rPr>
                <w:b/>
              </w:rPr>
              <w:t>v1 status</w:t>
            </w:r>
          </w:p>
        </w:tc>
      </w:tr>
      <w:tr>
        <w:tc>
          <w:tcPr>
            <w:tcW w:type="dxa" w:w="2484"/>
            <w:tcMar>
              <w:top w:w="80" w:type="dxa"/>
              <w:start w:w="90" w:type="dxa"/>
              <w:bottom w:w="80" w:type="dxa"/>
              <w:end w:w="90" w:type="dxa"/>
            </w:tcMar>
            <w:vAlign w:val="center"/>
          </w:tcPr>
          <w:p>
            <w:r>
              <w:t>Assessment base</w:t>
            </w:r>
          </w:p>
        </w:tc>
        <w:tc>
          <w:tcPr>
            <w:tcW w:type="dxa" w:w="2484"/>
            <w:tcMar>
              <w:top w:w="80" w:type="dxa"/>
              <w:start w:w="90" w:type="dxa"/>
              <w:bottom w:w="80" w:type="dxa"/>
              <w:end w:w="90" w:type="dxa"/>
            </w:tcMar>
            <w:vAlign w:val="center"/>
          </w:tcPr>
          <w:p>
            <w:r>
              <w:t>Captures declared behavior, values, regulation, availability, and relational posture</w:t>
            </w:r>
          </w:p>
        </w:tc>
        <w:tc>
          <w:tcPr>
            <w:tcW w:type="dxa" w:w="2484"/>
            <w:tcMar>
              <w:top w:w="80" w:type="dxa"/>
              <w:start w:w="90" w:type="dxa"/>
              <w:bottom w:w="80" w:type="dxa"/>
              <w:end w:w="90" w:type="dxa"/>
            </w:tcMar>
            <w:vAlign w:val="center"/>
          </w:tcPr>
          <w:p>
            <w:r>
              <w:t>Core assessment answers, weighted answer logic, contradiction clusters</w:t>
            </w:r>
          </w:p>
        </w:tc>
        <w:tc>
          <w:tcPr>
            <w:tcW w:type="dxa" w:w="2484"/>
            <w:tcMar>
              <w:top w:w="80" w:type="dxa"/>
              <w:start w:w="90" w:type="dxa"/>
              <w:bottom w:w="80" w:type="dxa"/>
              <w:end w:w="90" w:type="dxa"/>
            </w:tcMar>
            <w:vAlign w:val="center"/>
          </w:tcPr>
          <w:p>
            <w:r>
              <w:t>Required</w:t>
            </w:r>
          </w:p>
        </w:tc>
      </w:tr>
      <w:tr>
        <w:tc>
          <w:tcPr>
            <w:tcW w:type="dxa" w:w="2484"/>
            <w:tcMar>
              <w:top w:w="80" w:type="dxa"/>
              <w:start w:w="90" w:type="dxa"/>
              <w:bottom w:w="80" w:type="dxa"/>
              <w:end w:w="90" w:type="dxa"/>
            </w:tcMar>
            <w:vAlign w:val="center"/>
          </w:tcPr>
          <w:p>
            <w:r>
              <w:t>Integrity / consistency</w:t>
            </w:r>
          </w:p>
        </w:tc>
        <w:tc>
          <w:tcPr>
            <w:tcW w:type="dxa" w:w="2484"/>
            <w:tcMar>
              <w:top w:w="80" w:type="dxa"/>
              <w:start w:w="90" w:type="dxa"/>
              <w:bottom w:w="80" w:type="dxa"/>
              <w:end w:w="90" w:type="dxa"/>
            </w:tcMar>
            <w:vAlign w:val="center"/>
          </w:tcPr>
          <w:p>
            <w:r>
              <w:t>Penalizes internal contradiction and unstable self-report coherence</w:t>
            </w:r>
          </w:p>
        </w:tc>
        <w:tc>
          <w:tcPr>
            <w:tcW w:type="dxa" w:w="2484"/>
            <w:tcMar>
              <w:top w:w="80" w:type="dxa"/>
              <w:start w:w="90" w:type="dxa"/>
              <w:bottom w:w="80" w:type="dxa"/>
              <w:end w:w="90" w:type="dxa"/>
            </w:tcMar>
            <w:vAlign w:val="center"/>
          </w:tcPr>
          <w:p>
            <w:r>
              <w:t>Reflection clusters, answer consistency checks, conflict pairs</w:t>
            </w:r>
          </w:p>
        </w:tc>
        <w:tc>
          <w:tcPr>
            <w:tcW w:type="dxa" w:w="2484"/>
            <w:tcMar>
              <w:top w:w="80" w:type="dxa"/>
              <w:start w:w="90" w:type="dxa"/>
              <w:bottom w:w="80" w:type="dxa"/>
              <w:end w:w="90" w:type="dxa"/>
            </w:tcMar>
            <w:vAlign w:val="center"/>
          </w:tcPr>
          <w:p>
            <w:r>
              <w:t>Required</w:t>
            </w:r>
          </w:p>
        </w:tc>
      </w:tr>
      <w:tr>
        <w:tc>
          <w:tcPr>
            <w:tcW w:type="dxa" w:w="2484"/>
            <w:tcMar>
              <w:top w:w="80" w:type="dxa"/>
              <w:start w:w="90" w:type="dxa"/>
              <w:bottom w:w="80" w:type="dxa"/>
              <w:end w:w="90" w:type="dxa"/>
            </w:tcMar>
            <w:vAlign w:val="center"/>
          </w:tcPr>
          <w:p>
            <w:r>
              <w:t>Companion-state modifiers</w:t>
            </w:r>
          </w:p>
        </w:tc>
        <w:tc>
          <w:tcPr>
            <w:tcW w:type="dxa" w:w="2484"/>
            <w:tcMar>
              <w:top w:w="80" w:type="dxa"/>
              <w:start w:w="90" w:type="dxa"/>
              <w:bottom w:w="80" w:type="dxa"/>
              <w:end w:w="90" w:type="dxa"/>
            </w:tcMar>
            <w:vAlign w:val="center"/>
          </w:tcPr>
          <w:p>
            <w:r>
              <w:t>Adds or constrains state effects that materially impact relational capacity</w:t>
            </w:r>
          </w:p>
        </w:tc>
        <w:tc>
          <w:tcPr>
            <w:tcW w:type="dxa" w:w="2484"/>
            <w:tcMar>
              <w:top w:w="80" w:type="dxa"/>
              <w:start w:w="90" w:type="dxa"/>
              <w:bottom w:w="80" w:type="dxa"/>
              <w:end w:w="90" w:type="dxa"/>
            </w:tcMar>
            <w:vAlign w:val="center"/>
          </w:tcPr>
          <w:p>
            <w:r>
              <w:t>Grief, anger, drift, ExsAnonymous, emotional genome overlays</w:t>
            </w:r>
          </w:p>
        </w:tc>
        <w:tc>
          <w:tcPr>
            <w:tcW w:type="dxa" w:w="2484"/>
            <w:tcMar>
              <w:top w:w="80" w:type="dxa"/>
              <w:start w:w="90" w:type="dxa"/>
              <w:bottom w:w="80" w:type="dxa"/>
              <w:end w:w="90" w:type="dxa"/>
            </w:tcMar>
            <w:vAlign w:val="center"/>
          </w:tcPr>
          <w:p>
            <w:r>
              <w:t>Required when available</w:t>
            </w:r>
          </w:p>
        </w:tc>
      </w:tr>
      <w:tr>
        <w:tc>
          <w:tcPr>
            <w:tcW w:type="dxa" w:w="2484"/>
            <w:tcMar>
              <w:top w:w="80" w:type="dxa"/>
              <w:start w:w="90" w:type="dxa"/>
              <w:bottom w:w="80" w:type="dxa"/>
              <w:end w:w="90" w:type="dxa"/>
            </w:tcMar>
            <w:vAlign w:val="center"/>
          </w:tcPr>
          <w:p>
            <w:r>
              <w:t>Behavioral observation</w:t>
            </w:r>
          </w:p>
        </w:tc>
        <w:tc>
          <w:tcPr>
            <w:tcW w:type="dxa" w:w="2484"/>
            <w:tcMar>
              <w:top w:w="80" w:type="dxa"/>
              <w:start w:w="90" w:type="dxa"/>
              <w:bottom w:w="80" w:type="dxa"/>
              <w:end w:w="90" w:type="dxa"/>
            </w:tcMar>
            <w:vAlign w:val="center"/>
          </w:tcPr>
          <w:p>
            <w:r>
              <w:t>Prevents purely self-declared identity from dominating current reality</w:t>
            </w:r>
          </w:p>
        </w:tc>
        <w:tc>
          <w:tcPr>
            <w:tcW w:type="dxa" w:w="2484"/>
            <w:tcMar>
              <w:top w:w="80" w:type="dxa"/>
              <w:start w:w="90" w:type="dxa"/>
              <w:bottom w:w="80" w:type="dxa"/>
              <w:end w:w="90" w:type="dxa"/>
            </w:tcMar>
            <w:vAlign w:val="center"/>
          </w:tcPr>
          <w:p>
            <w:r>
              <w:t>Messaging telemetry, response rhythms, repair behavior, Sanctuary logs</w:t>
            </w:r>
          </w:p>
        </w:tc>
        <w:tc>
          <w:tcPr>
            <w:tcW w:type="dxa" w:w="2484"/>
            <w:tcMar>
              <w:top w:w="80" w:type="dxa"/>
              <w:start w:w="90" w:type="dxa"/>
              <w:bottom w:w="80" w:type="dxa"/>
              <w:end w:w="90" w:type="dxa"/>
            </w:tcMar>
            <w:vAlign w:val="center"/>
          </w:tcPr>
          <w:p>
            <w:r>
              <w:t>Optional at launch, weighted only when confidence-qualified</w:t>
            </w:r>
          </w:p>
        </w:tc>
      </w:tr>
      <w:tr>
        <w:tc>
          <w:tcPr>
            <w:tcW w:type="dxa" w:w="2484"/>
            <w:tcMar>
              <w:top w:w="80" w:type="dxa"/>
              <w:start w:w="90" w:type="dxa"/>
              <w:bottom w:w="80" w:type="dxa"/>
              <w:end w:w="90" w:type="dxa"/>
            </w:tcMar>
            <w:vAlign w:val="center"/>
          </w:tcPr>
          <w:p>
            <w:r>
              <w:t>Risk suppressors / safeguards</w:t>
            </w:r>
          </w:p>
        </w:tc>
        <w:tc>
          <w:tcPr>
            <w:tcW w:type="dxa" w:w="2484"/>
            <w:tcMar>
              <w:top w:w="80" w:type="dxa"/>
              <w:start w:w="90" w:type="dxa"/>
              <w:bottom w:w="80" w:type="dxa"/>
              <w:end w:w="90" w:type="dxa"/>
            </w:tcMar>
            <w:vAlign w:val="center"/>
          </w:tcPr>
          <w:p>
            <w:r>
              <w:t>Blocks or limits public exposure when the evidence is stale or unsafe</w:t>
            </w:r>
          </w:p>
        </w:tc>
        <w:tc>
          <w:tcPr>
            <w:tcW w:type="dxa" w:w="2484"/>
            <w:tcMar>
              <w:top w:w="80" w:type="dxa"/>
              <w:start w:w="90" w:type="dxa"/>
              <w:bottom w:w="80" w:type="dxa"/>
              <w:end w:w="90" w:type="dxa"/>
            </w:tcMar>
            <w:vAlign w:val="center"/>
          </w:tcPr>
          <w:p>
            <w:r>
              <w:t>Low confidence, missing recency, active suppression flags, moderation holds</w:t>
            </w:r>
          </w:p>
        </w:tc>
        <w:tc>
          <w:tcPr>
            <w:tcW w:type="dxa" w:w="2484"/>
            <w:tcMar>
              <w:top w:w="80" w:type="dxa"/>
              <w:start w:w="90" w:type="dxa"/>
              <w:bottom w:w="80" w:type="dxa"/>
              <w:end w:w="90" w:type="dxa"/>
            </w:tcMar>
            <w:vAlign w:val="center"/>
          </w:tcPr>
          <w:p>
            <w:r>
              <w:t>Required</w:t>
            </w:r>
          </w:p>
        </w:tc>
      </w:tr>
    </w:tbl>
    <w:p/>
    <w:p>
      <w:pPr>
        <w:pStyle w:val="Heading2Custom"/>
      </w:pPr>
      <w:r>
        <w:t>5.4 Readiness calculation stance</w:t>
      </w:r>
    </w:p>
    <w:p>
      <w:pPr/>
      <w:r>
        <w:t>The v1 contract does not require a brand-new formula if a canonical readiness formula already exists in the scoring workbook. It requires that every service call the same canonical routine or consume the same published output.</w:t>
      </w:r>
    </w:p>
    <w:p>
      <w:pPr/>
      <w:r>
        <w:t>Where component weights are still evolving, developers must implement the contract using versioned component families, not hard-coded ad hoc math scattered across product surfaces.</w:t>
      </w:r>
    </w:p>
    <w:p>
      <w:pPr/>
      <w:r>
        <w:t>The readiness engine must support: raw component values, normalized component values, penalties, suppressions, final score, confidence band, sufficiency status, reason codes, and version id.</w:t>
      </w:r>
    </w:p>
    <w:p>
      <w:pPr/>
      <w:r>
        <w:t>If the workbook formula and product code disagree, workbook authority wins until an approved version bump is issued.</w:t>
      </w:r>
    </w:p>
    <w:p>
      <w:pPr>
        <w:pStyle w:val="Heading2Custom"/>
      </w:pPr>
      <w:r>
        <w:t>5.5 Readiness public bands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CE5CD"/>
            <w:tcMar>
              <w:top w:w="80" w:type="dxa"/>
              <w:start w:w="90" w:type="dxa"/>
              <w:bottom w:w="80" w:type="dxa"/>
              <w:end w:w="90" w:type="dxa"/>
            </w:tcMar>
          </w:tcPr>
          <w:p>
            <w:r>
              <w:rPr>
                <w:b/>
              </w:rPr>
              <w:t>Band</w:t>
            </w:r>
          </w:p>
        </w:tc>
        <w:tc>
          <w:tcPr>
            <w:tcW w:type="dxa" w:w="2484"/>
            <w:shd w:fill="FCE5CD"/>
            <w:tcMar>
              <w:top w:w="80" w:type="dxa"/>
              <w:start w:w="90" w:type="dxa"/>
              <w:bottom w:w="80" w:type="dxa"/>
              <w:end w:w="90" w:type="dxa"/>
            </w:tcMar>
          </w:tcPr>
          <w:p>
            <w:r>
              <w:rPr>
                <w:b/>
              </w:rPr>
              <w:t>Range</w:t>
            </w:r>
          </w:p>
        </w:tc>
        <w:tc>
          <w:tcPr>
            <w:tcW w:type="dxa" w:w="2484"/>
            <w:shd w:fill="FCE5CD"/>
            <w:tcMar>
              <w:top w:w="80" w:type="dxa"/>
              <w:start w:w="90" w:type="dxa"/>
              <w:bottom w:w="80" w:type="dxa"/>
              <w:end w:w="90" w:type="dxa"/>
            </w:tcMar>
          </w:tcPr>
          <w:p>
            <w:r>
              <w:rPr>
                <w:b/>
              </w:rPr>
              <w:t>Public-safe meaning</w:t>
            </w:r>
          </w:p>
        </w:tc>
        <w:tc>
          <w:tcPr>
            <w:tcW w:type="dxa" w:w="2484"/>
            <w:shd w:fill="FCE5CD"/>
            <w:tcMar>
              <w:top w:w="80" w:type="dxa"/>
              <w:start w:w="90" w:type="dxa"/>
              <w:bottom w:w="80" w:type="dxa"/>
              <w:end w:w="90" w:type="dxa"/>
            </w:tcMar>
          </w:tcPr>
          <w:p>
            <w:r>
              <w:rPr>
                <w:b/>
              </w:rPr>
              <w:t>Recommended phrasing</w:t>
            </w:r>
          </w:p>
        </w:tc>
      </w:tr>
      <w:tr>
        <w:tc>
          <w:tcPr>
            <w:tcW w:type="dxa" w:w="2484"/>
            <w:tcMar>
              <w:top w:w="80" w:type="dxa"/>
              <w:start w:w="90" w:type="dxa"/>
              <w:bottom w:w="80" w:type="dxa"/>
              <w:end w:w="90" w:type="dxa"/>
            </w:tcMar>
          </w:tcPr>
          <w:p>
            <w:r>
              <w:t>Band A</w:t>
            </w:r>
          </w:p>
        </w:tc>
        <w:tc>
          <w:tcPr>
            <w:tcW w:type="dxa" w:w="2484"/>
            <w:tcMar>
              <w:top w:w="80" w:type="dxa"/>
              <w:start w:w="90" w:type="dxa"/>
              <w:bottom w:w="80" w:type="dxa"/>
              <w:end w:w="90" w:type="dxa"/>
            </w:tcMar>
          </w:tcPr>
          <w:p>
            <w:r>
              <w:t>80-100</w:t>
            </w:r>
          </w:p>
        </w:tc>
        <w:tc>
          <w:tcPr>
            <w:tcW w:type="dxa" w:w="2484"/>
            <w:tcMar>
              <w:top w:w="80" w:type="dxa"/>
              <w:start w:w="90" w:type="dxa"/>
              <w:bottom w:w="80" w:type="dxa"/>
              <w:end w:w="90" w:type="dxa"/>
            </w:tcMar>
          </w:tcPr>
          <w:p>
            <w:r>
              <w:t>Stable and relationally usable with strong evidence of accountability and alignment</w:t>
            </w:r>
          </w:p>
        </w:tc>
        <w:tc>
          <w:tcPr>
            <w:tcW w:type="dxa" w:w="2484"/>
            <w:tcMar>
              <w:top w:w="80" w:type="dxa"/>
              <w:start w:w="90" w:type="dxa"/>
              <w:bottom w:w="80" w:type="dxa"/>
              <w:end w:w="90" w:type="dxa"/>
            </w:tcMar>
          </w:tcPr>
          <w:p>
            <w:r>
              <w:t>High readiness</w:t>
            </w:r>
          </w:p>
        </w:tc>
      </w:tr>
      <w:tr>
        <w:tc>
          <w:tcPr>
            <w:tcW w:type="dxa" w:w="2484"/>
            <w:tcMar>
              <w:top w:w="80" w:type="dxa"/>
              <w:start w:w="90" w:type="dxa"/>
              <w:bottom w:w="80" w:type="dxa"/>
              <w:end w:w="90" w:type="dxa"/>
            </w:tcMar>
          </w:tcPr>
          <w:p>
            <w:r>
              <w:t>Band B</w:t>
            </w:r>
          </w:p>
        </w:tc>
        <w:tc>
          <w:tcPr>
            <w:tcW w:type="dxa" w:w="2484"/>
            <w:tcMar>
              <w:top w:w="80" w:type="dxa"/>
              <w:start w:w="90" w:type="dxa"/>
              <w:bottom w:w="80" w:type="dxa"/>
              <w:end w:w="90" w:type="dxa"/>
            </w:tcMar>
          </w:tcPr>
          <w:p>
            <w:r>
              <w:t>65-79</w:t>
            </w:r>
          </w:p>
        </w:tc>
        <w:tc>
          <w:tcPr>
            <w:tcW w:type="dxa" w:w="2484"/>
            <w:tcMar>
              <w:top w:w="80" w:type="dxa"/>
              <w:start w:w="90" w:type="dxa"/>
              <w:bottom w:w="80" w:type="dxa"/>
              <w:end w:w="90" w:type="dxa"/>
            </w:tcMar>
          </w:tcPr>
          <w:p>
            <w:r>
              <w:t>Generally capable but still carrying some active growth areas or limited instability pressure</w:t>
            </w:r>
          </w:p>
        </w:tc>
        <w:tc>
          <w:tcPr>
            <w:tcW w:type="dxa" w:w="2484"/>
            <w:tcMar>
              <w:top w:w="80" w:type="dxa"/>
              <w:start w:w="90" w:type="dxa"/>
              <w:bottom w:w="80" w:type="dxa"/>
              <w:end w:w="90" w:type="dxa"/>
            </w:tcMar>
          </w:tcPr>
          <w:p>
            <w:r>
              <w:t>Good readiness with growth areas</w:t>
            </w:r>
          </w:p>
        </w:tc>
      </w:tr>
      <w:tr>
        <w:tc>
          <w:tcPr>
            <w:tcW w:type="dxa" w:w="2484"/>
            <w:tcMar>
              <w:top w:w="80" w:type="dxa"/>
              <w:start w:w="90" w:type="dxa"/>
              <w:bottom w:w="80" w:type="dxa"/>
              <w:end w:w="90" w:type="dxa"/>
            </w:tcMar>
          </w:tcPr>
          <w:p>
            <w:r>
              <w:t>Band C</w:t>
            </w:r>
          </w:p>
        </w:tc>
        <w:tc>
          <w:tcPr>
            <w:tcW w:type="dxa" w:w="2484"/>
            <w:tcMar>
              <w:top w:w="80" w:type="dxa"/>
              <w:start w:w="90" w:type="dxa"/>
              <w:bottom w:w="80" w:type="dxa"/>
              <w:end w:w="90" w:type="dxa"/>
            </w:tcMar>
          </w:tcPr>
          <w:p>
            <w:r>
              <w:t>50-64</w:t>
            </w:r>
          </w:p>
        </w:tc>
        <w:tc>
          <w:tcPr>
            <w:tcW w:type="dxa" w:w="2484"/>
            <w:tcMar>
              <w:top w:w="80" w:type="dxa"/>
              <w:start w:w="90" w:type="dxa"/>
              <w:bottom w:w="80" w:type="dxa"/>
              <w:end w:w="90" w:type="dxa"/>
            </w:tcMar>
          </w:tcPr>
          <w:p>
            <w:r>
              <w:t>Mixed readiness; engagement may be possible but risk factors are material</w:t>
            </w:r>
          </w:p>
        </w:tc>
        <w:tc>
          <w:tcPr>
            <w:tcW w:type="dxa" w:w="2484"/>
            <w:tcMar>
              <w:top w:w="80" w:type="dxa"/>
              <w:start w:w="90" w:type="dxa"/>
              <w:bottom w:w="80" w:type="dxa"/>
              <w:end w:w="90" w:type="dxa"/>
            </w:tcMar>
          </w:tcPr>
          <w:p>
            <w:r>
              <w:t>Developing readiness</w:t>
            </w:r>
          </w:p>
        </w:tc>
      </w:tr>
      <w:tr>
        <w:tc>
          <w:tcPr>
            <w:tcW w:type="dxa" w:w="2484"/>
            <w:tcMar>
              <w:top w:w="80" w:type="dxa"/>
              <w:start w:w="90" w:type="dxa"/>
              <w:bottom w:w="80" w:type="dxa"/>
              <w:end w:w="90" w:type="dxa"/>
            </w:tcMar>
          </w:tcPr>
          <w:p>
            <w:r>
              <w:t>Band D</w:t>
            </w:r>
          </w:p>
        </w:tc>
        <w:tc>
          <w:tcPr>
            <w:tcW w:type="dxa" w:w="2484"/>
            <w:tcMar>
              <w:top w:w="80" w:type="dxa"/>
              <w:start w:w="90" w:type="dxa"/>
              <w:bottom w:w="80" w:type="dxa"/>
              <w:end w:w="90" w:type="dxa"/>
            </w:tcMar>
          </w:tcPr>
          <w:p>
            <w:r>
              <w:t>35-49</w:t>
            </w:r>
          </w:p>
        </w:tc>
        <w:tc>
          <w:tcPr>
            <w:tcW w:type="dxa" w:w="2484"/>
            <w:tcMar>
              <w:top w:w="80" w:type="dxa"/>
              <w:start w:w="90" w:type="dxa"/>
              <w:bottom w:w="80" w:type="dxa"/>
              <w:end w:w="90" w:type="dxa"/>
            </w:tcMar>
          </w:tcPr>
          <w:p>
            <w:r>
              <w:t>Current relational strain is significant; public surfaces should avoid overpromising</w:t>
            </w:r>
          </w:p>
        </w:tc>
        <w:tc>
          <w:tcPr>
            <w:tcW w:type="dxa" w:w="2484"/>
            <w:tcMar>
              <w:top w:w="80" w:type="dxa"/>
              <w:start w:w="90" w:type="dxa"/>
              <w:bottom w:w="80" w:type="dxa"/>
              <w:end w:w="90" w:type="dxa"/>
            </w:tcMar>
          </w:tcPr>
          <w:p>
            <w:r>
              <w:t>Low readiness</w:t>
            </w:r>
          </w:p>
        </w:tc>
      </w:tr>
      <w:tr>
        <w:tc>
          <w:tcPr>
            <w:tcW w:type="dxa" w:w="2484"/>
            <w:tcMar>
              <w:top w:w="80" w:type="dxa"/>
              <w:start w:w="90" w:type="dxa"/>
              <w:bottom w:w="80" w:type="dxa"/>
              <w:end w:w="90" w:type="dxa"/>
            </w:tcMar>
          </w:tcPr>
          <w:p>
            <w:r>
              <w:t>Band E</w:t>
            </w:r>
          </w:p>
        </w:tc>
        <w:tc>
          <w:tcPr>
            <w:tcW w:type="dxa" w:w="2484"/>
            <w:tcMar>
              <w:top w:w="80" w:type="dxa"/>
              <w:start w:w="90" w:type="dxa"/>
              <w:bottom w:w="80" w:type="dxa"/>
              <w:end w:w="90" w:type="dxa"/>
            </w:tcMar>
          </w:tcPr>
          <w:p>
            <w:r>
              <w:t>0-34</w:t>
            </w:r>
          </w:p>
        </w:tc>
        <w:tc>
          <w:tcPr>
            <w:tcW w:type="dxa" w:w="2484"/>
            <w:tcMar>
              <w:top w:w="80" w:type="dxa"/>
              <w:start w:w="90" w:type="dxa"/>
              <w:bottom w:w="80" w:type="dxa"/>
              <w:end w:w="90" w:type="dxa"/>
            </w:tcMar>
          </w:tcPr>
          <w:p>
            <w:r>
              <w:t>Acute instability, contradiction, or active blockers reduce suitability for public confidence claims</w:t>
            </w:r>
          </w:p>
        </w:tc>
        <w:tc>
          <w:tcPr>
            <w:tcW w:type="dxa" w:w="2484"/>
            <w:tcMar>
              <w:top w:w="80" w:type="dxa"/>
              <w:start w:w="90" w:type="dxa"/>
              <w:bottom w:w="80" w:type="dxa"/>
              <w:end w:w="90" w:type="dxa"/>
            </w:tcMar>
          </w:tcPr>
          <w:p>
            <w:r>
              <w:t>Readiness currently limited</w:t>
            </w:r>
          </w:p>
        </w:tc>
      </w:tr>
    </w:tbl>
    <w:p/>
    <w:p>
      <w:pPr>
        <w:pStyle w:val="Heading1Custom"/>
      </w:pPr>
      <w:r>
        <w:t>6. Forecast v1 contract</w:t>
      </w:r>
    </w:p>
    <w:p>
      <w:pPr>
        <w:pStyle w:val="Heading2Custom"/>
      </w:pPr>
      <w:r>
        <w:t>6.1 Forecast is a family, not a single magic number</w:t>
      </w:r>
    </w:p>
    <w:p>
      <w:pPr/>
      <w:r>
        <w:t>Forecast shall not be modeled as one orphan score pretending to explain an entire future relationship. In v1, Forecast is a governed bundle of pair-state signals, each with its own confidence, recency, and suppression rules.</w:t>
      </w:r>
    </w:p>
    <w:p>
      <w:pPr>
        <w:pStyle w:val="Heading2Custom"/>
      </w:pPr>
      <w:r>
        <w:t>6.2 Mandatory forecast outputs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Mar>
              <w:top w:w="80" w:type="dxa"/>
              <w:start w:w="90" w:type="dxa"/>
              <w:bottom w:w="80" w:type="dxa"/>
              <w:end w:w="90" w:type="dxa"/>
            </w:tcMar>
          </w:tcPr>
          <w:p>
            <w:r>
              <w:rPr>
                <w:b/>
              </w:rPr>
              <w:t>Output</w:t>
            </w:r>
          </w:p>
        </w:tc>
        <w:tc>
          <w:tcPr>
            <w:tcW w:type="dxa" w:w="2484"/>
            <w:shd w:fill="D9EAD3"/>
            <w:tcMar>
              <w:top w:w="80" w:type="dxa"/>
              <w:start w:w="90" w:type="dxa"/>
              <w:bottom w:w="80" w:type="dxa"/>
              <w:end w:w="90" w:type="dxa"/>
            </w:tcMar>
          </w:tcPr>
          <w:p>
            <w:r>
              <w:rPr>
                <w:b/>
              </w:rPr>
              <w:t>Meaning</w:t>
            </w:r>
          </w:p>
        </w:tc>
        <w:tc>
          <w:tcPr>
            <w:tcW w:type="dxa" w:w="2484"/>
            <w:shd w:fill="D9EAD3"/>
            <w:tcMar>
              <w:top w:w="80" w:type="dxa"/>
              <w:start w:w="90" w:type="dxa"/>
              <w:bottom w:w="80" w:type="dxa"/>
              <w:end w:w="90" w:type="dxa"/>
            </w:tcMar>
          </w:tcPr>
          <w:p>
            <w:r>
              <w:rPr>
                <w:b/>
              </w:rPr>
              <w:t>Default visibility</w:t>
            </w:r>
          </w:p>
        </w:tc>
        <w:tc>
          <w:tcPr>
            <w:tcW w:type="dxa" w:w="2484"/>
            <w:shd w:fill="D9EAD3"/>
            <w:tcMar>
              <w:top w:w="80" w:type="dxa"/>
              <w:start w:w="90" w:type="dxa"/>
              <w:bottom w:w="80" w:type="dxa"/>
              <w:end w:w="90" w:type="dxa"/>
            </w:tcMar>
          </w:tcPr>
          <w:p>
            <w:r>
              <w:rPr>
                <w:b/>
              </w:rPr>
              <w:t>Trigger eligibility</w:t>
            </w:r>
          </w:p>
        </w:tc>
      </w:tr>
      <w:tr>
        <w:tc>
          <w:tcPr>
            <w:tcW w:type="dxa" w:w="2484"/>
            <w:tcMar>
              <w:top w:w="80" w:type="dxa"/>
              <w:start w:w="90" w:type="dxa"/>
              <w:bottom w:w="80" w:type="dxa"/>
              <w:end w:w="90" w:type="dxa"/>
            </w:tcMar>
          </w:tcPr>
          <w:p>
            <w:r>
              <w:t>forecast_stability_band</w:t>
            </w:r>
          </w:p>
        </w:tc>
        <w:tc>
          <w:tcPr>
            <w:tcW w:type="dxa" w:w="2484"/>
            <w:tcMar>
              <w:top w:w="80" w:type="dxa"/>
              <w:start w:w="90" w:type="dxa"/>
              <w:bottom w:w="80" w:type="dxa"/>
              <w:end w:w="90" w:type="dxa"/>
            </w:tcMar>
          </w:tcPr>
          <w:p>
            <w:r>
              <w:t>Likelihood that the pair can maintain non-chaotic continuity under current conditions</w:t>
            </w:r>
          </w:p>
        </w:tc>
        <w:tc>
          <w:tcPr>
            <w:tcW w:type="dxa" w:w="2484"/>
            <w:tcMar>
              <w:top w:w="80" w:type="dxa"/>
              <w:start w:w="90" w:type="dxa"/>
              <w:bottom w:w="80" w:type="dxa"/>
              <w:end w:w="90" w:type="dxa"/>
            </w:tcMar>
          </w:tcPr>
          <w:p>
            <w:r>
              <w:t>Internal by default; user-facing only as band label</w:t>
            </w:r>
          </w:p>
        </w:tc>
        <w:tc>
          <w:tcPr>
            <w:tcW w:type="dxa" w:w="2484"/>
            <w:tcMar>
              <w:top w:w="80" w:type="dxa"/>
              <w:start w:w="90" w:type="dxa"/>
              <w:bottom w:w="80" w:type="dxa"/>
              <w:end w:w="90" w:type="dxa"/>
            </w:tcMar>
          </w:tcPr>
          <w:p>
            <w:r>
              <w:t>Requires pair sufficiency + medium confidence</w:t>
            </w:r>
          </w:p>
        </w:tc>
      </w:tr>
      <w:tr>
        <w:tc>
          <w:tcPr>
            <w:tcW w:type="dxa" w:w="2484"/>
            <w:tcMar>
              <w:top w:w="80" w:type="dxa"/>
              <w:start w:w="90" w:type="dxa"/>
              <w:bottom w:w="80" w:type="dxa"/>
              <w:end w:w="90" w:type="dxa"/>
            </w:tcMar>
          </w:tcPr>
          <w:p>
            <w:r>
              <w:t>forecast_repair_capacity</w:t>
            </w:r>
          </w:p>
        </w:tc>
        <w:tc>
          <w:tcPr>
            <w:tcW w:type="dxa" w:w="2484"/>
            <w:tcMar>
              <w:top w:w="80" w:type="dxa"/>
              <w:start w:w="90" w:type="dxa"/>
              <w:bottom w:w="80" w:type="dxa"/>
              <w:end w:w="90" w:type="dxa"/>
            </w:tcMar>
          </w:tcPr>
          <w:p>
            <w:r>
              <w:t>Projected ability to recover after tension, conflict, or misunderstanding</w:t>
            </w:r>
          </w:p>
        </w:tc>
        <w:tc>
          <w:tcPr>
            <w:tcW w:type="dxa" w:w="2484"/>
            <w:tcMar>
              <w:top w:w="80" w:type="dxa"/>
              <w:start w:w="90" w:type="dxa"/>
              <w:bottom w:w="80" w:type="dxa"/>
              <w:end w:w="90" w:type="dxa"/>
            </w:tcMar>
          </w:tcPr>
          <w:p>
            <w:r>
              <w:t>Internal + premium summary label</w:t>
            </w:r>
          </w:p>
        </w:tc>
        <w:tc>
          <w:tcPr>
            <w:tcW w:type="dxa" w:w="2484"/>
            <w:tcMar>
              <w:top w:w="80" w:type="dxa"/>
              <w:start w:w="90" w:type="dxa"/>
              <w:bottom w:w="80" w:type="dxa"/>
              <w:end w:w="90" w:type="dxa"/>
            </w:tcMar>
          </w:tcPr>
          <w:p>
            <w:r>
              <w:t>Requires observed or strongly inferred repair data</w:t>
            </w:r>
          </w:p>
        </w:tc>
      </w:tr>
      <w:tr>
        <w:tc>
          <w:tcPr>
            <w:tcW w:type="dxa" w:w="2484"/>
            <w:tcMar>
              <w:top w:w="80" w:type="dxa"/>
              <w:start w:w="90" w:type="dxa"/>
              <w:bottom w:w="80" w:type="dxa"/>
              <w:end w:w="90" w:type="dxa"/>
            </w:tcMar>
          </w:tcPr>
          <w:p>
            <w:r>
              <w:t>forecast_drift_pressure</w:t>
            </w:r>
          </w:p>
        </w:tc>
        <w:tc>
          <w:tcPr>
            <w:tcW w:type="dxa" w:w="2484"/>
            <w:tcMar>
              <w:top w:w="80" w:type="dxa"/>
              <w:start w:w="90" w:type="dxa"/>
              <w:bottom w:w="80" w:type="dxa"/>
              <w:end w:w="90" w:type="dxa"/>
            </w:tcMar>
          </w:tcPr>
          <w:p>
            <w:r>
              <w:t>Current risk that mismatch between stated alignment and lived behavior will increase</w:t>
            </w:r>
          </w:p>
        </w:tc>
        <w:tc>
          <w:tcPr>
            <w:tcW w:type="dxa" w:w="2484"/>
            <w:tcMar>
              <w:top w:w="80" w:type="dxa"/>
              <w:start w:w="90" w:type="dxa"/>
              <w:bottom w:w="80" w:type="dxa"/>
              <w:end w:w="90" w:type="dxa"/>
            </w:tcMar>
          </w:tcPr>
          <w:p>
            <w:r>
              <w:t>Internal, may power nudges</w:t>
            </w:r>
          </w:p>
        </w:tc>
        <w:tc>
          <w:tcPr>
            <w:tcW w:type="dxa" w:w="2484"/>
            <w:tcMar>
              <w:top w:w="80" w:type="dxa"/>
              <w:start w:w="90" w:type="dxa"/>
              <w:bottom w:w="80" w:type="dxa"/>
              <w:end w:w="90" w:type="dxa"/>
            </w:tcMar>
          </w:tcPr>
          <w:p>
            <w:r>
              <w:t>Requires drift metrics</w:t>
            </w:r>
          </w:p>
        </w:tc>
      </w:tr>
      <w:tr>
        <w:tc>
          <w:tcPr>
            <w:tcW w:type="dxa" w:w="2484"/>
            <w:tcMar>
              <w:top w:w="80" w:type="dxa"/>
              <w:start w:w="90" w:type="dxa"/>
              <w:bottom w:w="80" w:type="dxa"/>
              <w:end w:w="90" w:type="dxa"/>
            </w:tcMar>
          </w:tcPr>
          <w:p>
            <w:r>
              <w:t>forecast_volatility_band</w:t>
            </w:r>
          </w:p>
        </w:tc>
        <w:tc>
          <w:tcPr>
            <w:tcW w:type="dxa" w:w="2484"/>
            <w:tcMar>
              <w:top w:w="80" w:type="dxa"/>
              <w:start w:w="90" w:type="dxa"/>
              <w:bottom w:w="80" w:type="dxa"/>
              <w:end w:w="90" w:type="dxa"/>
            </w:tcMar>
          </w:tcPr>
          <w:p>
            <w:r>
              <w:t>Probability of rapid swings, protest cycles, push-pull escalation, or repeated destabilization</w:t>
            </w:r>
          </w:p>
        </w:tc>
        <w:tc>
          <w:tcPr>
            <w:tcW w:type="dxa" w:w="2484"/>
            <w:tcMar>
              <w:top w:w="80" w:type="dxa"/>
              <w:start w:w="90" w:type="dxa"/>
              <w:bottom w:w="80" w:type="dxa"/>
              <w:end w:w="90" w:type="dxa"/>
            </w:tcMar>
          </w:tcPr>
          <w:p>
            <w:r>
              <w:t>Internal by default</w:t>
            </w:r>
          </w:p>
        </w:tc>
        <w:tc>
          <w:tcPr>
            <w:tcW w:type="dxa" w:w="2484"/>
            <w:tcMar>
              <w:top w:w="80" w:type="dxa"/>
              <w:start w:w="90" w:type="dxa"/>
              <w:bottom w:w="80" w:type="dxa"/>
              <w:end w:w="90" w:type="dxa"/>
            </w:tcMar>
          </w:tcPr>
          <w:p>
            <w:r>
              <w:t>Requires behavior + consistency evidence</w:t>
            </w:r>
          </w:p>
        </w:tc>
      </w:tr>
      <w:tr>
        <w:tc>
          <w:tcPr>
            <w:tcW w:type="dxa" w:w="2484"/>
            <w:tcMar>
              <w:top w:w="80" w:type="dxa"/>
              <w:start w:w="90" w:type="dxa"/>
              <w:bottom w:w="80" w:type="dxa"/>
              <w:end w:w="90" w:type="dxa"/>
            </w:tcMar>
          </w:tcPr>
          <w:p>
            <w:r>
              <w:t>forecast_growth_potential</w:t>
            </w:r>
          </w:p>
        </w:tc>
        <w:tc>
          <w:tcPr>
            <w:tcW w:type="dxa" w:w="2484"/>
            <w:tcMar>
              <w:top w:w="80" w:type="dxa"/>
              <w:start w:w="90" w:type="dxa"/>
              <w:bottom w:w="80" w:type="dxa"/>
              <w:end w:w="90" w:type="dxa"/>
            </w:tcMar>
          </w:tcPr>
          <w:p>
            <w:r>
              <w:t>Projected upside if both users continue healthy action patterns</w:t>
            </w:r>
          </w:p>
        </w:tc>
        <w:tc>
          <w:tcPr>
            <w:tcW w:type="dxa" w:w="2484"/>
            <w:tcMar>
              <w:top w:w="80" w:type="dxa"/>
              <w:start w:w="90" w:type="dxa"/>
              <w:bottom w:w="80" w:type="dxa"/>
              <w:end w:w="90" w:type="dxa"/>
            </w:tcMar>
          </w:tcPr>
          <w:p>
            <w:r>
              <w:t>User-safe summary allowed when confidence-qualified</w:t>
            </w:r>
          </w:p>
        </w:tc>
        <w:tc>
          <w:tcPr>
            <w:tcW w:type="dxa" w:w="2484"/>
            <w:tcMar>
              <w:top w:w="80" w:type="dxa"/>
              <w:start w:w="90" w:type="dxa"/>
              <w:bottom w:w="80" w:type="dxa"/>
              <w:end w:w="90" w:type="dxa"/>
            </w:tcMar>
          </w:tcPr>
          <w:p>
            <w:r>
              <w:t>Requires non-suppressed pair data</w:t>
            </w:r>
          </w:p>
        </w:tc>
      </w:tr>
      <w:tr>
        <w:tc>
          <w:tcPr>
            <w:tcW w:type="dxa" w:w="2484"/>
            <w:tcMar>
              <w:top w:w="80" w:type="dxa"/>
              <w:start w:w="90" w:type="dxa"/>
              <w:bottom w:w="80" w:type="dxa"/>
              <w:end w:w="90" w:type="dxa"/>
            </w:tcMar>
          </w:tcPr>
          <w:p>
            <w:r>
              <w:t>forecast_watch_flags</w:t>
            </w:r>
          </w:p>
        </w:tc>
        <w:tc>
          <w:tcPr>
            <w:tcW w:type="dxa" w:w="2484"/>
            <w:tcMar>
              <w:top w:w="80" w:type="dxa"/>
              <w:start w:w="90" w:type="dxa"/>
              <w:bottom w:w="80" w:type="dxa"/>
              <w:end w:w="90" w:type="dxa"/>
            </w:tcMar>
          </w:tcPr>
          <w:p>
            <w:r>
              <w:t>Enumerated reasons the pair forecast is constrained, risky, or under-evidenced</w:t>
            </w:r>
          </w:p>
        </w:tc>
        <w:tc>
          <w:tcPr>
            <w:tcW w:type="dxa" w:w="2484"/>
            <w:tcMar>
              <w:top w:w="80" w:type="dxa"/>
              <w:start w:w="90" w:type="dxa"/>
              <w:bottom w:w="80" w:type="dxa"/>
              <w:end w:w="90" w:type="dxa"/>
            </w:tcMar>
          </w:tcPr>
          <w:p>
            <w:r>
              <w:t>Internal + admin; selected flags may surface as gentle user language</w:t>
            </w:r>
          </w:p>
        </w:tc>
        <w:tc>
          <w:tcPr>
            <w:tcW w:type="dxa" w:w="2484"/>
            <w:tcMar>
              <w:top w:w="80" w:type="dxa"/>
              <w:start w:w="90" w:type="dxa"/>
              <w:bottom w:w="80" w:type="dxa"/>
              <w:end w:w="90" w:type="dxa"/>
            </w:tcMar>
          </w:tcPr>
          <w:p>
            <w:r>
              <w:t>Always available</w:t>
            </w:r>
          </w:p>
        </w:tc>
      </w:tr>
    </w:tbl>
    <w:p/>
    <w:p>
      <w:pPr>
        <w:pStyle w:val="Heading2Custom"/>
      </w:pPr>
      <w:r>
        <w:t>6.3 Forecast language restrictions</w:t>
      </w:r>
    </w:p>
    <w:p>
      <w:pPr>
        <w:spacing w:after="40"/>
        <w:ind w:left="288"/>
      </w:pPr>
      <w:r>
        <w:rPr>
          <w:b/>
        </w:rPr>
        <w:t xml:space="preserve">• </w:t>
      </w:r>
      <w:r>
        <w:t>Allowed language: trend, signal, projected pattern, likely pressure point, current outlook, current evidence suggests.</w:t>
      </w:r>
    </w:p>
    <w:p>
      <w:pPr>
        <w:spacing w:after="40"/>
        <w:ind w:left="288"/>
      </w:pPr>
      <w:r>
        <w:rPr>
          <w:b/>
        </w:rPr>
        <w:t xml:space="preserve">• </w:t>
      </w:r>
      <w:r>
        <w:t>Forbidden language: guaranteed future, soulmate certainty, will fail, clinically unsafe, diagnosis, definitive prediction.</w:t>
      </w:r>
    </w:p>
    <w:p>
      <w:pPr>
        <w:spacing w:after="40"/>
        <w:ind w:left="288"/>
      </w:pPr>
      <w:r>
        <w:rPr>
          <w:b/>
        </w:rPr>
        <w:t xml:space="preserve">• </w:t>
      </w:r>
      <w:r>
        <w:t>Forecast may inform product decisions; it may not masquerade as prophecy.</w:t>
      </w:r>
    </w:p>
    <w:p>
      <w:pPr>
        <w:pStyle w:val="Heading1Custom"/>
      </w:pPr>
      <w:r>
        <w:t>7. Inputs, evidence, and source authority</w:t>
      </w:r>
    </w:p>
    <w:p>
      <w:pPr>
        <w:pStyle w:val="Heading2Custom"/>
      </w:pPr>
      <w:r>
        <w:t>7.1 Approved evidence families</w:t>
      </w:r>
    </w:p>
    <w:p>
      <w:pPr>
        <w:spacing w:after="40"/>
        <w:ind w:left="288"/>
      </w:pPr>
      <w:r>
        <w:rPr>
          <w:b/>
        </w:rPr>
        <w:t xml:space="preserve">• </w:t>
      </w:r>
      <w:r>
        <w:t>Self-report evidence: assessment answers, optional history inputs, declared values, intention state, relationship goals.</w:t>
      </w:r>
    </w:p>
    <w:p>
      <w:pPr>
        <w:spacing w:after="40"/>
        <w:ind w:left="288"/>
      </w:pPr>
      <w:r>
        <w:rPr>
          <w:b/>
        </w:rPr>
        <w:t xml:space="preserve">• </w:t>
      </w:r>
      <w:r>
        <w:t>Consistency evidence: contradiction clusters, reflection responses, answer symmetry, improbable self-presentation flags.</w:t>
      </w:r>
    </w:p>
    <w:p>
      <w:pPr>
        <w:spacing w:after="40"/>
        <w:ind w:left="288"/>
      </w:pPr>
      <w:r>
        <w:rPr>
          <w:b/>
        </w:rPr>
        <w:t xml:space="preserve">• </w:t>
      </w:r>
      <w:r>
        <w:t>Companion evidence: grief state, anger state, drift state, ExsAnonymous state, emotional genome overlays, other approved companion modules.</w:t>
      </w:r>
    </w:p>
    <w:p>
      <w:pPr>
        <w:spacing w:after="40"/>
        <w:ind w:left="288"/>
      </w:pPr>
      <w:r>
        <w:rPr>
          <w:b/>
        </w:rPr>
        <w:t xml:space="preserve">• </w:t>
      </w:r>
      <w:r>
        <w:t>Behavior evidence: messaging cadence, reciprocality, response lag patterns, apology/repair behavior, activation/deactivation patterns, Sanctuary reflection trends.</w:t>
      </w:r>
    </w:p>
    <w:p>
      <w:pPr>
        <w:spacing w:after="40"/>
        <w:ind w:left="288"/>
      </w:pPr>
      <w:r>
        <w:rPr>
          <w:b/>
        </w:rPr>
        <w:t xml:space="preserve">• </w:t>
      </w:r>
      <w:r>
        <w:t>Pair evidence: compatibility engine outputs, pair rhythm metrics, communication and conflict interaction, cumulative state changes, shared event ledger.</w:t>
      </w:r>
    </w:p>
    <w:p>
      <w:pPr>
        <w:pStyle w:val="Heading2Custom"/>
      </w:pPr>
      <w:r>
        <w:t>7.2 Source authority order</w:t>
      </w:r>
    </w:p>
    <w:p>
      <w:pPr>
        <w:spacing w:after="40"/>
        <w:ind w:left="288"/>
      </w:pPr>
      <w:r>
        <w:rPr>
          <w:b/>
        </w:rPr>
        <w:t xml:space="preserve">• </w:t>
      </w:r>
      <w:r>
        <w:t>Canonical workbook / approved scoring service output.</w:t>
      </w:r>
    </w:p>
    <w:p>
      <w:pPr>
        <w:spacing w:after="40"/>
        <w:ind w:left="288"/>
      </w:pPr>
      <w:r>
        <w:rPr>
          <w:b/>
        </w:rPr>
        <w:t xml:space="preserve">• </w:t>
      </w:r>
      <w:r>
        <w:t>Event ledger and derived feature store built from approved events.</w:t>
      </w:r>
    </w:p>
    <w:p>
      <w:pPr>
        <w:spacing w:after="40"/>
        <w:ind w:left="288"/>
      </w:pPr>
      <w:r>
        <w:rPr>
          <w:b/>
        </w:rPr>
        <w:t xml:space="preserve">• </w:t>
      </w:r>
      <w:r>
        <w:t>Companion module state stores with approved version tags.</w:t>
      </w:r>
    </w:p>
    <w:p>
      <w:pPr>
        <w:spacing w:after="40"/>
        <w:ind w:left="288"/>
      </w:pPr>
      <w:r>
        <w:rPr>
          <w:b/>
        </w:rPr>
        <w:t xml:space="preserve">• </w:t>
      </w:r>
      <w:r>
        <w:t>UI-local temporary calculations for draft preview only. These may never become the source of truth.</w:t>
      </w:r>
    </w:p>
    <w:p>
      <w:pPr>
        <w:pStyle w:val="Heading1Custom"/>
      </w:pPr>
      <w:r>
        <w:t>8. Sufficiency and confidence contract</w:t>
      </w:r>
    </w:p>
    <w:p>
      <w:pPr>
        <w:pStyle w:val="Heading2Custom"/>
      </w:pPr>
      <w:r>
        <w:t>8.1 Sufficiency gates</w:t>
      </w:r>
    </w:p>
    <w:p>
      <w:pPr/>
      <w:r>
        <w:t>No score may be public-facing without passing sufficiency. Sufficiency is binary at the contract layer even if the engine calculates richer internal detail.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FF2CC"/>
            <w:tcMar>
              <w:top w:w="80" w:type="dxa"/>
              <w:start w:w="90" w:type="dxa"/>
              <w:bottom w:w="80" w:type="dxa"/>
              <w:end w:w="90" w:type="dxa"/>
            </w:tcMar>
          </w:tcPr>
          <w:p>
            <w:r>
              <w:rPr>
                <w:b/>
              </w:rPr>
              <w:t>Entity</w:t>
            </w:r>
          </w:p>
        </w:tc>
        <w:tc>
          <w:tcPr>
            <w:tcW w:type="dxa" w:w="3312"/>
            <w:shd w:fill="FFF2CC"/>
            <w:tcMar>
              <w:top w:w="80" w:type="dxa"/>
              <w:start w:w="90" w:type="dxa"/>
              <w:bottom w:w="80" w:type="dxa"/>
              <w:end w:w="90" w:type="dxa"/>
            </w:tcMar>
          </w:tcPr>
          <w:p>
            <w:r>
              <w:rPr>
                <w:b/>
              </w:rPr>
              <w:t>Minimum sufficiency rule</w:t>
            </w:r>
          </w:p>
        </w:tc>
        <w:tc>
          <w:tcPr>
            <w:tcW w:type="dxa" w:w="3312"/>
            <w:shd w:fill="FFF2CC"/>
            <w:tcMar>
              <w:top w:w="80" w:type="dxa"/>
              <w:start w:w="90" w:type="dxa"/>
              <w:bottom w:w="80" w:type="dxa"/>
              <w:end w:w="90" w:type="dxa"/>
            </w:tcMar>
          </w:tcPr>
          <w:p>
            <w:r>
              <w:rPr>
                <w:b/>
              </w:rPr>
              <w:t>Public behavior if failed</w:t>
            </w:r>
          </w:p>
        </w:tc>
      </w:tr>
      <w:tr>
        <w:tc>
          <w:tcPr>
            <w:tcW w:type="dxa" w:w="3312"/>
            <w:tcMar>
              <w:top w:w="80" w:type="dxa"/>
              <w:start w:w="90" w:type="dxa"/>
              <w:bottom w:w="80" w:type="dxa"/>
              <w:end w:w="90" w:type="dxa"/>
            </w:tcMar>
          </w:tcPr>
          <w:p>
            <w:r>
              <w:t>Readiness</w:t>
            </w:r>
          </w:p>
        </w:tc>
        <w:tc>
          <w:tcPr>
            <w:tcW w:type="dxa" w:w="3312"/>
            <w:tcMar>
              <w:top w:w="80" w:type="dxa"/>
              <w:start w:w="90" w:type="dxa"/>
              <w:bottom w:w="80" w:type="dxa"/>
              <w:end w:w="90" w:type="dxa"/>
            </w:tcMar>
          </w:tcPr>
          <w:p>
            <w:r>
              <w:t>Completed required assessment plus no critical missing required component families plus no active moderation hold</w:t>
            </w:r>
          </w:p>
        </w:tc>
        <w:tc>
          <w:tcPr>
            <w:tcW w:type="dxa" w:w="3312"/>
            <w:tcMar>
              <w:top w:w="80" w:type="dxa"/>
              <w:start w:w="90" w:type="dxa"/>
              <w:bottom w:w="80" w:type="dxa"/>
              <w:end w:w="90" w:type="dxa"/>
            </w:tcMar>
          </w:tcPr>
          <w:p>
            <w:r>
              <w:t>Store internal state; show withheld / incomplete messaging</w:t>
            </w:r>
          </w:p>
        </w:tc>
      </w:tr>
      <w:tr>
        <w:tc>
          <w:tcPr>
            <w:tcW w:type="dxa" w:w="3312"/>
            <w:tcMar>
              <w:top w:w="80" w:type="dxa"/>
              <w:start w:w="90" w:type="dxa"/>
              <w:bottom w:w="80" w:type="dxa"/>
              <w:end w:w="90" w:type="dxa"/>
            </w:tcMar>
          </w:tcPr>
          <w:p>
            <w:r>
              <w:t>Forecast</w:t>
            </w:r>
          </w:p>
        </w:tc>
        <w:tc>
          <w:tcPr>
            <w:tcW w:type="dxa" w:w="3312"/>
            <w:tcMar>
              <w:top w:w="80" w:type="dxa"/>
              <w:start w:w="90" w:type="dxa"/>
              <w:bottom w:w="80" w:type="dxa"/>
              <w:end w:w="90" w:type="dxa"/>
            </w:tcMar>
          </w:tcPr>
          <w:p>
            <w:r>
              <w:t>Both users individually sufficient plus pair evidence threshold plus no hard suppression flag</w:t>
            </w:r>
          </w:p>
        </w:tc>
        <w:tc>
          <w:tcPr>
            <w:tcW w:type="dxa" w:w="3312"/>
            <w:tcMar>
              <w:top w:w="80" w:type="dxa"/>
              <w:start w:w="90" w:type="dxa"/>
              <w:bottom w:w="80" w:type="dxa"/>
              <w:end w:w="90" w:type="dxa"/>
            </w:tcMar>
          </w:tcPr>
          <w:p>
            <w:r>
              <w:t>Do not show public forecast; allow only generic educational copy</w:t>
            </w:r>
          </w:p>
        </w:tc>
      </w:tr>
      <w:tr>
        <w:tc>
          <w:tcPr>
            <w:tcW w:type="dxa" w:w="3312"/>
            <w:tcMar>
              <w:top w:w="80" w:type="dxa"/>
              <w:start w:w="90" w:type="dxa"/>
              <w:bottom w:w="80" w:type="dxa"/>
              <w:end w:w="90" w:type="dxa"/>
            </w:tcMar>
          </w:tcPr>
          <w:p>
            <w:r>
              <w:t>Behavior-adjusted readiness</w:t>
            </w:r>
          </w:p>
        </w:tc>
        <w:tc>
          <w:tcPr>
            <w:tcW w:type="dxa" w:w="3312"/>
            <w:tcMar>
              <w:top w:w="80" w:type="dxa"/>
              <w:start w:w="90" w:type="dxa"/>
              <w:bottom w:w="80" w:type="dxa"/>
              <w:end w:w="90" w:type="dxa"/>
            </w:tcMar>
          </w:tcPr>
          <w:p>
            <w:r>
              <w:t>Observed behavior may influence score only after minimum recency and sample thresholds are met</w:t>
            </w:r>
          </w:p>
        </w:tc>
        <w:tc>
          <w:tcPr>
            <w:tcW w:type="dxa" w:w="3312"/>
            <w:tcMar>
              <w:top w:w="80" w:type="dxa"/>
              <w:start w:w="90" w:type="dxa"/>
              <w:bottom w:w="80" w:type="dxa"/>
              <w:end w:w="90" w:type="dxa"/>
            </w:tcMar>
          </w:tcPr>
          <w:p>
            <w:r>
              <w:t>Fallback to declared-data-only readiness</w:t>
            </w:r>
          </w:p>
        </w:tc>
      </w:tr>
      <w:tr>
        <w:tc>
          <w:tcPr>
            <w:tcW w:type="dxa" w:w="3312"/>
            <w:tcMar>
              <w:top w:w="80" w:type="dxa"/>
              <w:start w:w="90" w:type="dxa"/>
              <w:bottom w:w="80" w:type="dxa"/>
              <w:end w:w="90" w:type="dxa"/>
            </w:tcMar>
          </w:tcPr>
          <w:p>
            <w:r>
              <w:t>Drift-adjusted forecast</w:t>
            </w:r>
          </w:p>
        </w:tc>
        <w:tc>
          <w:tcPr>
            <w:tcW w:type="dxa" w:w="3312"/>
            <w:tcMar>
              <w:top w:w="80" w:type="dxa"/>
              <w:start w:w="90" w:type="dxa"/>
              <w:bottom w:w="80" w:type="dxa"/>
              <w:end w:w="90" w:type="dxa"/>
            </w:tcMar>
          </w:tcPr>
          <w:p>
            <w:r>
              <w:t>Drift may alter forecast only when drift eligibility metrics pass their own contract</w:t>
            </w:r>
          </w:p>
        </w:tc>
        <w:tc>
          <w:tcPr>
            <w:tcW w:type="dxa" w:w="3312"/>
            <w:tcMar>
              <w:top w:w="80" w:type="dxa"/>
              <w:start w:w="90" w:type="dxa"/>
              <w:bottom w:w="80" w:type="dxa"/>
              <w:end w:w="90" w:type="dxa"/>
            </w:tcMar>
          </w:tcPr>
          <w:p>
            <w:r>
              <w:t>Fallback to no-drift forecast path</w:t>
            </w:r>
          </w:p>
        </w:tc>
      </w:tr>
    </w:tbl>
    <w:p/>
    <w:p>
      <w:pPr>
        <w:pStyle w:val="Heading2Custom"/>
      </w:pPr>
      <w:r>
        <w:t>8.2 Confidence bands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AD1DC"/>
            <w:tcMar>
              <w:top w:w="80" w:type="dxa"/>
              <w:start w:w="90" w:type="dxa"/>
              <w:bottom w:w="80" w:type="dxa"/>
              <w:end w:w="90" w:type="dxa"/>
            </w:tcMar>
          </w:tcPr>
          <w:p>
            <w:r>
              <w:rPr>
                <w:b/>
              </w:rPr>
              <w:t>Band</w:t>
            </w:r>
          </w:p>
        </w:tc>
        <w:tc>
          <w:tcPr>
            <w:tcW w:type="dxa" w:w="2484"/>
            <w:shd w:fill="EAD1DC"/>
            <w:tcMar>
              <w:top w:w="80" w:type="dxa"/>
              <w:start w:w="90" w:type="dxa"/>
              <w:bottom w:w="80" w:type="dxa"/>
              <w:end w:w="90" w:type="dxa"/>
            </w:tcMar>
          </w:tcPr>
          <w:p>
            <w:r>
              <w:rPr>
                <w:b/>
              </w:rPr>
              <w:t>Internal confidence scalar</w:t>
            </w:r>
          </w:p>
        </w:tc>
        <w:tc>
          <w:tcPr>
            <w:tcW w:type="dxa" w:w="2484"/>
            <w:shd w:fill="EAD1DC"/>
            <w:tcMar>
              <w:top w:w="80" w:type="dxa"/>
              <w:start w:w="90" w:type="dxa"/>
              <w:bottom w:w="80" w:type="dxa"/>
              <w:end w:w="90" w:type="dxa"/>
            </w:tcMar>
          </w:tcPr>
          <w:p>
            <w:r>
              <w:rPr>
                <w:b/>
              </w:rPr>
              <w:t>Meaning</w:t>
            </w:r>
          </w:p>
        </w:tc>
        <w:tc>
          <w:tcPr>
            <w:tcW w:type="dxa" w:w="2484"/>
            <w:shd w:fill="EAD1DC"/>
            <w:tcMar>
              <w:top w:w="80" w:type="dxa"/>
              <w:start w:w="90" w:type="dxa"/>
              <w:bottom w:w="80" w:type="dxa"/>
              <w:end w:w="90" w:type="dxa"/>
            </w:tcMar>
          </w:tcPr>
          <w:p>
            <w:r>
              <w:rPr>
                <w:b/>
              </w:rPr>
              <w:t>Public treatment</w:t>
            </w:r>
          </w:p>
        </w:tc>
      </w:tr>
      <w:tr>
        <w:tc>
          <w:tcPr>
            <w:tcW w:type="dxa" w:w="2484"/>
            <w:tcMar>
              <w:top w:w="80" w:type="dxa"/>
              <w:start w:w="90" w:type="dxa"/>
              <w:bottom w:w="80" w:type="dxa"/>
              <w:end w:w="90" w:type="dxa"/>
            </w:tcMar>
          </w:tcPr>
          <w:p>
            <w:r>
              <w:t>High</w:t>
            </w:r>
          </w:p>
        </w:tc>
        <w:tc>
          <w:tcPr>
            <w:tcW w:type="dxa" w:w="2484"/>
            <w:tcMar>
              <w:top w:w="80" w:type="dxa"/>
              <w:start w:w="90" w:type="dxa"/>
              <w:bottom w:w="80" w:type="dxa"/>
              <w:end w:w="90" w:type="dxa"/>
            </w:tcMar>
          </w:tcPr>
          <w:p>
            <w:r>
              <w:t>0.80-1.00</w:t>
            </w:r>
          </w:p>
        </w:tc>
        <w:tc>
          <w:tcPr>
            <w:tcW w:type="dxa" w:w="2484"/>
            <w:tcMar>
              <w:top w:w="80" w:type="dxa"/>
              <w:start w:w="90" w:type="dxa"/>
              <w:bottom w:w="80" w:type="dxa"/>
              <w:end w:w="90" w:type="dxa"/>
            </w:tcMar>
          </w:tcPr>
          <w:p>
            <w:r>
              <w:t>Adequate evidence, fresh recency, acceptable consistency, low unresolved ambiguity</w:t>
            </w:r>
          </w:p>
        </w:tc>
        <w:tc>
          <w:tcPr>
            <w:tcW w:type="dxa" w:w="2484"/>
            <w:tcMar>
              <w:top w:w="80" w:type="dxa"/>
              <w:start w:w="90" w:type="dxa"/>
              <w:bottom w:w="80" w:type="dxa"/>
              <w:end w:w="90" w:type="dxa"/>
            </w:tcMar>
          </w:tcPr>
          <w:p>
            <w:r>
              <w:t>Public number or band permitted subject to entity rules</w:t>
            </w:r>
          </w:p>
        </w:tc>
      </w:tr>
      <w:tr>
        <w:tc>
          <w:tcPr>
            <w:tcW w:type="dxa" w:w="2484"/>
            <w:tcMar>
              <w:top w:w="80" w:type="dxa"/>
              <w:start w:w="90" w:type="dxa"/>
              <w:bottom w:w="80" w:type="dxa"/>
              <w:end w:w="90" w:type="dxa"/>
            </w:tcMar>
          </w:tcPr>
          <w:p>
            <w:r>
              <w:t>Medium</w:t>
            </w:r>
          </w:p>
        </w:tc>
        <w:tc>
          <w:tcPr>
            <w:tcW w:type="dxa" w:w="2484"/>
            <w:tcMar>
              <w:top w:w="80" w:type="dxa"/>
              <w:start w:w="90" w:type="dxa"/>
              <w:bottom w:w="80" w:type="dxa"/>
              <w:end w:w="90" w:type="dxa"/>
            </w:tcMar>
          </w:tcPr>
          <w:p>
            <w:r>
              <w:t>0.60-0.79</w:t>
            </w:r>
          </w:p>
        </w:tc>
        <w:tc>
          <w:tcPr>
            <w:tcW w:type="dxa" w:w="2484"/>
            <w:tcMar>
              <w:top w:w="80" w:type="dxa"/>
              <w:start w:w="90" w:type="dxa"/>
              <w:bottom w:w="80" w:type="dxa"/>
              <w:end w:w="90" w:type="dxa"/>
            </w:tcMar>
          </w:tcPr>
          <w:p>
            <w:r>
              <w:t>Useful but imperfect evidence; enough for soft phrasing</w:t>
            </w:r>
          </w:p>
        </w:tc>
        <w:tc>
          <w:tcPr>
            <w:tcW w:type="dxa" w:w="2484"/>
            <w:tcMar>
              <w:top w:w="80" w:type="dxa"/>
              <w:start w:w="90" w:type="dxa"/>
              <w:bottom w:w="80" w:type="dxa"/>
              <w:end w:w="90" w:type="dxa"/>
            </w:tcMar>
          </w:tcPr>
          <w:p>
            <w:r>
              <w:t>Public band allowed; avoid over-specific copy</w:t>
            </w:r>
          </w:p>
        </w:tc>
      </w:tr>
      <w:tr>
        <w:tc>
          <w:tcPr>
            <w:tcW w:type="dxa" w:w="2484"/>
            <w:tcMar>
              <w:top w:w="80" w:type="dxa"/>
              <w:start w:w="90" w:type="dxa"/>
              <w:bottom w:w="80" w:type="dxa"/>
              <w:end w:w="90" w:type="dxa"/>
            </w:tcMar>
          </w:tcPr>
          <w:p>
            <w:r>
              <w:t>Low</w:t>
            </w:r>
          </w:p>
        </w:tc>
        <w:tc>
          <w:tcPr>
            <w:tcW w:type="dxa" w:w="2484"/>
            <w:tcMar>
              <w:top w:w="80" w:type="dxa"/>
              <w:start w:w="90" w:type="dxa"/>
              <w:bottom w:w="80" w:type="dxa"/>
              <w:end w:w="90" w:type="dxa"/>
            </w:tcMar>
          </w:tcPr>
          <w:p>
            <w:r>
              <w:t>0.40-0.59</w:t>
            </w:r>
          </w:p>
        </w:tc>
        <w:tc>
          <w:tcPr>
            <w:tcW w:type="dxa" w:w="2484"/>
            <w:tcMar>
              <w:top w:w="80" w:type="dxa"/>
              <w:start w:w="90" w:type="dxa"/>
              <w:bottom w:w="80" w:type="dxa"/>
              <w:end w:w="90" w:type="dxa"/>
            </w:tcMar>
          </w:tcPr>
          <w:p>
            <w:r>
              <w:t>Weak or incomplete evidence; significant uncertainty remains</w:t>
            </w:r>
          </w:p>
        </w:tc>
        <w:tc>
          <w:tcPr>
            <w:tcW w:type="dxa" w:w="2484"/>
            <w:tcMar>
              <w:top w:w="80" w:type="dxa"/>
              <w:start w:w="90" w:type="dxa"/>
              <w:bottom w:w="80" w:type="dxa"/>
              <w:end w:w="90" w:type="dxa"/>
            </w:tcMar>
          </w:tcPr>
          <w:p>
            <w:r>
              <w:t>Suppress raw number; show education or request more input</w:t>
            </w:r>
          </w:p>
        </w:tc>
      </w:tr>
      <w:tr>
        <w:tc>
          <w:tcPr>
            <w:tcW w:type="dxa" w:w="2484"/>
            <w:tcMar>
              <w:top w:w="80" w:type="dxa"/>
              <w:start w:w="90" w:type="dxa"/>
              <w:bottom w:w="80" w:type="dxa"/>
              <w:end w:w="90" w:type="dxa"/>
            </w:tcMar>
          </w:tcPr>
          <w:p>
            <w:r>
              <w:t>Insufficient</w:t>
            </w:r>
          </w:p>
        </w:tc>
        <w:tc>
          <w:tcPr>
            <w:tcW w:type="dxa" w:w="2484"/>
            <w:tcMar>
              <w:top w:w="80" w:type="dxa"/>
              <w:start w:w="90" w:type="dxa"/>
              <w:bottom w:w="80" w:type="dxa"/>
              <w:end w:w="90" w:type="dxa"/>
            </w:tcMar>
          </w:tcPr>
          <w:p>
            <w:r>
              <w:t>&lt;0.40</w:t>
            </w:r>
          </w:p>
        </w:tc>
        <w:tc>
          <w:tcPr>
            <w:tcW w:type="dxa" w:w="2484"/>
            <w:tcMar>
              <w:top w:w="80" w:type="dxa"/>
              <w:start w:w="90" w:type="dxa"/>
              <w:bottom w:w="80" w:type="dxa"/>
              <w:end w:w="90" w:type="dxa"/>
            </w:tcMar>
          </w:tcPr>
          <w:p>
            <w:r>
              <w:t>Not trustworthy for exposure</w:t>
            </w:r>
          </w:p>
        </w:tc>
        <w:tc>
          <w:tcPr>
            <w:tcW w:type="dxa" w:w="2484"/>
            <w:tcMar>
              <w:top w:w="80" w:type="dxa"/>
              <w:start w:w="90" w:type="dxa"/>
              <w:bottom w:w="80" w:type="dxa"/>
              <w:end w:w="90" w:type="dxa"/>
            </w:tcMar>
          </w:tcPr>
          <w:p>
            <w:r>
              <w:t>No public score</w:t>
            </w:r>
          </w:p>
        </w:tc>
      </w:tr>
    </w:tbl>
    <w:p/>
    <w:p>
      <w:pPr/>
      <w:r>
        <w:t>Confidence must be computed separately from score value. A high readiness with low confidence is not safe to display as if it were settled truth.</w:t>
      </w:r>
    </w:p>
    <w:p>
      <w:pPr>
        <w:pStyle w:val="Heading1Custom"/>
      </w:pPr>
      <w:r>
        <w:t>9. Display, suppression, and trigger policy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2F3"/>
            <w:tcMar>
              <w:top w:w="80" w:type="dxa"/>
              <w:start w:w="90" w:type="dxa"/>
              <w:bottom w:w="80" w:type="dxa"/>
              <w:end w:w="90" w:type="dxa"/>
            </w:tcMar>
          </w:tcPr>
          <w:p>
            <w:r>
              <w:rPr>
                <w:b/>
              </w:rPr>
              <w:t>Field family</w:t>
            </w:r>
          </w:p>
        </w:tc>
        <w:tc>
          <w:tcPr>
            <w:tcW w:type="dxa" w:w="1987"/>
            <w:shd w:fill="D9E2F3"/>
            <w:tcMar>
              <w:top w:w="80" w:type="dxa"/>
              <w:start w:w="90" w:type="dxa"/>
              <w:bottom w:w="80" w:type="dxa"/>
              <w:end w:w="90" w:type="dxa"/>
            </w:tcMar>
          </w:tcPr>
          <w:p>
            <w:r>
              <w:rPr>
                <w:b/>
              </w:rPr>
              <w:t>Internal storage</w:t>
            </w:r>
          </w:p>
        </w:tc>
        <w:tc>
          <w:tcPr>
            <w:tcW w:type="dxa" w:w="1987"/>
            <w:shd w:fill="D9E2F3"/>
            <w:tcMar>
              <w:top w:w="80" w:type="dxa"/>
              <w:start w:w="90" w:type="dxa"/>
              <w:bottom w:w="80" w:type="dxa"/>
              <w:end w:w="90" w:type="dxa"/>
            </w:tcMar>
          </w:tcPr>
          <w:p>
            <w:r>
              <w:rPr>
                <w:b/>
              </w:rPr>
              <w:t>User-visible raw number</w:t>
            </w:r>
          </w:p>
        </w:tc>
        <w:tc>
          <w:tcPr>
            <w:tcW w:type="dxa" w:w="1987"/>
            <w:shd w:fill="D9E2F3"/>
            <w:tcMar>
              <w:top w:w="80" w:type="dxa"/>
              <w:start w:w="90" w:type="dxa"/>
              <w:bottom w:w="80" w:type="dxa"/>
              <w:end w:w="90" w:type="dxa"/>
            </w:tcMar>
          </w:tcPr>
          <w:p>
            <w:r>
              <w:rPr>
                <w:b/>
              </w:rPr>
              <w:t>Band/label allowed</w:t>
            </w:r>
          </w:p>
        </w:tc>
        <w:tc>
          <w:tcPr>
            <w:tcW w:type="dxa" w:w="1987"/>
            <w:shd w:fill="D9E2F3"/>
            <w:tcMar>
              <w:top w:w="80" w:type="dxa"/>
              <w:start w:w="90" w:type="dxa"/>
              <w:bottom w:w="80" w:type="dxa"/>
              <w:end w:w="90" w:type="dxa"/>
            </w:tcMar>
          </w:tcPr>
          <w:p>
            <w:r>
              <w:rPr>
                <w:b/>
              </w:rPr>
              <w:t>Can trigger product actions</w:t>
            </w:r>
          </w:p>
        </w:tc>
      </w:tr>
      <w:tr>
        <w:tc>
          <w:tcPr>
            <w:tcW w:type="dxa" w:w="1987"/>
            <w:tcMar>
              <w:top w:w="80" w:type="dxa"/>
              <w:start w:w="90" w:type="dxa"/>
              <w:bottom w:w="80" w:type="dxa"/>
              <w:end w:w="90" w:type="dxa"/>
            </w:tcMar>
          </w:tcPr>
          <w:p>
            <w:r>
              <w:t>Readiness</w:t>
            </w:r>
          </w:p>
        </w:tc>
        <w:tc>
          <w:tcPr>
            <w:tcW w:type="dxa" w:w="1987"/>
            <w:tcMar>
              <w:top w:w="80" w:type="dxa"/>
              <w:start w:w="90" w:type="dxa"/>
              <w:bottom w:w="80" w:type="dxa"/>
              <w:end w:w="90" w:type="dxa"/>
            </w:tcMar>
          </w:tcPr>
          <w:p>
            <w:r>
              <w:t>Yes</w:t>
            </w:r>
          </w:p>
        </w:tc>
        <w:tc>
          <w:tcPr>
            <w:tcW w:type="dxa" w:w="1987"/>
            <w:tcMar>
              <w:top w:w="80" w:type="dxa"/>
              <w:start w:w="90" w:type="dxa"/>
              <w:bottom w:w="80" w:type="dxa"/>
              <w:end w:w="90" w:type="dxa"/>
            </w:tcMar>
          </w:tcPr>
          <w:p>
            <w:r>
              <w:t>Yes, if sufficient and confidence &gt;= medium</w:t>
            </w:r>
          </w:p>
        </w:tc>
        <w:tc>
          <w:tcPr>
            <w:tcW w:type="dxa" w:w="1987"/>
            <w:tcMar>
              <w:top w:w="80" w:type="dxa"/>
              <w:start w:w="90" w:type="dxa"/>
              <w:bottom w:w="80" w:type="dxa"/>
              <w:end w:w="90" w:type="dxa"/>
            </w:tcMar>
          </w:tcPr>
          <w:p>
            <w:r>
              <w:t>Yes</w:t>
            </w:r>
          </w:p>
        </w:tc>
        <w:tc>
          <w:tcPr>
            <w:tcW w:type="dxa" w:w="1987"/>
            <w:tcMar>
              <w:top w:w="80" w:type="dxa"/>
              <w:start w:w="90" w:type="dxa"/>
              <w:bottom w:w="80" w:type="dxa"/>
              <w:end w:w="90" w:type="dxa"/>
            </w:tcMar>
          </w:tcPr>
          <w:p>
            <w:r>
              <w:t>Yes</w:t>
            </w:r>
          </w:p>
        </w:tc>
      </w:tr>
      <w:tr>
        <w:tc>
          <w:tcPr>
            <w:tcW w:type="dxa" w:w="1987"/>
            <w:tcMar>
              <w:top w:w="80" w:type="dxa"/>
              <w:start w:w="90" w:type="dxa"/>
              <w:bottom w:w="80" w:type="dxa"/>
              <w:end w:w="90" w:type="dxa"/>
            </w:tcMar>
          </w:tcPr>
          <w:p>
            <w:r>
              <w:t>Readiness reason codes</w:t>
            </w:r>
          </w:p>
        </w:tc>
        <w:tc>
          <w:tcPr>
            <w:tcW w:type="dxa" w:w="1987"/>
            <w:tcMar>
              <w:top w:w="80" w:type="dxa"/>
              <w:start w:w="90" w:type="dxa"/>
              <w:bottom w:w="80" w:type="dxa"/>
              <w:end w:w="90" w:type="dxa"/>
            </w:tcMar>
          </w:tcPr>
          <w:p>
            <w:r>
              <w:t>Yes</w:t>
            </w:r>
          </w:p>
        </w:tc>
        <w:tc>
          <w:tcPr>
            <w:tcW w:type="dxa" w:w="1987"/>
            <w:tcMar>
              <w:top w:w="80" w:type="dxa"/>
              <w:start w:w="90" w:type="dxa"/>
              <w:bottom w:w="80" w:type="dxa"/>
              <w:end w:w="90" w:type="dxa"/>
            </w:tcMar>
          </w:tcPr>
          <w:p>
            <w:r>
              <w:t>No raw codes on public surface</w:t>
            </w:r>
          </w:p>
        </w:tc>
        <w:tc>
          <w:tcPr>
            <w:tcW w:type="dxa" w:w="1987"/>
            <w:tcMar>
              <w:top w:w="80" w:type="dxa"/>
              <w:start w:w="90" w:type="dxa"/>
              <w:bottom w:w="80" w:type="dxa"/>
              <w:end w:w="90" w:type="dxa"/>
            </w:tcMar>
          </w:tcPr>
          <w:p>
            <w:r>
              <w:t>Yes, translated language only</w:t>
            </w:r>
          </w:p>
        </w:tc>
        <w:tc>
          <w:tcPr>
            <w:tcW w:type="dxa" w:w="1987"/>
            <w:tcMar>
              <w:top w:w="80" w:type="dxa"/>
              <w:start w:w="90" w:type="dxa"/>
              <w:bottom w:w="80" w:type="dxa"/>
              <w:end w:w="90" w:type="dxa"/>
            </w:tcMar>
          </w:tcPr>
          <w:p>
            <w:r>
              <w:t>Yes</w:t>
            </w:r>
          </w:p>
        </w:tc>
      </w:tr>
      <w:tr>
        <w:tc>
          <w:tcPr>
            <w:tcW w:type="dxa" w:w="1987"/>
            <w:tcMar>
              <w:top w:w="80" w:type="dxa"/>
              <w:start w:w="90" w:type="dxa"/>
              <w:bottom w:w="80" w:type="dxa"/>
              <w:end w:w="90" w:type="dxa"/>
            </w:tcMar>
          </w:tcPr>
          <w:p>
            <w:r>
              <w:t>Forecast stability / volatility</w:t>
            </w:r>
          </w:p>
        </w:tc>
        <w:tc>
          <w:tcPr>
            <w:tcW w:type="dxa" w:w="1987"/>
            <w:tcMar>
              <w:top w:w="80" w:type="dxa"/>
              <w:start w:w="90" w:type="dxa"/>
              <w:bottom w:w="80" w:type="dxa"/>
              <w:end w:w="90" w:type="dxa"/>
            </w:tcMar>
          </w:tcPr>
          <w:p>
            <w:r>
              <w:t>Yes</w:t>
            </w:r>
          </w:p>
        </w:tc>
        <w:tc>
          <w:tcPr>
            <w:tcW w:type="dxa" w:w="1987"/>
            <w:tcMar>
              <w:top w:w="80" w:type="dxa"/>
              <w:start w:w="90" w:type="dxa"/>
              <w:bottom w:w="80" w:type="dxa"/>
              <w:end w:w="90" w:type="dxa"/>
            </w:tcMar>
          </w:tcPr>
          <w:p>
            <w:r>
              <w:t>No by default</w:t>
            </w:r>
          </w:p>
        </w:tc>
        <w:tc>
          <w:tcPr>
            <w:tcW w:type="dxa" w:w="1987"/>
            <w:tcMar>
              <w:top w:w="80" w:type="dxa"/>
              <w:start w:w="90" w:type="dxa"/>
              <w:bottom w:w="80" w:type="dxa"/>
              <w:end w:w="90" w:type="dxa"/>
            </w:tcMar>
          </w:tcPr>
          <w:p>
            <w:r>
              <w:t>Yes, if sufficient and confidence &gt;= medium</w:t>
            </w:r>
          </w:p>
        </w:tc>
        <w:tc>
          <w:tcPr>
            <w:tcW w:type="dxa" w:w="1987"/>
            <w:tcMar>
              <w:top w:w="80" w:type="dxa"/>
              <w:start w:w="90" w:type="dxa"/>
              <w:bottom w:w="80" w:type="dxa"/>
              <w:end w:w="90" w:type="dxa"/>
            </w:tcMar>
          </w:tcPr>
          <w:p>
            <w:r>
              <w:t>Yes</w:t>
            </w:r>
          </w:p>
        </w:tc>
      </w:tr>
      <w:tr>
        <w:tc>
          <w:tcPr>
            <w:tcW w:type="dxa" w:w="1987"/>
            <w:tcMar>
              <w:top w:w="80" w:type="dxa"/>
              <w:start w:w="90" w:type="dxa"/>
              <w:bottom w:w="80" w:type="dxa"/>
              <w:end w:w="90" w:type="dxa"/>
            </w:tcMar>
          </w:tcPr>
          <w:p>
            <w:r>
              <w:t>Forecast watch flags</w:t>
            </w:r>
          </w:p>
        </w:tc>
        <w:tc>
          <w:tcPr>
            <w:tcW w:type="dxa" w:w="1987"/>
            <w:tcMar>
              <w:top w:w="80" w:type="dxa"/>
              <w:start w:w="90" w:type="dxa"/>
              <w:bottom w:w="80" w:type="dxa"/>
              <w:end w:w="90" w:type="dxa"/>
            </w:tcMar>
          </w:tcPr>
          <w:p>
            <w:r>
              <w:t>Yes</w:t>
            </w:r>
          </w:p>
        </w:tc>
        <w:tc>
          <w:tcPr>
            <w:tcW w:type="dxa" w:w="1987"/>
            <w:tcMar>
              <w:top w:w="80" w:type="dxa"/>
              <w:start w:w="90" w:type="dxa"/>
              <w:bottom w:w="80" w:type="dxa"/>
              <w:end w:w="90" w:type="dxa"/>
            </w:tcMar>
          </w:tcPr>
          <w:p>
            <w:r>
              <w:t>No raw flags</w:t>
            </w:r>
          </w:p>
        </w:tc>
        <w:tc>
          <w:tcPr>
            <w:tcW w:type="dxa" w:w="1987"/>
            <w:tcMar>
              <w:top w:w="80" w:type="dxa"/>
              <w:start w:w="90" w:type="dxa"/>
              <w:bottom w:w="80" w:type="dxa"/>
              <w:end w:w="90" w:type="dxa"/>
            </w:tcMar>
          </w:tcPr>
          <w:p>
            <w:r>
              <w:t>Selected soft prompts only</w:t>
            </w:r>
          </w:p>
        </w:tc>
        <w:tc>
          <w:tcPr>
            <w:tcW w:type="dxa" w:w="1987"/>
            <w:tcMar>
              <w:top w:w="80" w:type="dxa"/>
              <w:start w:w="90" w:type="dxa"/>
              <w:bottom w:w="80" w:type="dxa"/>
              <w:end w:w="90" w:type="dxa"/>
            </w:tcMar>
          </w:tcPr>
          <w:p>
            <w:r>
              <w:t>Yes</w:t>
            </w:r>
          </w:p>
        </w:tc>
      </w:tr>
      <w:tr>
        <w:tc>
          <w:tcPr>
            <w:tcW w:type="dxa" w:w="1987"/>
            <w:tcMar>
              <w:top w:w="80" w:type="dxa"/>
              <w:start w:w="90" w:type="dxa"/>
              <w:bottom w:w="80" w:type="dxa"/>
              <w:end w:w="90" w:type="dxa"/>
            </w:tcMar>
          </w:tcPr>
          <w:p>
            <w:r>
              <w:t>Drift pressure</w:t>
            </w:r>
          </w:p>
        </w:tc>
        <w:tc>
          <w:tcPr>
            <w:tcW w:type="dxa" w:w="1987"/>
            <w:tcMar>
              <w:top w:w="80" w:type="dxa"/>
              <w:start w:w="90" w:type="dxa"/>
              <w:bottom w:w="80" w:type="dxa"/>
              <w:end w:w="90" w:type="dxa"/>
            </w:tcMar>
          </w:tcPr>
          <w:p>
            <w:r>
              <w:t>Yes</w:t>
            </w:r>
          </w:p>
        </w:tc>
        <w:tc>
          <w:tcPr>
            <w:tcW w:type="dxa" w:w="1987"/>
            <w:tcMar>
              <w:top w:w="80" w:type="dxa"/>
              <w:start w:w="90" w:type="dxa"/>
              <w:bottom w:w="80" w:type="dxa"/>
              <w:end w:w="90" w:type="dxa"/>
            </w:tcMar>
          </w:tcPr>
          <w:p>
            <w:r>
              <w:t>No raw number in v1</w:t>
            </w:r>
          </w:p>
        </w:tc>
        <w:tc>
          <w:tcPr>
            <w:tcW w:type="dxa" w:w="1987"/>
            <w:tcMar>
              <w:top w:w="80" w:type="dxa"/>
              <w:start w:w="90" w:type="dxa"/>
              <w:bottom w:w="80" w:type="dxa"/>
              <w:end w:w="90" w:type="dxa"/>
            </w:tcMar>
          </w:tcPr>
          <w:p>
            <w:r>
              <w:t>Soft nudge only</w:t>
            </w:r>
          </w:p>
        </w:tc>
        <w:tc>
          <w:tcPr>
            <w:tcW w:type="dxa" w:w="1987"/>
            <w:tcMar>
              <w:top w:w="80" w:type="dxa"/>
              <w:start w:w="90" w:type="dxa"/>
              <w:bottom w:w="80" w:type="dxa"/>
              <w:end w:w="90" w:type="dxa"/>
            </w:tcMar>
          </w:tcPr>
          <w:p>
            <w:r>
              <w:t>Yes</w:t>
            </w:r>
          </w:p>
        </w:tc>
      </w:tr>
      <w:tr>
        <w:tc>
          <w:tcPr>
            <w:tcW w:type="dxa" w:w="1987"/>
            <w:tcMar>
              <w:top w:w="80" w:type="dxa"/>
              <w:start w:w="90" w:type="dxa"/>
              <w:bottom w:w="80" w:type="dxa"/>
              <w:end w:w="90" w:type="dxa"/>
            </w:tcMar>
          </w:tcPr>
          <w:p>
            <w:r>
              <w:t>Behavior-only diagnostic metrics</w:t>
            </w:r>
          </w:p>
        </w:tc>
        <w:tc>
          <w:tcPr>
            <w:tcW w:type="dxa" w:w="1987"/>
            <w:tcMar>
              <w:top w:w="80" w:type="dxa"/>
              <w:start w:w="90" w:type="dxa"/>
              <w:bottom w:w="80" w:type="dxa"/>
              <w:end w:w="90" w:type="dxa"/>
            </w:tcMar>
          </w:tcPr>
          <w:p>
            <w:r>
              <w:t>Yes</w:t>
            </w:r>
          </w:p>
        </w:tc>
        <w:tc>
          <w:tcPr>
            <w:tcW w:type="dxa" w:w="1987"/>
            <w:tcMar>
              <w:top w:w="80" w:type="dxa"/>
              <w:start w:w="90" w:type="dxa"/>
              <w:bottom w:w="80" w:type="dxa"/>
              <w:end w:w="90" w:type="dxa"/>
            </w:tcMar>
          </w:tcPr>
          <w:p>
            <w:r>
              <w:t>No</w:t>
            </w:r>
          </w:p>
        </w:tc>
        <w:tc>
          <w:tcPr>
            <w:tcW w:type="dxa" w:w="1987"/>
            <w:tcMar>
              <w:top w:w="80" w:type="dxa"/>
              <w:start w:w="90" w:type="dxa"/>
              <w:bottom w:w="80" w:type="dxa"/>
              <w:end w:w="90" w:type="dxa"/>
            </w:tcMar>
          </w:tcPr>
          <w:p>
            <w:r>
              <w:t>No, unless translated by approved copy layer</w:t>
            </w:r>
          </w:p>
        </w:tc>
        <w:tc>
          <w:tcPr>
            <w:tcW w:type="dxa" w:w="1987"/>
            <w:tcMar>
              <w:top w:w="80" w:type="dxa"/>
              <w:start w:w="90" w:type="dxa"/>
              <w:bottom w:w="80" w:type="dxa"/>
              <w:end w:w="90" w:type="dxa"/>
            </w:tcMar>
          </w:tcPr>
          <w:p>
            <w:r>
              <w:t>Yes, internal only</w:t>
            </w:r>
          </w:p>
        </w:tc>
      </w:tr>
    </w:tbl>
    <w:p/>
    <w:p>
      <w:pPr>
        <w:spacing w:after="40"/>
        <w:ind w:left="288"/>
      </w:pPr>
      <w:r>
        <w:rPr>
          <w:b/>
        </w:rPr>
        <w:t xml:space="preserve">• </w:t>
      </w:r>
      <w:r>
        <w:t>A triggerable field is still subject to policy. Triggerability does not imply public display.</w:t>
      </w:r>
    </w:p>
    <w:p>
      <w:pPr>
        <w:spacing w:after="40"/>
        <w:ind w:left="288"/>
      </w:pPr>
      <w:r>
        <w:rPr>
          <w:b/>
        </w:rPr>
        <w:t xml:space="preserve">• </w:t>
      </w:r>
      <w:r>
        <w:t>Every displayed score or label must include a hidden machine-readable payload containing score_version, confidence_band, sufficiency_passed, computed_at, and evidence_window.</w:t>
      </w:r>
    </w:p>
    <w:p>
      <w:pPr>
        <w:pStyle w:val="Heading1Custom"/>
      </w:pPr>
      <w:r>
        <w:t>10. Drift integration contract (updated)</w:t>
      </w:r>
    </w:p>
    <w:p>
      <w:pPr/>
      <w:r>
        <w:t>Drift is now formally integrated into the readiness/forecast family instead of living as an isolated concept note. This section updates the drift layer so it matches the current system architecture.</w:t>
      </w:r>
    </w:p>
    <w:p>
      <w:pPr>
        <w:pStyle w:val="Heading2Custom"/>
      </w:pPr>
      <w:r>
        <w:t>10.1 Drift definition in current system</w:t>
      </w:r>
    </w:p>
    <w:p>
      <w:pPr/>
      <w:r>
        <w:t>Drift measures divergence between who the user says they are, what their base pattern system says, and what their observed relational behavior is doing over time. Drift is not a moral judgment. It is a trustworthiness and freshness correction layer.</w:t>
      </w:r>
    </w:p>
    <w:p>
      <w:pPr>
        <w:pStyle w:val="Heading2Custom"/>
      </w:pPr>
      <w:r>
        <w:t>10.2 Drift inputs</w:t>
      </w:r>
    </w:p>
    <w:p>
      <w:pPr>
        <w:spacing w:after="40"/>
        <w:ind w:left="288"/>
      </w:pPr>
      <w:r>
        <w:rPr>
          <w:b/>
        </w:rPr>
        <w:t xml:space="preserve">• </w:t>
      </w:r>
      <w:r>
        <w:t>Declared alignment: assessment posture, values, intention, readiness-facing claims.</w:t>
      </w:r>
    </w:p>
    <w:p>
      <w:pPr>
        <w:spacing w:after="40"/>
        <w:ind w:left="288"/>
      </w:pPr>
      <w:r>
        <w:rPr>
          <w:b/>
        </w:rPr>
        <w:t xml:space="preserve">• </w:t>
      </w:r>
      <w:r>
        <w:t>Pattern layer: archetype, shadow, contradiction clusters, companion modules, prior drift state.</w:t>
      </w:r>
    </w:p>
    <w:p>
      <w:pPr>
        <w:spacing w:after="40"/>
        <w:ind w:left="288"/>
      </w:pPr>
      <w:r>
        <w:rPr>
          <w:b/>
        </w:rPr>
        <w:t xml:space="preserve">• </w:t>
      </w:r>
      <w:r>
        <w:t>Observed behavior: reciprocity, reliability, reactivity, avoidance cycles, repair attempts, ghosting patterns, boundary respect, messaging asymmetry, reflection follow-through.</w:t>
      </w:r>
    </w:p>
    <w:p>
      <w:pPr>
        <w:pStyle w:val="Heading2Custom"/>
      </w:pPr>
      <w:r>
        <w:t>10.3 Drift eligibility requirement</w:t>
      </w:r>
    </w:p>
    <w:p>
      <w:pPr/>
      <w:r>
        <w:t>Drift is eligible to materially affect readiness or forecast only after the DriftEligibility contract passes. Before eligibility, drift may be logged as provisional telemetry but must not meaningfully lower public readiness or materially distort pair forecast.</w:t>
      </w:r>
    </w:p>
    <w:p>
      <w:pPr>
        <w:pStyle w:val="Heading2Custom"/>
      </w:pPr>
      <w:r>
        <w:t>10.4 Drift contract fields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F4CCCC"/>
            <w:tcMar>
              <w:top w:w="80" w:type="dxa"/>
              <w:start w:w="90" w:type="dxa"/>
              <w:bottom w:w="80" w:type="dxa"/>
              <w:end w:w="90" w:type="dxa"/>
            </w:tcMar>
          </w:tcPr>
          <w:p>
            <w:r>
              <w:rPr>
                <w:b/>
              </w:rPr>
              <w:t>Field</w:t>
            </w:r>
          </w:p>
        </w:tc>
        <w:tc>
          <w:tcPr>
            <w:tcW w:type="dxa" w:w="2484"/>
            <w:shd w:fill="F4CCCC"/>
            <w:tcMar>
              <w:top w:w="80" w:type="dxa"/>
              <w:start w:w="90" w:type="dxa"/>
              <w:bottom w:w="80" w:type="dxa"/>
              <w:end w:w="90" w:type="dxa"/>
            </w:tcMar>
          </w:tcPr>
          <w:p>
            <w:r>
              <w:rPr>
                <w:b/>
              </w:rPr>
              <w:t>Type</w:t>
            </w:r>
          </w:p>
        </w:tc>
        <w:tc>
          <w:tcPr>
            <w:tcW w:type="dxa" w:w="2484"/>
            <w:shd w:fill="F4CCCC"/>
            <w:tcMar>
              <w:top w:w="80" w:type="dxa"/>
              <w:start w:w="90" w:type="dxa"/>
              <w:bottom w:w="80" w:type="dxa"/>
              <w:end w:w="90" w:type="dxa"/>
            </w:tcMar>
          </w:tcPr>
          <w:p>
            <w:r>
              <w:rPr>
                <w:b/>
              </w:rPr>
              <w:t>Meaning</w:t>
            </w:r>
          </w:p>
        </w:tc>
        <w:tc>
          <w:tcPr>
            <w:tcW w:type="dxa" w:w="2484"/>
            <w:shd w:fill="F4CCCC"/>
            <w:tcMar>
              <w:top w:w="80" w:type="dxa"/>
              <w:start w:w="90" w:type="dxa"/>
              <w:bottom w:w="80" w:type="dxa"/>
              <w:end w:w="90" w:type="dxa"/>
            </w:tcMar>
          </w:tcPr>
          <w:p>
            <w:r>
              <w:rPr>
                <w:b/>
              </w:rPr>
              <w:t>v1 rule</w:t>
            </w:r>
          </w:p>
        </w:tc>
      </w:tr>
      <w:tr>
        <w:tc>
          <w:tcPr>
            <w:tcW w:type="dxa" w:w="2484"/>
            <w:tcMar>
              <w:top w:w="80" w:type="dxa"/>
              <w:start w:w="90" w:type="dxa"/>
              <w:bottom w:w="80" w:type="dxa"/>
              <w:end w:w="90" w:type="dxa"/>
            </w:tcMar>
          </w:tcPr>
          <w:p>
            <w:r>
              <w:t>drift_state</w:t>
            </w:r>
          </w:p>
        </w:tc>
        <w:tc>
          <w:tcPr>
            <w:tcW w:type="dxa" w:w="2484"/>
            <w:tcMar>
              <w:top w:w="80" w:type="dxa"/>
              <w:start w:w="90" w:type="dxa"/>
              <w:bottom w:w="80" w:type="dxa"/>
              <w:end w:w="90" w:type="dxa"/>
            </w:tcMar>
          </w:tcPr>
          <w:p>
            <w:r>
              <w:t>enum</w:t>
            </w:r>
          </w:p>
        </w:tc>
        <w:tc>
          <w:tcPr>
            <w:tcW w:type="dxa" w:w="2484"/>
            <w:tcMar>
              <w:top w:w="80" w:type="dxa"/>
              <w:start w:w="90" w:type="dxa"/>
              <w:bottom w:w="80" w:type="dxa"/>
              <w:end w:w="90" w:type="dxa"/>
            </w:tcMar>
          </w:tcPr>
          <w:p>
            <w:r>
              <w:t>none / provisional / active / recovering</w:t>
            </w:r>
          </w:p>
        </w:tc>
        <w:tc>
          <w:tcPr>
            <w:tcW w:type="dxa" w:w="2484"/>
            <w:tcMar>
              <w:top w:w="80" w:type="dxa"/>
              <w:start w:w="90" w:type="dxa"/>
              <w:bottom w:w="80" w:type="dxa"/>
              <w:end w:w="90" w:type="dxa"/>
            </w:tcMar>
          </w:tcPr>
          <w:p>
            <w:r>
              <w:t>Required</w:t>
            </w:r>
          </w:p>
        </w:tc>
      </w:tr>
      <w:tr>
        <w:tc>
          <w:tcPr>
            <w:tcW w:type="dxa" w:w="2484"/>
            <w:tcMar>
              <w:top w:w="80" w:type="dxa"/>
              <w:start w:w="90" w:type="dxa"/>
              <w:bottom w:w="80" w:type="dxa"/>
              <w:end w:w="90" w:type="dxa"/>
            </w:tcMar>
          </w:tcPr>
          <w:p>
            <w:r>
              <w:t>drift_score</w:t>
            </w:r>
          </w:p>
        </w:tc>
        <w:tc>
          <w:tcPr>
            <w:tcW w:type="dxa" w:w="2484"/>
            <w:tcMar>
              <w:top w:w="80" w:type="dxa"/>
              <w:start w:w="90" w:type="dxa"/>
              <w:bottom w:w="80" w:type="dxa"/>
              <w:end w:w="90" w:type="dxa"/>
            </w:tcMar>
          </w:tcPr>
          <w:p>
            <w:r>
              <w:t>0-100 internal</w:t>
            </w:r>
          </w:p>
        </w:tc>
        <w:tc>
          <w:tcPr>
            <w:tcW w:type="dxa" w:w="2484"/>
            <w:tcMar>
              <w:top w:w="80" w:type="dxa"/>
              <w:start w:w="90" w:type="dxa"/>
              <w:bottom w:w="80" w:type="dxa"/>
              <w:end w:w="90" w:type="dxa"/>
            </w:tcMar>
          </w:tcPr>
          <w:p>
            <w:r>
              <w:t>Magnitude of declared-vs-observed divergence</w:t>
            </w:r>
          </w:p>
        </w:tc>
        <w:tc>
          <w:tcPr>
            <w:tcW w:type="dxa" w:w="2484"/>
            <w:tcMar>
              <w:top w:w="80" w:type="dxa"/>
              <w:start w:w="90" w:type="dxa"/>
              <w:bottom w:w="80" w:type="dxa"/>
              <w:end w:w="90" w:type="dxa"/>
            </w:tcMar>
          </w:tcPr>
          <w:p>
            <w:r>
              <w:t>Internal only</w:t>
            </w:r>
          </w:p>
        </w:tc>
      </w:tr>
      <w:tr>
        <w:tc>
          <w:tcPr>
            <w:tcW w:type="dxa" w:w="2484"/>
            <w:tcMar>
              <w:top w:w="80" w:type="dxa"/>
              <w:start w:w="90" w:type="dxa"/>
              <w:bottom w:w="80" w:type="dxa"/>
              <w:end w:w="90" w:type="dxa"/>
            </w:tcMar>
          </w:tcPr>
          <w:p>
            <w:r>
              <w:t>drift_confidence</w:t>
            </w:r>
          </w:p>
        </w:tc>
        <w:tc>
          <w:tcPr>
            <w:tcW w:type="dxa" w:w="2484"/>
            <w:tcMar>
              <w:top w:w="80" w:type="dxa"/>
              <w:start w:w="90" w:type="dxa"/>
              <w:bottom w:w="80" w:type="dxa"/>
              <w:end w:w="90" w:type="dxa"/>
            </w:tcMar>
          </w:tcPr>
          <w:p>
            <w:r>
              <w:t>0-1</w:t>
            </w:r>
          </w:p>
        </w:tc>
        <w:tc>
          <w:tcPr>
            <w:tcW w:type="dxa" w:w="2484"/>
            <w:tcMar>
              <w:top w:w="80" w:type="dxa"/>
              <w:start w:w="90" w:type="dxa"/>
              <w:bottom w:w="80" w:type="dxa"/>
              <w:end w:w="90" w:type="dxa"/>
            </w:tcMar>
          </w:tcPr>
          <w:p>
            <w:r>
              <w:t>Trust in drift classification</w:t>
            </w:r>
          </w:p>
        </w:tc>
        <w:tc>
          <w:tcPr>
            <w:tcW w:type="dxa" w:w="2484"/>
            <w:tcMar>
              <w:top w:w="80" w:type="dxa"/>
              <w:start w:w="90" w:type="dxa"/>
              <w:bottom w:w="80" w:type="dxa"/>
              <w:end w:w="90" w:type="dxa"/>
            </w:tcMar>
          </w:tcPr>
          <w:p>
            <w:r>
              <w:t>Required</w:t>
            </w:r>
          </w:p>
        </w:tc>
      </w:tr>
      <w:tr>
        <w:tc>
          <w:tcPr>
            <w:tcW w:type="dxa" w:w="2484"/>
            <w:tcMar>
              <w:top w:w="80" w:type="dxa"/>
              <w:start w:w="90" w:type="dxa"/>
              <w:bottom w:w="80" w:type="dxa"/>
              <w:end w:w="90" w:type="dxa"/>
            </w:tcMar>
          </w:tcPr>
          <w:p>
            <w:r>
              <w:t>drift_reason_codes</w:t>
            </w:r>
          </w:p>
        </w:tc>
        <w:tc>
          <w:tcPr>
            <w:tcW w:type="dxa" w:w="2484"/>
            <w:tcMar>
              <w:top w:w="80" w:type="dxa"/>
              <w:start w:w="90" w:type="dxa"/>
              <w:bottom w:w="80" w:type="dxa"/>
              <w:end w:w="90" w:type="dxa"/>
            </w:tcMar>
          </w:tcPr>
          <w:p>
            <w:r>
              <w:t>array</w:t>
            </w:r>
          </w:p>
        </w:tc>
        <w:tc>
          <w:tcPr>
            <w:tcW w:type="dxa" w:w="2484"/>
            <w:tcMar>
              <w:top w:w="80" w:type="dxa"/>
              <w:start w:w="90" w:type="dxa"/>
              <w:bottom w:w="80" w:type="dxa"/>
              <w:end w:w="90" w:type="dxa"/>
            </w:tcMar>
          </w:tcPr>
          <w:p>
            <w:r>
              <w:t>Human-readable machine reasons for drift classification</w:t>
            </w:r>
          </w:p>
        </w:tc>
        <w:tc>
          <w:tcPr>
            <w:tcW w:type="dxa" w:w="2484"/>
            <w:tcMar>
              <w:top w:w="80" w:type="dxa"/>
              <w:start w:w="90" w:type="dxa"/>
              <w:bottom w:w="80" w:type="dxa"/>
              <w:end w:w="90" w:type="dxa"/>
            </w:tcMar>
          </w:tcPr>
          <w:p>
            <w:r>
              <w:t>Required</w:t>
            </w:r>
          </w:p>
        </w:tc>
      </w:tr>
      <w:tr>
        <w:tc>
          <w:tcPr>
            <w:tcW w:type="dxa" w:w="2484"/>
            <w:tcMar>
              <w:top w:w="80" w:type="dxa"/>
              <w:start w:w="90" w:type="dxa"/>
              <w:bottom w:w="80" w:type="dxa"/>
              <w:end w:w="90" w:type="dxa"/>
            </w:tcMar>
          </w:tcPr>
          <w:p>
            <w:r>
              <w:t>drift_window_days</w:t>
            </w:r>
          </w:p>
        </w:tc>
        <w:tc>
          <w:tcPr>
            <w:tcW w:type="dxa" w:w="2484"/>
            <w:tcMar>
              <w:top w:w="80" w:type="dxa"/>
              <w:start w:w="90" w:type="dxa"/>
              <w:bottom w:w="80" w:type="dxa"/>
              <w:end w:w="90" w:type="dxa"/>
            </w:tcMar>
          </w:tcPr>
          <w:p>
            <w:r>
              <w:t>integer</w:t>
            </w:r>
          </w:p>
        </w:tc>
        <w:tc>
          <w:tcPr>
            <w:tcW w:type="dxa" w:w="2484"/>
            <w:tcMar>
              <w:top w:w="80" w:type="dxa"/>
              <w:start w:w="90" w:type="dxa"/>
              <w:bottom w:w="80" w:type="dxa"/>
              <w:end w:w="90" w:type="dxa"/>
            </w:tcMar>
          </w:tcPr>
          <w:p>
            <w:r>
              <w:t>Observation span used in the current drift assessment</w:t>
            </w:r>
          </w:p>
        </w:tc>
        <w:tc>
          <w:tcPr>
            <w:tcW w:type="dxa" w:w="2484"/>
            <w:tcMar>
              <w:top w:w="80" w:type="dxa"/>
              <w:start w:w="90" w:type="dxa"/>
              <w:bottom w:w="80" w:type="dxa"/>
              <w:end w:w="90" w:type="dxa"/>
            </w:tcMar>
          </w:tcPr>
          <w:p>
            <w:r>
              <w:t>Required</w:t>
            </w:r>
          </w:p>
        </w:tc>
      </w:tr>
      <w:tr>
        <w:tc>
          <w:tcPr>
            <w:tcW w:type="dxa" w:w="2484"/>
            <w:tcMar>
              <w:top w:w="80" w:type="dxa"/>
              <w:start w:w="90" w:type="dxa"/>
              <w:bottom w:w="80" w:type="dxa"/>
              <w:end w:w="90" w:type="dxa"/>
            </w:tcMar>
          </w:tcPr>
          <w:p>
            <w:r>
              <w:t>drift_last_changed_at</w:t>
            </w:r>
          </w:p>
        </w:tc>
        <w:tc>
          <w:tcPr>
            <w:tcW w:type="dxa" w:w="2484"/>
            <w:tcMar>
              <w:top w:w="80" w:type="dxa"/>
              <w:start w:w="90" w:type="dxa"/>
              <w:bottom w:w="80" w:type="dxa"/>
              <w:end w:w="90" w:type="dxa"/>
            </w:tcMar>
          </w:tcPr>
          <w:p>
            <w:r>
              <w:t>timestamp</w:t>
            </w:r>
          </w:p>
        </w:tc>
        <w:tc>
          <w:tcPr>
            <w:tcW w:type="dxa" w:w="2484"/>
            <w:tcMar>
              <w:top w:w="80" w:type="dxa"/>
              <w:start w:w="90" w:type="dxa"/>
              <w:bottom w:w="80" w:type="dxa"/>
              <w:end w:w="90" w:type="dxa"/>
            </w:tcMar>
          </w:tcPr>
          <w:p>
            <w:r>
              <w:t>Last material state transition</w:t>
            </w:r>
          </w:p>
        </w:tc>
        <w:tc>
          <w:tcPr>
            <w:tcW w:type="dxa" w:w="2484"/>
            <w:tcMar>
              <w:top w:w="80" w:type="dxa"/>
              <w:start w:w="90" w:type="dxa"/>
              <w:bottom w:w="80" w:type="dxa"/>
              <w:end w:w="90" w:type="dxa"/>
            </w:tcMar>
          </w:tcPr>
          <w:p>
            <w:r>
              <w:t>Required</w:t>
            </w:r>
          </w:p>
        </w:tc>
      </w:tr>
      <w:tr>
        <w:tc>
          <w:tcPr>
            <w:tcW w:type="dxa" w:w="2484"/>
            <w:tcMar>
              <w:top w:w="80" w:type="dxa"/>
              <w:start w:w="90" w:type="dxa"/>
              <w:bottom w:w="80" w:type="dxa"/>
              <w:end w:w="90" w:type="dxa"/>
            </w:tcMar>
          </w:tcPr>
          <w:p>
            <w:r>
              <w:t>shadow_activation_flag</w:t>
            </w:r>
          </w:p>
        </w:tc>
        <w:tc>
          <w:tcPr>
            <w:tcW w:type="dxa" w:w="2484"/>
            <w:tcMar>
              <w:top w:w="80" w:type="dxa"/>
              <w:start w:w="90" w:type="dxa"/>
              <w:bottom w:w="80" w:type="dxa"/>
              <w:end w:w="90" w:type="dxa"/>
            </w:tcMar>
          </w:tcPr>
          <w:p>
            <w:r>
              <w:t>boolean/enum</w:t>
            </w:r>
          </w:p>
        </w:tc>
        <w:tc>
          <w:tcPr>
            <w:tcW w:type="dxa" w:w="2484"/>
            <w:tcMar>
              <w:top w:w="80" w:type="dxa"/>
              <w:start w:w="90" w:type="dxa"/>
              <w:bottom w:w="80" w:type="dxa"/>
              <w:end w:w="90" w:type="dxa"/>
            </w:tcMar>
          </w:tcPr>
          <w:p>
            <w:r>
              <w:t>Whether shadow activation is participating in the drift story</w:t>
            </w:r>
          </w:p>
        </w:tc>
        <w:tc>
          <w:tcPr>
            <w:tcW w:type="dxa" w:w="2484"/>
            <w:tcMar>
              <w:top w:w="80" w:type="dxa"/>
              <w:start w:w="90" w:type="dxa"/>
              <w:bottom w:w="80" w:type="dxa"/>
              <w:end w:w="90" w:type="dxa"/>
            </w:tcMar>
          </w:tcPr>
          <w:p>
            <w:r>
              <w:t>Required when relevant</w:t>
            </w:r>
          </w:p>
        </w:tc>
      </w:tr>
    </w:tbl>
    <w:p/>
    <w:p>
      <w:pPr>
        <w:pStyle w:val="Heading2Custom"/>
      </w:pPr>
      <w:r>
        <w:t>10.5 Drift effects on readiness and forecast</w:t>
      </w:r>
    </w:p>
    <w:p>
      <w:pPr>
        <w:spacing w:after="40"/>
        <w:ind w:left="288"/>
      </w:pPr>
      <w:r>
        <w:rPr>
          <w:b/>
        </w:rPr>
        <w:t xml:space="preserve">• </w:t>
      </w:r>
      <w:r>
        <w:t>Readiness: active high-confidence drift may reduce public readiness or suppress upward movement, but v1 should prefer caps, holds, or confidence reduction before aggressive score demolition.</w:t>
      </w:r>
    </w:p>
    <w:p>
      <w:pPr>
        <w:spacing w:after="40"/>
        <w:ind w:left="288"/>
      </w:pPr>
      <w:r>
        <w:rPr>
          <w:b/>
        </w:rPr>
        <w:t xml:space="preserve">• </w:t>
      </w:r>
      <w:r>
        <w:t>Forecast: drift primarily increases forecast_drift_pressure and may lower stability or repair confidence when sufficient evidence exists.</w:t>
      </w:r>
    </w:p>
    <w:p>
      <w:pPr>
        <w:spacing w:after="40"/>
        <w:ind w:left="288"/>
      </w:pPr>
      <w:r>
        <w:rPr>
          <w:b/>
        </w:rPr>
        <w:t xml:space="preserve">• </w:t>
      </w:r>
      <w:r>
        <w:t>Low-confidence drift: never apply a heavy readiness penalty. Convert the impact into observation status or prompting.</w:t>
      </w:r>
    </w:p>
    <w:p>
      <w:pPr>
        <w:spacing w:after="40"/>
        <w:ind w:left="288"/>
      </w:pPr>
      <w:r>
        <w:rPr>
          <w:b/>
        </w:rPr>
        <w:t xml:space="preserve">• </w:t>
      </w:r>
      <w:r>
        <w:t>Recovering drift: allow restoration only through versioned recovery rules, not by instant score rebound after one good interaction.</w:t>
      </w:r>
    </w:p>
    <w:p>
      <w:pPr>
        <w:pStyle w:val="Heading2Custom"/>
      </w:pPr>
      <w:r>
        <w:t>10.6 Default v1 stance</w:t>
      </w:r>
    </w:p>
    <w:p>
      <w:pPr/>
      <w:r>
        <w:t>For launch safety, slow drift should be conservative. The system should log more than it punishes. Drift becomes decisive only when evidence is repeated, recent, and confidence-qualified.</w:t>
      </w:r>
    </w:p>
    <w:p>
      <w:pPr>
        <w:pStyle w:val="Heading2Custom"/>
      </w:pPr>
      <w:r>
        <w:t>10.7 Shadow activation beside drift</w:t>
      </w:r>
    </w:p>
    <w:p>
      <w:pPr/>
      <w:r>
        <w:t>Shadow Activation must ship beside drift as a linked but distinct layer. Shadow activation describes when a latent pattern is behaviorally active; drift describes when stated identity and observed behavior no longer align. Either can exist without the other, but their combination raises watch-flag severity.</w:t>
      </w:r>
    </w:p>
    <w:p>
      <w:pPr>
        <w:pStyle w:val="Heading1Custom"/>
      </w:pPr>
      <w:r>
        <w:t>11. AI usage contract</w:t>
      </w:r>
    </w:p>
    <w:p>
      <w:pPr>
        <w:spacing w:after="40"/>
        <w:ind w:left="288"/>
      </w:pPr>
      <w:r>
        <w:rPr>
          <w:b/>
        </w:rPr>
        <w:t xml:space="preserve">• </w:t>
      </w:r>
      <w:r>
        <w:t>AI may explain approved readiness or forecast outputs in human language. AI may not fabricate hidden variables or invent causal certainty.</w:t>
      </w:r>
    </w:p>
    <w:p>
      <w:pPr>
        <w:spacing w:after="40"/>
        <w:ind w:left="288"/>
      </w:pPr>
      <w:r>
        <w:rPr>
          <w:b/>
        </w:rPr>
        <w:t xml:space="preserve">• </w:t>
      </w:r>
      <w:r>
        <w:t>AI may ask clarifying questions that improve sufficiency or confidence.</w:t>
      </w:r>
    </w:p>
    <w:p>
      <w:pPr>
        <w:spacing w:after="40"/>
        <w:ind w:left="288"/>
      </w:pPr>
      <w:r>
        <w:rPr>
          <w:b/>
        </w:rPr>
        <w:t xml:space="preserve">• </w:t>
      </w:r>
      <w:r>
        <w:t>AI may not mutate canonical readiness or forecast directly. Only approved scoring services may write canonical fields.</w:t>
      </w:r>
    </w:p>
    <w:p>
      <w:pPr>
        <w:spacing w:after="40"/>
        <w:ind w:left="288"/>
      </w:pPr>
      <w:r>
        <w:rPr>
          <w:b/>
        </w:rPr>
        <w:t xml:space="preserve">• </w:t>
      </w:r>
      <w:r>
        <w:t>AI must receive translated, policy-safe reason codes rather than raw private model internals when possible.</w:t>
      </w:r>
    </w:p>
    <w:p>
      <w:pPr>
        <w:spacing w:after="40"/>
        <w:ind w:left="288"/>
      </w:pPr>
      <w:r>
        <w:rPr>
          <w:b/>
        </w:rPr>
        <w:t xml:space="preserve">• </w:t>
      </w:r>
      <w:r>
        <w:t>If confidence is low, AI should say the evidence is limited instead of speaking with false authority.</w:t>
      </w:r>
    </w:p>
    <w:p>
      <w:pPr>
        <w:pStyle w:val="Heading1Custom"/>
      </w:pPr>
      <w:r>
        <w:t>12. Reason codes and explainability</w:t>
      </w:r>
    </w:p>
    <w:p>
      <w:pPr/>
      <w:r>
        <w:t>Every score family must ship with structured reason codes. The UI may translate them gently, but the backend must store them exactly.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Mar>
              <w:top w:w="80" w:type="dxa"/>
              <w:start w:w="90" w:type="dxa"/>
              <w:bottom w:w="80" w:type="dxa"/>
              <w:end w:w="90" w:type="dxa"/>
            </w:tcMar>
          </w:tcPr>
          <w:p>
            <w:r>
              <w:rPr>
                <w:b/>
              </w:rPr>
              <w:t>Category</w:t>
            </w:r>
          </w:p>
        </w:tc>
        <w:tc>
          <w:tcPr>
            <w:tcW w:type="dxa" w:w="3312"/>
            <w:shd w:fill="D9EAD3"/>
            <w:tcMar>
              <w:top w:w="80" w:type="dxa"/>
              <w:start w:w="90" w:type="dxa"/>
              <w:bottom w:w="80" w:type="dxa"/>
              <w:end w:w="90" w:type="dxa"/>
            </w:tcMar>
          </w:tcPr>
          <w:p>
            <w:r>
              <w:rPr>
                <w:b/>
              </w:rPr>
              <w:t>Examples</w:t>
            </w:r>
          </w:p>
        </w:tc>
        <w:tc>
          <w:tcPr>
            <w:tcW w:type="dxa" w:w="3312"/>
            <w:shd w:fill="D9EAD3"/>
            <w:tcMar>
              <w:top w:w="80" w:type="dxa"/>
              <w:start w:w="90" w:type="dxa"/>
              <w:bottom w:w="80" w:type="dxa"/>
              <w:end w:w="90" w:type="dxa"/>
            </w:tcMar>
          </w:tcPr>
          <w:p>
            <w:r>
              <w:rPr>
                <w:b/>
              </w:rPr>
              <w:t>Public translation rule</w:t>
            </w:r>
          </w:p>
        </w:tc>
      </w:tr>
      <w:tr>
        <w:tc>
          <w:tcPr>
            <w:tcW w:type="dxa" w:w="3312"/>
            <w:tcMar>
              <w:top w:w="80" w:type="dxa"/>
              <w:start w:w="90" w:type="dxa"/>
              <w:bottom w:w="80" w:type="dxa"/>
              <w:end w:w="90" w:type="dxa"/>
            </w:tcMar>
          </w:tcPr>
          <w:p>
            <w:r>
              <w:t>Readiness lifts</w:t>
            </w:r>
          </w:p>
        </w:tc>
        <w:tc>
          <w:tcPr>
            <w:tcW w:type="dxa" w:w="3312"/>
            <w:tcMar>
              <w:top w:w="80" w:type="dxa"/>
              <w:start w:w="90" w:type="dxa"/>
              <w:bottom w:w="80" w:type="dxa"/>
              <w:end w:w="90" w:type="dxa"/>
            </w:tcMar>
          </w:tcPr>
          <w:p>
            <w:r>
              <w:t>consistent_self_report, stable_repair_behavior, regulated_conflict_pattern</w:t>
            </w:r>
          </w:p>
        </w:tc>
        <w:tc>
          <w:tcPr>
            <w:tcW w:type="dxa" w:w="3312"/>
            <w:tcMar>
              <w:top w:w="80" w:type="dxa"/>
              <w:start w:w="90" w:type="dxa"/>
              <w:bottom w:w="80" w:type="dxa"/>
              <w:end w:w="90" w:type="dxa"/>
            </w:tcMar>
          </w:tcPr>
          <w:p>
            <w:r>
              <w:t>May surface as strengths</w:t>
            </w:r>
          </w:p>
        </w:tc>
      </w:tr>
      <w:tr>
        <w:tc>
          <w:tcPr>
            <w:tcW w:type="dxa" w:w="3312"/>
            <w:tcMar>
              <w:top w:w="80" w:type="dxa"/>
              <w:start w:w="90" w:type="dxa"/>
              <w:bottom w:w="80" w:type="dxa"/>
              <w:end w:w="90" w:type="dxa"/>
            </w:tcMar>
          </w:tcPr>
          <w:p>
            <w:r>
              <w:t>Readiness constraints</w:t>
            </w:r>
          </w:p>
        </w:tc>
        <w:tc>
          <w:tcPr>
            <w:tcW w:type="dxa" w:w="3312"/>
            <w:tcMar>
              <w:top w:w="80" w:type="dxa"/>
              <w:start w:w="90" w:type="dxa"/>
              <w:bottom w:w="80" w:type="dxa"/>
              <w:end w:w="90" w:type="dxa"/>
            </w:tcMar>
          </w:tcPr>
          <w:p>
            <w:r>
              <w:t>active_contradiction_cluster, unresolved_drift, grief_pressure, anger_reactivity</w:t>
            </w:r>
          </w:p>
        </w:tc>
        <w:tc>
          <w:tcPr>
            <w:tcW w:type="dxa" w:w="3312"/>
            <w:tcMar>
              <w:top w:w="80" w:type="dxa"/>
              <w:start w:w="90" w:type="dxa"/>
              <w:bottom w:w="80" w:type="dxa"/>
              <w:end w:w="90" w:type="dxa"/>
            </w:tcMar>
          </w:tcPr>
          <w:p>
            <w:r>
              <w:t>Surface only as soft guidance</w:t>
            </w:r>
          </w:p>
        </w:tc>
      </w:tr>
      <w:tr>
        <w:tc>
          <w:tcPr>
            <w:tcW w:type="dxa" w:w="3312"/>
            <w:tcMar>
              <w:top w:w="80" w:type="dxa"/>
              <w:start w:w="90" w:type="dxa"/>
              <w:bottom w:w="80" w:type="dxa"/>
              <w:end w:w="90" w:type="dxa"/>
            </w:tcMar>
          </w:tcPr>
          <w:p>
            <w:r>
              <w:t>Forecast risk</w:t>
            </w:r>
          </w:p>
        </w:tc>
        <w:tc>
          <w:tcPr>
            <w:tcW w:type="dxa" w:w="3312"/>
            <w:tcMar>
              <w:top w:w="80" w:type="dxa"/>
              <w:start w:w="90" w:type="dxa"/>
              <w:bottom w:w="80" w:type="dxa"/>
              <w:end w:w="90" w:type="dxa"/>
            </w:tcMar>
          </w:tcPr>
          <w:p>
            <w:r>
              <w:t>volatility_pattern, mismatch_in_repair_style, asymmetry_persistence</w:t>
            </w:r>
          </w:p>
        </w:tc>
        <w:tc>
          <w:tcPr>
            <w:tcW w:type="dxa" w:w="3312"/>
            <w:tcMar>
              <w:top w:w="80" w:type="dxa"/>
              <w:start w:w="90" w:type="dxa"/>
              <w:bottom w:w="80" w:type="dxa"/>
              <w:end w:w="90" w:type="dxa"/>
            </w:tcMar>
          </w:tcPr>
          <w:p>
            <w:r>
              <w:t>Surface only as pattern language</w:t>
            </w:r>
          </w:p>
        </w:tc>
      </w:tr>
      <w:tr>
        <w:tc>
          <w:tcPr>
            <w:tcW w:type="dxa" w:w="3312"/>
            <w:tcMar>
              <w:top w:w="80" w:type="dxa"/>
              <w:start w:w="90" w:type="dxa"/>
              <w:bottom w:w="80" w:type="dxa"/>
              <w:end w:w="90" w:type="dxa"/>
            </w:tcMar>
          </w:tcPr>
          <w:p>
            <w:r>
              <w:t>Suppression</w:t>
            </w:r>
          </w:p>
        </w:tc>
        <w:tc>
          <w:tcPr>
            <w:tcW w:type="dxa" w:w="3312"/>
            <w:tcMar>
              <w:top w:w="80" w:type="dxa"/>
              <w:start w:w="90" w:type="dxa"/>
              <w:bottom w:w="80" w:type="dxa"/>
              <w:end w:w="90" w:type="dxa"/>
            </w:tcMar>
          </w:tcPr>
          <w:p>
            <w:r>
              <w:t>low_confidence, insufficient_pair_data, moderation_hold</w:t>
            </w:r>
          </w:p>
        </w:tc>
        <w:tc>
          <w:tcPr>
            <w:tcW w:type="dxa" w:w="3312"/>
            <w:tcMar>
              <w:top w:w="80" w:type="dxa"/>
              <w:start w:w="90" w:type="dxa"/>
              <w:bottom w:w="80" w:type="dxa"/>
              <w:end w:w="90" w:type="dxa"/>
            </w:tcMar>
          </w:tcPr>
          <w:p>
            <w:r>
              <w:t>May surface as 'more data needed'</w:t>
            </w:r>
          </w:p>
        </w:tc>
      </w:tr>
    </w:tbl>
    <w:p/>
    <w:p>
      <w:pPr>
        <w:pStyle w:val="Heading1Custom"/>
      </w:pPr>
      <w:r>
        <w:t>13. Update cadence and recomputation policy</w:t>
      </w:r>
    </w:p>
    <w:p>
      <w:pPr>
        <w:spacing w:after="40"/>
        <w:ind w:left="288"/>
      </w:pPr>
      <w:r>
        <w:rPr>
          <w:b/>
        </w:rPr>
        <w:t xml:space="preserve">• </w:t>
      </w:r>
      <w:r>
        <w:t>Readiness recomputes after assessment completion, approved companion-state changes, major contradiction resolution, and versioned scheduled refreshes.</w:t>
      </w:r>
    </w:p>
    <w:p>
      <w:pPr>
        <w:spacing w:after="40"/>
        <w:ind w:left="288"/>
      </w:pPr>
      <w:r>
        <w:rPr>
          <w:b/>
        </w:rPr>
        <w:t xml:space="preserve">• </w:t>
      </w:r>
      <w:r>
        <w:t>Behavior-adjusted readiness recomputes only when the behavior sample threshold and recency threshold pass.</w:t>
      </w:r>
    </w:p>
    <w:p>
      <w:pPr>
        <w:spacing w:after="40"/>
        <w:ind w:left="288"/>
      </w:pPr>
      <w:r>
        <w:rPr>
          <w:b/>
        </w:rPr>
        <w:t xml:space="preserve">• </w:t>
      </w:r>
      <w:r>
        <w:t>Forecast recomputes on pair formation, material pair event updates, drift state changes, major companion-state changes, and approved scheduled recalculation windows.</w:t>
      </w:r>
    </w:p>
    <w:p>
      <w:pPr>
        <w:spacing w:after="40"/>
        <w:ind w:left="288"/>
      </w:pPr>
      <w:r>
        <w:rPr>
          <w:b/>
        </w:rPr>
        <w:t xml:space="preserve">• </w:t>
      </w:r>
      <w:r>
        <w:t>All recomputation jobs must be idempotent and event-driven. UI refresh must never be the canonical trigger.</w:t>
      </w:r>
    </w:p>
    <w:p>
      <w:pPr>
        <w:pStyle w:val="Heading1Custom"/>
      </w:pPr>
      <w:r>
        <w:t>14. Audit, storage, and reproducibility</w:t>
      </w:r>
    </w:p>
    <w:p>
      <w:pPr>
        <w:spacing w:after="40"/>
        <w:ind w:left="288"/>
      </w:pPr>
      <w:r>
        <w:rPr>
          <w:b/>
        </w:rPr>
        <w:t xml:space="preserve">• </w:t>
      </w:r>
      <w:r>
        <w:t>Store final score, raw pre-rounded score, confidence, sufficiency result, reason codes, component snapshot, version id, computed_at, and source event window.</w:t>
      </w:r>
    </w:p>
    <w:p>
      <w:pPr>
        <w:spacing w:after="40"/>
        <w:ind w:left="288"/>
      </w:pPr>
      <w:r>
        <w:rPr>
          <w:b/>
        </w:rPr>
        <w:t xml:space="preserve">• </w:t>
      </w:r>
      <w:r>
        <w:t>Never overwrite history destructively. Preserve prior records or changelog rows for forensic comparison.</w:t>
      </w:r>
    </w:p>
    <w:p>
      <w:pPr>
        <w:spacing w:after="40"/>
        <w:ind w:left="288"/>
      </w:pPr>
      <w:r>
        <w:rPr>
          <w:b/>
        </w:rPr>
        <w:t xml:space="preserve">• </w:t>
      </w:r>
      <w:r>
        <w:t>Admin tools must be able to answer: what score was shown, why it was shown, what version computed it, and what evidence window fed it.</w:t>
      </w:r>
    </w:p>
    <w:p>
      <w:pPr>
        <w:spacing w:after="40"/>
        <w:ind w:left="288"/>
      </w:pPr>
      <w:r>
        <w:rPr>
          <w:b/>
        </w:rPr>
        <w:t xml:space="preserve">• </w:t>
      </w:r>
      <w:r>
        <w:t>Any manual override must include actor, timestamp, reason, previous value, new value, and expiration or review policy.</w:t>
      </w:r>
    </w:p>
    <w:p>
      <w:pPr>
        <w:pStyle w:val="Heading1Custom"/>
      </w:pPr>
      <w:r>
        <w:t>15. Minimum engineering deliverables</w:t>
      </w:r>
    </w:p>
    <w:p>
      <w:pPr>
        <w:spacing w:after="40"/>
        <w:ind w:left="288"/>
      </w:pPr>
      <w:r>
        <w:rPr>
          <w:b/>
        </w:rPr>
        <w:t xml:space="preserve">• </w:t>
      </w:r>
      <w:r>
        <w:t>Canonical scoring service endpoint or internal package for readiness and forecast.</w:t>
      </w:r>
    </w:p>
    <w:p>
      <w:pPr>
        <w:spacing w:after="40"/>
        <w:ind w:left="288"/>
      </w:pPr>
      <w:r>
        <w:rPr>
          <w:b/>
        </w:rPr>
        <w:t xml:space="preserve">• </w:t>
      </w:r>
      <w:r>
        <w:t>Schema for score records, confidence, sufficiency, reason codes, drift state, and versioning.</w:t>
      </w:r>
    </w:p>
    <w:p>
      <w:pPr>
        <w:spacing w:after="40"/>
        <w:ind w:left="288"/>
      </w:pPr>
      <w:r>
        <w:rPr>
          <w:b/>
        </w:rPr>
        <w:t xml:space="preserve">• </w:t>
      </w:r>
      <w:r>
        <w:t>Policy layer for public display and suppression.</w:t>
      </w:r>
    </w:p>
    <w:p>
      <w:pPr>
        <w:spacing w:after="40"/>
        <w:ind w:left="288"/>
      </w:pPr>
      <w:r>
        <w:rPr>
          <w:b/>
        </w:rPr>
        <w:t xml:space="preserve">• </w:t>
      </w:r>
      <w:r>
        <w:t>Event-driven recomputation jobs.</w:t>
      </w:r>
    </w:p>
    <w:p>
      <w:pPr>
        <w:spacing w:after="40"/>
        <w:ind w:left="288"/>
      </w:pPr>
      <w:r>
        <w:rPr>
          <w:b/>
        </w:rPr>
        <w:t xml:space="preserve">• </w:t>
      </w:r>
      <w:r>
        <w:t>Admin inspection view with evidence summary and audit trail.</w:t>
      </w:r>
    </w:p>
    <w:p>
      <w:pPr>
        <w:spacing w:after="40"/>
        <w:ind w:left="288"/>
      </w:pPr>
      <w:r>
        <w:rPr>
          <w:b/>
        </w:rPr>
        <w:t xml:space="preserve">• </w:t>
      </w:r>
      <w:r>
        <w:t>AI-safe translation layer for score explanation copy.</w:t>
      </w:r>
    </w:p>
    <w:p>
      <w:pPr>
        <w:spacing w:after="40"/>
        <w:ind w:left="288"/>
      </w:pPr>
      <w:r>
        <w:rPr>
          <w:b/>
        </w:rPr>
        <w:t xml:space="preserve">• </w:t>
      </w:r>
      <w:r>
        <w:t>Test suite covering missing data, stale data, contradiction spikes, active drift, recovering drift, and suppressed forecast exposure.</w:t>
      </w:r>
    </w:p>
    <w:p>
      <w:pPr>
        <w:pStyle w:val="Heading1Custom"/>
      </w:pPr>
      <w:r>
        <w:t>16. Acceptance criteria for v1</w:t>
      </w:r>
    </w:p>
    <w:p>
      <w:pPr>
        <w:spacing w:after="40"/>
        <w:ind w:left="288"/>
      </w:pPr>
      <w:r>
        <w:rPr>
          <w:b/>
        </w:rPr>
        <w:t xml:space="preserve">• </w:t>
      </w:r>
      <w:r>
        <w:t>Two different services given the same inputs produce the same canonical readiness and forecast outputs.</w:t>
      </w:r>
    </w:p>
    <w:p>
      <w:pPr>
        <w:spacing w:after="40"/>
        <w:ind w:left="288"/>
      </w:pPr>
      <w:r>
        <w:rPr>
          <w:b/>
        </w:rPr>
        <w:t xml:space="preserve">• </w:t>
      </w:r>
      <w:r>
        <w:t>No public-facing score appears when sufficiency fails or confidence is below the allowed threshold.</w:t>
      </w:r>
    </w:p>
    <w:p>
      <w:pPr>
        <w:spacing w:after="40"/>
        <w:ind w:left="288"/>
      </w:pPr>
      <w:r>
        <w:rPr>
          <w:b/>
        </w:rPr>
        <w:t xml:space="preserve">• </w:t>
      </w:r>
      <w:r>
        <w:t>Drift can be logged provisionally without prematurely destroying readiness.</w:t>
      </w:r>
    </w:p>
    <w:p>
      <w:pPr>
        <w:spacing w:after="40"/>
        <w:ind w:left="288"/>
      </w:pPr>
      <w:r>
        <w:rPr>
          <w:b/>
        </w:rPr>
        <w:t xml:space="preserve">• </w:t>
      </w:r>
      <w:r>
        <w:t>Forecast remains more restricted than readiness and never appears as deterministic fate language.</w:t>
      </w:r>
    </w:p>
    <w:p>
      <w:pPr>
        <w:spacing w:after="40"/>
        <w:ind w:left="288"/>
      </w:pPr>
      <w:r>
        <w:rPr>
          <w:b/>
        </w:rPr>
        <w:t xml:space="preserve">• </w:t>
      </w:r>
      <w:r>
        <w:t>Every displayed score can be audited back to version, evidence window, and reason codes.</w:t>
      </w:r>
    </w:p>
    <w:p>
      <w:pPr>
        <w:pStyle w:val="Heading1Custom"/>
      </w:pPr>
      <w:r>
        <w:t>17. Recommended next follow-on docs</w:t>
      </w:r>
    </w:p>
    <w:p>
      <w:pPr>
        <w:spacing w:after="40"/>
        <w:ind w:left="288"/>
      </w:pPr>
      <w:r>
        <w:rPr>
          <w:b/>
        </w:rPr>
        <w:t xml:space="preserve">• </w:t>
      </w:r>
      <w:r>
        <w:t>Readiness formula appendix, if any remaining component weights still need to be frozen outside the workbook.</w:t>
      </w:r>
    </w:p>
    <w:p>
      <w:pPr>
        <w:spacing w:after="40"/>
        <w:ind w:left="288"/>
      </w:pPr>
      <w:r>
        <w:rPr>
          <w:b/>
        </w:rPr>
        <w:t xml:space="preserve">• </w:t>
      </w:r>
      <w:r>
        <w:t>Forecast output appendix with explicit pair-state formulas and thresholds.</w:t>
      </w:r>
    </w:p>
    <w:p>
      <w:pPr>
        <w:spacing w:after="40"/>
        <w:ind w:left="288"/>
      </w:pPr>
      <w:r>
        <w:rPr>
          <w:b/>
        </w:rPr>
        <w:t xml:space="preserve">• </w:t>
      </w:r>
      <w:r>
        <w:t>DriftEligibility technical appendix with the exact rollup metrics and state transitions.</w:t>
      </w:r>
    </w:p>
    <w:p>
      <w:pPr>
        <w:spacing w:after="40"/>
        <w:ind w:left="288"/>
      </w:pPr>
      <w:r>
        <w:rPr>
          <w:b/>
        </w:rPr>
        <w:t xml:space="preserve">• </w:t>
      </w:r>
      <w:r>
        <w:t>User-facing copy library for safe explanation language across readiness and forecast surfaces.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Readiness &amp; Forecast Contract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before="0" w:line="269" w:lineRule="auto"/>
    </w:pPr>
    <w:rPr>
      <w:rFonts w:ascii="Aptos" w:hAnsi="Aptos" w:eastAsia="Aptos"/>
      <w:b/>
      <w:color w:val="1F3660"/>
      <w:sz w:val="44"/>
    </w:rPr>
  </w:style>
  <w:style w:type="paragraph" w:customStyle="1" w:styleId="SubtitleCustom">
    <w:name w:val="SubtitleCustom"/>
    <w:basedOn w:val="Normal"/>
    <w:pPr>
      <w:spacing w:after="240" w:before="0" w:line="269" w:lineRule="auto"/>
    </w:pPr>
    <w:rPr>
      <w:rFonts w:ascii="Aptos" w:hAnsi="Aptos" w:eastAsia="Aptos"/>
      <w:b w:val="0"/>
      <w:color w:val="5A5A5A"/>
      <w:sz w:val="22"/>
    </w:rPr>
  </w:style>
  <w:style w:type="paragraph" w:customStyle="1" w:styleId="Heading1Custom">
    <w:name w:val="Heading1Custom"/>
    <w:basedOn w:val="Normal"/>
    <w:pPr>
      <w:spacing w:after="120" w:before="160" w:line="269" w:lineRule="auto"/>
    </w:pPr>
    <w:rPr>
      <w:rFonts w:ascii="Aptos" w:hAnsi="Aptos" w:eastAsia="Aptos"/>
      <w:b/>
      <w:color w:val="1F3660"/>
      <w:sz w:val="30"/>
    </w:rPr>
  </w:style>
  <w:style w:type="paragraph" w:customStyle="1" w:styleId="Heading2Custom">
    <w:name w:val="Heading2Custom"/>
    <w:basedOn w:val="Normal"/>
    <w:pPr>
      <w:spacing w:after="80" w:before="120" w:line="269" w:lineRule="auto"/>
    </w:pPr>
    <w:rPr>
      <w:rFonts w:ascii="Aptos" w:hAnsi="Aptos" w:eastAsia="Aptos"/>
      <w:b/>
      <w:color w:val="186D68"/>
      <w:sz w:val="24"/>
    </w:rPr>
  </w:style>
  <w:style w:type="paragraph" w:customStyle="1" w:styleId="BodySmall">
    <w:name w:val="BodySmall"/>
    <w:basedOn w:val="Normal"/>
    <w:pPr>
      <w:spacing w:after="60" w:before="0" w:line="269" w:lineRule="auto"/>
    </w:pPr>
    <w:rPr>
      <w:rFonts w:ascii="Aptos" w:hAnsi="Aptos" w:eastAsia="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