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UNIT</w:t>
      </w:r>
      <w:r>
        <w:rPr>
          <w:b/>
          <w:bCs/>
        </w:rPr>
        <w:t xml:space="preserve"> TESTING: POSTWORK.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Escenarios a probar: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 realizará la consulta de inversión mediante el consumo de la API</w:t>
      </w:r>
    </w:p>
    <w:p>
      <w:pPr>
        <w:pStyle w:val="Normal"/>
        <w:bidi w:val="0"/>
        <w:jc w:val="both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-Se realizará la integración de la opción de visualizar el detalle de inversiones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-Se calculará el porcentaje de ISR a pagar verificando que sea el correcto.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-Se verificará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 correcta integración de la API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Historias de Usuario: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9069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Estimar el monto de ISR a pagar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se conocerá la cantidad a pagar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calcular el porcentaje de ISR a pagar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proporcionará el porcentaje que se debe pagar de ISR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Solicitar los requerimientos vía API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Se obtendrá la información solicitada desde un servidor remoto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poder visualizar los detalles de la inversión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Se solicitará al API y se deplegará información sobre la inversión</w:t>
            </w:r>
          </w:p>
        </w:tc>
      </w:tr>
    </w:tbl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¿Decidiste probar directamente los endpoint, la entidad o ambos? ¿Por qué?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probo directamente en las APIs debido a que se estaba buscando que la API respondiera de manera adecuada.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¿Qué ventajas tiene probar directamente los endpoints?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puede comprobar el funcionamiento de las APIs correctamente.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¿Qué ventaja tiene probar la entidad?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Probarla confirma que la aplicacion esta trabajando correctamente con la base de datos y que los datos se conservan legitimos.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LibreOffice/7.0.5.2$Windows_X86_64 LibreOffice_project/64390860c6cd0aca4beafafcfd84613dd9dfb63a</Application>
  <AppVersion>15.0000</AppVersion>
  <Pages>1</Pages>
  <Words>225</Words>
  <Characters>1093</Characters>
  <CharactersWithSpaces>1271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2022-04-21T15:54:57Z</dcterms:created>
  <dc:creator/>
  <dc:description/>
  <dc:language>en-US</dc:language>
  <cp:lastModifiedBy/>
  <dcterms:modified xsi:type="dcterms:W3CDTF">2022-04-25T13:40:39Z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