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Chào mừng bạn đến với The 2-Percenter. Mình là Đạt. Mình xuất thân trong lĩnh vực nghiên cứu vật lý, nhưng lại rất là đam mê kinh doanh.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Năm 2019, sau 2 năm bước chân vào lĩnh vực nghiên cứu, mình nhận ra rằng trong thời đại này, một nguồn thu nhập là không đủ để thực hiện hết những dự định trong tương lai của mình. Vì thế, mình bắt đầu mày mò kinh doanh online.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Khi mới dấn thân vào kinh doanh, với xuất thân là dân kỹ thuật, chưa từng bán một món hàng nào trong đời, mình gặp rất nhiều khó khăn và nghĩ rằng sẽ phải chờ thêm 10 năm, 20 năm nữa thì mới đủ vốn và kinh nghiệm để bắt đầu kinh doanh.</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May mắn thay, mình có cơ may gặp được những người thầy đã có nhiều thành công trong kinh doanh và được họ dìu dắt từng bước đi đầu tiên. Nhờ vậy, mình có thể bắt đầu một kinh doanh với nguồn vốn ít ỏi, kinh nghiệm gần bằng không. Sau vài năm thì kinh doanh của mình đã hoạt động ở cả Bắc Mỹ và Việt Nam.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Montserrat" w:cs="Montserrat" w:eastAsia="Montserrat" w:hAnsi="Montserra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