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5D77B">
      <w:pPr>
        <w:spacing w:before="0" w:after="120"/>
        <w:jc w:val="center"/>
      </w:pPr>
      <w:r>
        <w:rPr>
          <w:rFonts w:ascii="Arial" w:hAnsi="Arial" w:eastAsia="Arial" w:cs="Arial"/>
          <w:b/>
          <w:bCs/>
          <w:color w:val="1F3864"/>
          <w:sz w:val="32"/>
          <w:szCs w:val="32"/>
        </w:rPr>
        <w:t>Evaluating the Validity of the 60%–90% Bearing Degradation Heuristic</w:t>
      </w:r>
    </w:p>
    <w:p w14:paraId="35F00180">
      <w:pPr>
        <w:spacing w:before="0" w:after="60"/>
        <w:jc w:val="center"/>
      </w:pPr>
      <w:r>
        <w:rPr>
          <w:rFonts w:ascii="Arial" w:hAnsi="Arial" w:eastAsia="Arial" w:cs="Arial"/>
          <w:b/>
          <w:bCs/>
          <w:color w:val="1F3864"/>
          <w:sz w:val="32"/>
          <w:szCs w:val="32"/>
        </w:rPr>
        <w:t>Using PCA-Based Health Indicators and Change Point Detection</w:t>
      </w:r>
    </w:p>
    <w:p w14:paraId="4B4A2B1E">
      <w:pPr>
        <w:spacing w:before="60" w:after="60"/>
        <w:jc w:val="center"/>
      </w:pPr>
      <w:r>
        <w:rPr>
          <w:rFonts w:ascii="Arial" w:hAnsi="Arial" w:eastAsia="Arial" w:cs="Arial"/>
          <w:i/>
          <w:iCs/>
          <w:color w:val="666666"/>
          <w:sz w:val="22"/>
          <w:szCs w:val="22"/>
        </w:rPr>
        <w:t>Section: Related Work  |  File: 01_Related_Work.docx</w:t>
      </w:r>
    </w:p>
    <w:p w14:paraId="26FDDFAF">
      <w:pPr>
        <w:spacing w:before="60" w:after="360"/>
        <w:jc w:val="center"/>
      </w:pPr>
      <w:r>
        <w:rPr>
          <w:rFonts w:ascii="Arial" w:hAnsi="Arial" w:eastAsia="Arial" w:cs="Arial"/>
          <w:color w:val="666666"/>
          <w:sz w:val="22"/>
          <w:szCs w:val="22"/>
        </w:rPr>
        <w:t>Author: Nguyen Duong Hoai An</w:t>
      </w:r>
    </w:p>
    <w:p w14:paraId="7346F985">
      <w:pPr>
        <w:pStyle w:val="2"/>
      </w:pPr>
      <w:r>
        <w:rPr>
          <w:rFonts w:ascii="Arial" w:hAnsi="Arial" w:eastAsia="Arial" w:cs="Arial"/>
          <w:b/>
          <w:bCs/>
          <w:sz w:val="28"/>
          <w:szCs w:val="28"/>
        </w:rPr>
        <w:t>I. RELATED WORK</w:t>
      </w:r>
    </w:p>
    <w:p w14:paraId="7DFDECAD">
      <w:pPr>
        <w:spacing w:before="60" w:after="60"/>
      </w:pPr>
    </w:p>
    <w:p w14:paraId="071E885D">
      <w:pPr>
        <w:pStyle w:val="3"/>
      </w:pPr>
      <w:r>
        <w:rPr>
          <w:rFonts w:ascii="Arial" w:hAnsi="Arial" w:eastAsia="Arial" w:cs="Arial"/>
          <w:b/>
          <w:bCs/>
          <w:sz w:val="26"/>
          <w:szCs w:val="26"/>
        </w:rPr>
        <w:t>A. Bearing Condition Monitoring and Fault Detection</w:t>
      </w:r>
    </w:p>
    <w:p w14:paraId="756946DA">
      <w:pPr>
        <w:spacing w:before="80" w:after="80" w:line="320" w:lineRule="auto"/>
        <w:jc w:val="both"/>
      </w:pPr>
      <w:r>
        <w:rPr>
          <w:rFonts w:ascii="Arial" w:hAnsi="Arial" w:eastAsia="Arial" w:cs="Arial"/>
          <w:sz w:val="24"/>
          <w:szCs w:val="24"/>
        </w:rPr>
        <w:t>Rolling element bearings are critical components in rotating machinery, and their failure accounts for a substantial proportion of machine downtime in industrial environments. Vibration-based condition monitoring has long been recognized as the most practical approach for detecting bearing faults. Early work by Howard [1] established the theoretical foundation for using vibration signals to detect distributed and localized bearing defects, demonstrating that time-domain statistical indicators—particularly Root Mean Square (RMS) and kurtosis—are sensitive to different stages of bearing degradation. RMS reflects the overall energy level of the vibration signal, making it appropriate for tracking gradual wear, while kurtosis measures the impulsiveness of a signal and is particularly sensitive to incipient fault-induced impacts [2].</w:t>
      </w:r>
    </w:p>
    <w:p w14:paraId="42B1D1DF">
      <w:pPr>
        <w:spacing w:before="80" w:after="80" w:line="320" w:lineRule="auto"/>
        <w:jc w:val="both"/>
      </w:pPr>
      <w:r>
        <w:rPr>
          <w:rFonts w:ascii="Arial" w:hAnsi="Arial" w:eastAsia="Arial" w:cs="Arial"/>
          <w:sz w:val="24"/>
          <w:szCs w:val="24"/>
        </w:rPr>
        <w:t>Building on this foundation, Moshrefzadeh and Fasana [2] conducted a systematic analysis of multiple time-domain features including RMS, peak, kurtosis, and crest factor under varying load and speed conditions. Their results showed that kurtosis provides strong sensitivity for outer-race defects where the fault position is geometrically fixed relative to the sensor, but may lose sensitivity in the advanced wear stage when the signal becomes non-impulsive. This observation motivates the use of combined vibration features—as adopted in the current project—to ensure robust degradation tracking across the full bearing lifecycle.</w:t>
      </w:r>
    </w:p>
    <w:p w14:paraId="30CD51FA">
      <w:pPr>
        <w:spacing w:before="80" w:after="80" w:line="320" w:lineRule="auto"/>
        <w:jc w:val="both"/>
      </w:pPr>
      <w:r>
        <w:rPr>
          <w:rFonts w:ascii="Arial" w:hAnsi="Arial" w:eastAsia="Arial" w:cs="Arial"/>
          <w:sz w:val="24"/>
          <w:szCs w:val="24"/>
        </w:rPr>
        <w:t>More recently, Islam et al. [3] proposed an explainable AI approach combining kurtosis and RMS with bearing defect frequencies (BPFI, BPFO, BSF) for unsupervised fault detection. Their experimental results on the PRONOSTIA dataset confirmed that while defect-frequency features help identify fault type, RMS and kurtosis remain the most generalizable features for detecting the presence of degradation, even in cases where classic fault-frequency behavior is absent. This aligns with our project's choice to rely on these features as primary degradation indicators.</w:t>
      </w:r>
    </w:p>
    <w:p w14:paraId="2C778A14">
      <w:pPr>
        <w:spacing w:before="60" w:after="60"/>
      </w:pPr>
    </w:p>
    <w:p w14:paraId="0B68BD63">
      <w:pPr>
        <w:pStyle w:val="3"/>
      </w:pPr>
      <w:r>
        <w:rPr>
          <w:rFonts w:ascii="Arial" w:hAnsi="Arial" w:eastAsia="Arial" w:cs="Arial"/>
          <w:b/>
          <w:bCs/>
          <w:sz w:val="26"/>
          <w:szCs w:val="26"/>
        </w:rPr>
        <w:t>B. Feature Extraction from Vibration and Temperature Signals</w:t>
      </w:r>
    </w:p>
    <w:p w14:paraId="309BDBD2">
      <w:pPr>
        <w:spacing w:before="80" w:after="80" w:line="320" w:lineRule="auto"/>
        <w:jc w:val="both"/>
      </w:pPr>
      <w:r>
        <w:rPr>
          <w:rFonts w:ascii="Arial" w:hAnsi="Arial" w:eastAsia="Arial" w:cs="Arial"/>
          <w:sz w:val="24"/>
          <w:szCs w:val="24"/>
        </w:rPr>
        <w:t>Feature extraction from raw sensor data is the critical first step in any data-driven prognostic pipeline. For vibration signals, time-domain features such as RMS, kurtosis, peak value, skewness, and crest factor are widely extracted and have well-understood physical interpretations [2], [3]. In the frequency domain, spectral energy and spectral kurtosis have proven effective for capturing non-stationary fault signatures [4]. Tian et al. [4] demonstrated that spectral kurtosis based on an autoregressive (AR) model can detect incipient faults approximately five minutes earlier than RMS alone, underscoring the complementary nature of time-domain and frequency-domain features.</w:t>
      </w:r>
    </w:p>
    <w:p w14:paraId="7E371797">
      <w:pPr>
        <w:spacing w:before="80" w:after="80" w:line="320" w:lineRule="auto"/>
        <w:jc w:val="both"/>
      </w:pPr>
      <w:r>
        <w:rPr>
          <w:rFonts w:ascii="Arial" w:hAnsi="Arial" w:eastAsia="Arial" w:cs="Arial"/>
          <w:sz w:val="24"/>
          <w:szCs w:val="24"/>
        </w:rPr>
        <w:t>Temperature signals, while less commonly utilized than vibration, provide important supplementary information about the thermal state of the bearing. Jung et al. [5]—the authors of the dataset used in this project—explicitly recorded both bearing temperature and ambient temperature alongside vibration signals throughout the full bearing lifecycle of 128 working hours. Their dataset paper demonstrates that bearing temperature exhibits a gradual monotonic increase toward failure, making temperature-derived features such as temperature mean, temperature delta (last minus first), and temperature slope (linear trend) valuable candidates for health indicator construction. The inclusion of temperature features distinguishes our project from purely vibration-based approaches and motivates the construction of a combined HI-VT health indicator.</w:t>
      </w:r>
    </w:p>
    <w:p w14:paraId="4AB0E690">
      <w:pPr>
        <w:spacing w:before="60" w:after="60"/>
      </w:pPr>
    </w:p>
    <w:p w14:paraId="6FB17E09">
      <w:pPr>
        <w:pStyle w:val="3"/>
      </w:pPr>
      <w:r>
        <w:rPr>
          <w:rFonts w:ascii="Arial" w:hAnsi="Arial" w:eastAsia="Arial" w:cs="Arial"/>
          <w:b/>
          <w:bCs/>
          <w:sz w:val="26"/>
          <w:szCs w:val="26"/>
        </w:rPr>
        <w:t>C. Health Indicator Construction Using PCA</w:t>
      </w:r>
    </w:p>
    <w:p w14:paraId="228502C1">
      <w:pPr>
        <w:spacing w:before="80" w:after="80" w:line="320" w:lineRule="auto"/>
        <w:jc w:val="both"/>
      </w:pPr>
      <w:r>
        <w:rPr>
          <w:rFonts w:ascii="Arial" w:hAnsi="Arial" w:eastAsia="Arial" w:cs="Arial"/>
          <w:sz w:val="24"/>
          <w:szCs w:val="24"/>
        </w:rPr>
        <w:t>Health Indicators (HI) are scalar time-series representations of bearing degradation, constructed by compressing multiple features into a single trajectory. A well-constructed HI should exhibit monotonicity (generally increasing with degradation), trendability (predictable trend over time), and robustness to noise. Principal Component Analysis (PCA) is one of the most widely adopted methods for HI construction due to its simplicity, interpretability, and effectiveness.</w:t>
      </w:r>
    </w:p>
    <w:p w14:paraId="53DE9D3C">
      <w:pPr>
        <w:spacing w:before="80" w:after="80" w:line="320" w:lineRule="auto"/>
        <w:jc w:val="both"/>
      </w:pPr>
      <w:r>
        <w:rPr>
          <w:rFonts w:ascii="Arial" w:hAnsi="Arial" w:eastAsia="Arial" w:cs="Arial"/>
          <w:sz w:val="24"/>
          <w:szCs w:val="24"/>
        </w:rPr>
        <w:t>Javed et al. [6] proposed a PCA-based HI construction framework applied on the PRONOSTIA run-to-failure dataset. By projecting standardized vibration features onto the first principal component (PC1)—which captures the direction of maximum variance in the feature space—they obtained a scalar HI that reliably tracks degradation from healthy operation to failure. Their study established the key practical convention that if PC1 is negatively correlated with time, the sign is inverted so that the HI increases monotonically toward failure. This convention is directly applied in the current project.</w:t>
      </w:r>
    </w:p>
    <w:p w14:paraId="06C0D3B9">
      <w:pPr>
        <w:spacing w:before="80" w:after="80" w:line="320" w:lineRule="auto"/>
        <w:jc w:val="both"/>
      </w:pPr>
      <w:r>
        <w:rPr>
          <w:rFonts w:ascii="Arial" w:hAnsi="Arial" w:eastAsia="Arial" w:cs="Arial"/>
          <w:sz w:val="24"/>
          <w:szCs w:val="24"/>
        </w:rPr>
        <w:t>Similarly, a study employing PCA-based HI construction for a bearing production line maintenance application [7] showed that time-domain and frequency-domain features, when combined and projected through PCA, produce a health indicator with strong trendability properties. Their approach applies an exponential Wiener process on the resulting HI for remaining useful life (RUL) estimation. A comprehensive review by Wang et al. [8] further confirms that PCA-based HI construction consistently outperforms single-feature approaches in terms of monotonicity and robustness across diverse run-to-failure datasets.</w:t>
      </w:r>
    </w:p>
    <w:p w14:paraId="4ED40021">
      <w:pPr>
        <w:spacing w:before="80" w:after="80" w:line="320" w:lineRule="auto"/>
        <w:jc w:val="both"/>
      </w:pPr>
      <w:r>
        <w:rPr>
          <w:rFonts w:ascii="Arial" w:hAnsi="Arial" w:eastAsia="Arial" w:cs="Arial"/>
          <w:sz w:val="24"/>
          <w:szCs w:val="24"/>
        </w:rPr>
        <w:t>A notable variant is the use of Kernel PCA (KPCA), which captures nonlinear relationships among features. Liu et al. [9] combined Complete Ensemble Empirical Mode Decomposition with Adaptive Noise (CEEMDAN) with KPCA to construct a nonlinear HI, demonstrating improved sensitivity to early-stage degradation compared to linear PCA. However, this increased complexity comes at the cost of interpretability—a key concern for our project, which prioritizes physical meaningfulness over model complexity. Linear PCA applied to standardized features therefore remains the appropriate choice for validating the 60%/90% TTF heuristic.</w:t>
      </w:r>
    </w:p>
    <w:p w14:paraId="139FAF87">
      <w:pPr>
        <w:spacing w:before="60" w:after="60"/>
      </w:pPr>
    </w:p>
    <w:p w14:paraId="1EFEBBB8">
      <w:pPr>
        <w:pStyle w:val="3"/>
      </w:pPr>
      <w:r>
        <w:rPr>
          <w:rFonts w:ascii="Arial" w:hAnsi="Arial" w:eastAsia="Arial" w:cs="Arial"/>
          <w:b/>
          <w:bCs/>
          <w:sz w:val="26"/>
          <w:szCs w:val="26"/>
        </w:rPr>
        <w:t>D. Run-to-Failure Datasets and Experimental Benchmarks</w:t>
      </w:r>
    </w:p>
    <w:p w14:paraId="165F3A44">
      <w:pPr>
        <w:spacing w:before="80" w:after="80" w:line="320" w:lineRule="auto"/>
        <w:jc w:val="both"/>
      </w:pPr>
      <w:r>
        <w:rPr>
          <w:rFonts w:ascii="Arial" w:hAnsi="Arial" w:eastAsia="Arial" w:cs="Arial"/>
          <w:sz w:val="24"/>
          <w:szCs w:val="24"/>
        </w:rPr>
        <w:t>The availability of publicly accessible run-to-failure bearing datasets has been instrumental in advancing prognostic research. The most widely used benchmark is the PRONOSTIA dataset, introduced through the IEEE PHM 2012 Prognostic Challenge [10]. This dataset, collected at the FEMTO-ST Institute, contains vibration and temperature measurements from 17 bearings run to failure under three operating conditions. Vibration data were recorded at 25.6 kHz using accelerometers in the horizontal and vertical directions, while temperature was measured by a thermocouple. The PRONOSTIA dataset has been used to validate a broad range of HI construction methods, RUL prediction algorithms, and degradation stage classifiers, making it the de facto standard in bearing prognostics research.</w:t>
      </w:r>
    </w:p>
    <w:p w14:paraId="45B48D5C">
      <w:pPr>
        <w:spacing w:before="80" w:after="80" w:line="320" w:lineRule="auto"/>
        <w:jc w:val="both"/>
      </w:pPr>
      <w:r>
        <w:rPr>
          <w:rFonts w:ascii="Arial" w:hAnsi="Arial" w:eastAsia="Arial" w:cs="Arial"/>
          <w:sz w:val="24"/>
          <w:szCs w:val="24"/>
        </w:rPr>
        <w:t>The dataset used in the current project is the "Vibration and Temperature Run-to-Failure Dataset of Ball Bearing" published by Jung, Yun, and Park (2024) on Mendeley Data [5]. In contrast to PRONOSTIA, this dataset provides a single bearing run-to-failure record of 128 working hours under controlled accelerated life test conditions (axial load 300 kg, vertical load 600 kg, speed 1770–1780 RPM). The dataset contains 129 CSV files—each representing one observation window—with four channels: horizontal vibration, vertical vibration, bearing temperature, and ambient temperature. The absence of headers and the chronological ordering of files make it directly suitable for the sequential feature extraction pipeline implemented in this project.</w:t>
      </w:r>
    </w:p>
    <w:p w14:paraId="5B3AC484">
      <w:pPr>
        <w:spacing w:before="60" w:after="60"/>
      </w:pPr>
    </w:p>
    <w:p w14:paraId="0AC5953C">
      <w:pPr>
        <w:pStyle w:val="3"/>
      </w:pPr>
      <w:r>
        <w:rPr>
          <w:rFonts w:ascii="Arial" w:hAnsi="Arial" w:eastAsia="Arial" w:cs="Arial"/>
          <w:b/>
          <w:bCs/>
          <w:sz w:val="26"/>
          <w:szCs w:val="26"/>
        </w:rPr>
        <w:t>E. Remaining Useful Life Prediction</w:t>
      </w:r>
    </w:p>
    <w:p w14:paraId="345EAC65">
      <w:pPr>
        <w:spacing w:before="80" w:after="80" w:line="320" w:lineRule="auto"/>
        <w:jc w:val="both"/>
      </w:pPr>
      <w:r>
        <w:rPr>
          <w:rFonts w:ascii="Arial" w:hAnsi="Arial" w:eastAsia="Arial" w:cs="Arial"/>
          <w:sz w:val="24"/>
          <w:szCs w:val="24"/>
        </w:rPr>
        <w:t>A large body of research focuses on predicting the RUL of bearings given a constructed health indicator. Wang et al. [11] proposed a hybrid prognostic approach combining deep learning feature extraction with exponential degradation modeling, evaluated on the PRONOSTIA dataset. Their method defines three degradation stages—normal, smooth wear, and severe wear—based on RMS thresholds, and trains stage-specific regression models. This staged approach is conceptually aligned with the three-state model (Healthy / Degrading / Fault) defined by the 60%/90% TTF heuristic under investigation in the present project.</w:t>
      </w:r>
    </w:p>
    <w:p w14:paraId="52E4121E">
      <w:pPr>
        <w:spacing w:before="80" w:after="80" w:line="320" w:lineRule="auto"/>
        <w:jc w:val="both"/>
      </w:pPr>
      <w:r>
        <w:rPr>
          <w:rFonts w:ascii="Arial" w:hAnsi="Arial" w:eastAsia="Arial" w:cs="Arial"/>
          <w:sz w:val="24"/>
          <w:szCs w:val="24"/>
        </w:rPr>
        <w:t>Hotait et al. [12] proposed an intelligent online monitoring framework combining DBSCAN-based health state clustering with LSTM-based RUL prediction. Their study demonstrated that a well-constructed HI derived from vibration features can serve as the sole input for RUL estimation, further motivating the importance of HI quality before any predictive modeling. Lei et al. [13] provided a comprehensive systematic review of machinery health prognostics, categorizing methods from data acquisition through RUL prediction and identifying feature extraction quality as the primary bottleneck in real-world deployments.</w:t>
      </w:r>
    </w:p>
    <w:p w14:paraId="09BB16AB">
      <w:pPr>
        <w:spacing w:before="60" w:after="60"/>
      </w:pPr>
    </w:p>
    <w:p w14:paraId="36FCCA1A">
      <w:pPr>
        <w:pStyle w:val="3"/>
      </w:pPr>
      <w:r>
        <w:rPr>
          <w:rFonts w:ascii="Arial" w:hAnsi="Arial" w:eastAsia="Arial" w:cs="Arial"/>
          <w:b/>
          <w:bCs/>
          <w:sz w:val="26"/>
          <w:szCs w:val="26"/>
        </w:rPr>
        <w:t>F. Change Point Detection in Bearing Degradation</w:t>
      </w:r>
    </w:p>
    <w:p w14:paraId="02E80B08">
      <w:pPr>
        <w:spacing w:before="80" w:after="80" w:line="320" w:lineRule="auto"/>
        <w:jc w:val="both"/>
      </w:pPr>
      <w:r>
        <w:rPr>
          <w:rFonts w:ascii="Arial" w:hAnsi="Arial" w:eastAsia="Arial" w:cs="Arial"/>
          <w:sz w:val="24"/>
          <w:szCs w:val="24"/>
        </w:rPr>
        <w:t>Change Point Detection (CPD) is a signal processing technique that identifies time points where the statistical properties of a time series change significantly. In the context of bearing degradation, CPD is applied to detect transitions between health states (Healthy → Degrading → Fault) from the HI trajectory.</w:t>
      </w:r>
    </w:p>
    <w:p w14:paraId="0F0C5B65">
      <w:pPr>
        <w:spacing w:before="80" w:after="80" w:line="320" w:lineRule="auto"/>
        <w:jc w:val="both"/>
      </w:pPr>
      <w:r>
        <w:rPr>
          <w:rFonts w:ascii="Arial" w:hAnsi="Arial" w:eastAsia="Arial" w:cs="Arial"/>
          <w:sz w:val="24"/>
          <w:szCs w:val="24"/>
        </w:rPr>
        <w:t>The Pruned Exact Linear Time (PELT) algorithm, introduced by Killick et al. [14], is widely regarded as the most computationally efficient exact CPD method. PELT uses a dynamic programming approach with a pruning step to reduce the search space, achieving linear time complexity in the number of observations. Du et al. [15] applied PELT directly to bearing vibration time series for automatic segmentation, demonstrating its practical applicability on real industrial vibration data and emphasizing its suitability for detecting multiple degradation transitions. More recently, Zhao et al. [16] combined PELT-based state segmentation with wavelet time-frequency analysis for RUL prediction, showing that PELT-detected change points align closely with physically observable degradation onset.</w:t>
      </w:r>
    </w:p>
    <w:p w14:paraId="7277718B">
      <w:pPr>
        <w:spacing w:before="80" w:after="80" w:line="320" w:lineRule="auto"/>
        <w:jc w:val="both"/>
      </w:pPr>
      <w:r>
        <w:rPr>
          <w:rFonts w:ascii="Arial" w:hAnsi="Arial" w:eastAsia="Arial" w:cs="Arial"/>
          <w:sz w:val="24"/>
          <w:szCs w:val="24"/>
        </w:rPr>
        <w:t>An alternative to PELT is Binary Segmentation (BinSeg), which recursively partitions the time series by finding the single best split at each step. While computationally faster, BinSeg is an approximate method and may miss closely spaced change points [17]. In the present project, both PELT and BinSeg are implemented (via the ruptures Python library) and their detected change points are compared against the 60% and 90% TTF thresholds, providing a data-driven assessment of whether the heuristic boundaries reflect actual physical degradation transitions.</w:t>
      </w:r>
    </w:p>
    <w:p w14:paraId="63E9D554">
      <w:pPr>
        <w:spacing w:before="60" w:after="60"/>
      </w:pPr>
    </w:p>
    <w:p w14:paraId="274221AA">
      <w:pPr>
        <w:pStyle w:val="3"/>
      </w:pPr>
      <w:r>
        <w:rPr>
          <w:rFonts w:ascii="Arial" w:hAnsi="Arial" w:eastAsia="Arial" w:cs="Arial"/>
          <w:b/>
          <w:bCs/>
          <w:sz w:val="26"/>
          <w:szCs w:val="26"/>
        </w:rPr>
        <w:t>G. Comparison with the Present Work</w:t>
      </w:r>
    </w:p>
    <w:p w14:paraId="0C9466A0">
      <w:pPr>
        <w:spacing w:before="80" w:after="80" w:line="320" w:lineRule="auto"/>
        <w:jc w:val="both"/>
      </w:pPr>
      <w:r>
        <w:rPr>
          <w:rFonts w:ascii="Arial" w:hAnsi="Arial" w:eastAsia="Arial" w:cs="Arial"/>
          <w:sz w:val="24"/>
          <w:szCs w:val="24"/>
        </w:rPr>
        <w:t>The majority of prior work treats health-state boundaries as given assumptions: fixed TTF thresholds are used to label data, and models are evaluated on classification or prediction accuracy without questioning whether the thresholds themselves are physically meaningful [11], [12], [13]. This is a key gap in the literature. Our project specifically addresses this gap by treating the 60%/90% TTF heuristic as a hypothesis to be tested rather than an assumption to be used. By constructing data-driven HIs via PCA and applying CPD (PELT and BinSeg) to detect transitions from the signal itself, we compare the empirically detected change points against the heuristic boundaries to evaluate their validity.</w:t>
      </w:r>
    </w:p>
    <w:p w14:paraId="1F72ECE7">
      <w:pPr>
        <w:spacing w:before="80" w:after="80" w:line="320" w:lineRule="auto"/>
        <w:jc w:val="both"/>
      </w:pPr>
      <w:r>
        <w:rPr>
          <w:rFonts w:ascii="Arial" w:hAnsi="Arial" w:eastAsia="Arial" w:cs="Arial"/>
          <w:sz w:val="24"/>
          <w:szCs w:val="24"/>
        </w:rPr>
        <w:t>Furthermore, while most studies focus on vibration signals exclusively [6], [10], [11], our project constructs three HI variants—vibration-only (HI-V), temperature-only (HI-T), and combined (HI-VT)—providing a comparative analysis of the information contributed by each signal modality. This multi-modal approach, combined with the interpretability-first design principle, constitutes the primary methodological contribution of the present research.</w:t>
      </w:r>
    </w:p>
    <w:p w14:paraId="4042CFD8">
      <w:pPr>
        <w:spacing w:before="60" w:after="60"/>
      </w:pPr>
    </w:p>
    <w:p w14:paraId="34812DD1">
      <w:pPr>
        <w:pStyle w:val="2"/>
        <w:spacing w:before="360" w:after="180"/>
      </w:pPr>
      <w:r>
        <w:rPr>
          <w:rFonts w:ascii="Arial" w:hAnsi="Arial" w:eastAsia="Arial" w:cs="Arial"/>
          <w:b/>
          <w:bCs/>
          <w:sz w:val="28"/>
          <w:szCs w:val="28"/>
        </w:rPr>
        <w:t>II</w:t>
      </w:r>
      <w:bookmarkStart w:id="0" w:name="_GoBack"/>
      <w:bookmarkEnd w:id="0"/>
      <w:r>
        <w:rPr>
          <w:rFonts w:ascii="Arial" w:hAnsi="Arial" w:eastAsia="Arial" w:cs="Arial"/>
          <w:b/>
          <w:bCs/>
          <w:sz w:val="28"/>
          <w:szCs w:val="28"/>
        </w:rPr>
        <w:t>. SUMMARY OF REVIEWED LITERATURE</w:t>
      </w:r>
    </w:p>
    <w:p w14:paraId="053D3AFA">
      <w:pPr>
        <w:spacing w:before="80" w:after="80" w:line="320" w:lineRule="auto"/>
        <w:jc w:val="both"/>
      </w:pPr>
      <w:r>
        <w:rPr>
          <w:rFonts w:ascii="Arial" w:hAnsi="Arial" w:eastAsia="Arial" w:cs="Arial"/>
          <w:sz w:val="24"/>
          <w:szCs w:val="24"/>
        </w:rPr>
        <w:t>Table I summarizes the 12 key papers reviewed, organized by the four analysis dimensions required by the task.</w:t>
      </w:r>
    </w:p>
    <w:p w14:paraId="0A70009E">
      <w:pPr>
        <w:spacing w:before="60" w:after="60"/>
      </w:pPr>
    </w:p>
    <w:p w14:paraId="5FC447EF">
      <w:pPr>
        <w:spacing w:before="60" w:after="120"/>
        <w:jc w:val="center"/>
      </w:pPr>
      <w:r>
        <w:rPr>
          <w:rFonts w:ascii="Arial" w:hAnsi="Arial" w:eastAsia="Arial" w:cs="Arial"/>
          <w:b/>
          <w:bCs/>
          <w:i/>
          <w:iCs/>
          <w:sz w:val="22"/>
          <w:szCs w:val="22"/>
        </w:rPr>
        <w:t>TABLE I. Summary of Related Works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
        <w:gridCol w:w="1325"/>
        <w:gridCol w:w="1447"/>
        <w:gridCol w:w="1421"/>
        <w:gridCol w:w="1191"/>
        <w:gridCol w:w="1110"/>
        <w:gridCol w:w="2031"/>
      </w:tblGrid>
      <w:tr w14:paraId="5E2A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80" w:type="dxa"/>
              <w:bottom w:w="80" w:type="dxa"/>
              <w:right w:w="80" w:type="dxa"/>
            </w:tcMar>
          </w:tcPr>
          <w:p w14:paraId="69305638">
            <w:r>
              <w:rPr>
                <w:rFonts w:ascii="Arial" w:hAnsi="Arial" w:eastAsia="Arial" w:cs="Arial"/>
                <w:b/>
                <w:bCs/>
                <w:color w:val="FFFFFF"/>
                <w:sz w:val="18"/>
                <w:szCs w:val="18"/>
              </w:rPr>
              <w:t>Ref.</w:t>
            </w:r>
          </w:p>
        </w:tc>
        <w:tc>
          <w:tcPr>
            <w:tcW w:w="14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80" w:type="dxa"/>
              <w:bottom w:w="80" w:type="dxa"/>
              <w:right w:w="80" w:type="dxa"/>
            </w:tcMar>
          </w:tcPr>
          <w:p w14:paraId="016B5181">
            <w:r>
              <w:rPr>
                <w:rFonts w:ascii="Arial" w:hAnsi="Arial" w:eastAsia="Arial" w:cs="Arial"/>
                <w:b/>
                <w:bCs/>
                <w:color w:val="FFFFFF"/>
                <w:sz w:val="18"/>
                <w:szCs w:val="18"/>
              </w:rPr>
              <w:t>Authors (Year)</w:t>
            </w:r>
          </w:p>
        </w:tc>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80" w:type="dxa"/>
              <w:bottom w:w="80" w:type="dxa"/>
              <w:right w:w="80" w:type="dxa"/>
            </w:tcMar>
          </w:tcPr>
          <w:p w14:paraId="2DD19D76">
            <w:r>
              <w:rPr>
                <w:rFonts w:ascii="Arial" w:hAnsi="Arial" w:eastAsia="Arial" w:cs="Arial"/>
                <w:b/>
                <w:bCs/>
                <w:color w:val="FFFFFF"/>
                <w:sz w:val="18"/>
                <w:szCs w:val="18"/>
              </w:rPr>
              <w:t>Title / Topic</w:t>
            </w:r>
          </w:p>
        </w:tc>
        <w:tc>
          <w:tcPr>
            <w:tcW w:w="14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80" w:type="dxa"/>
              <w:bottom w:w="80" w:type="dxa"/>
              <w:right w:w="80" w:type="dxa"/>
            </w:tcMar>
          </w:tcPr>
          <w:p w14:paraId="4FC97A10">
            <w:r>
              <w:rPr>
                <w:rFonts w:ascii="Arial" w:hAnsi="Arial" w:eastAsia="Arial" w:cs="Arial"/>
                <w:b/>
                <w:bCs/>
                <w:color w:val="FFFFFF"/>
                <w:sz w:val="18"/>
                <w:szCs w:val="18"/>
              </w:rPr>
              <w:t>Problem Addressed</w:t>
            </w:r>
          </w:p>
        </w:tc>
        <w:tc>
          <w:tcPr>
            <w:tcW w:w="1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80" w:type="dxa"/>
              <w:bottom w:w="80" w:type="dxa"/>
              <w:right w:w="80" w:type="dxa"/>
            </w:tcMar>
          </w:tcPr>
          <w:p w14:paraId="370C67ED">
            <w:r>
              <w:rPr>
                <w:rFonts w:ascii="Arial" w:hAnsi="Arial" w:eastAsia="Arial" w:cs="Arial"/>
                <w:b/>
                <w:bCs/>
                <w:color w:val="FFFFFF"/>
                <w:sz w:val="18"/>
                <w:szCs w:val="18"/>
              </w:rPr>
              <w:t>Features Used</w:t>
            </w:r>
          </w:p>
        </w:tc>
        <w:tc>
          <w:tcPr>
            <w:tcW w:w="12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80" w:type="dxa"/>
              <w:bottom w:w="80" w:type="dxa"/>
              <w:right w:w="80" w:type="dxa"/>
            </w:tcMar>
          </w:tcPr>
          <w:p w14:paraId="6BC8EC83">
            <w:r>
              <w:rPr>
                <w:rFonts w:ascii="Arial" w:hAnsi="Arial" w:eastAsia="Arial" w:cs="Arial"/>
                <w:b/>
                <w:bCs/>
                <w:color w:val="FFFFFF"/>
                <w:sz w:val="18"/>
                <w:szCs w:val="18"/>
              </w:rPr>
              <w:t>HI Method</w:t>
            </w:r>
          </w:p>
        </w:tc>
        <w:tc>
          <w:tcPr>
            <w:tcW w:w="1626" w:type="dxa"/>
            <w:tcBorders>
              <w:top w:val="single" w:color="2E75B6" w:sz="0" w:space="0"/>
              <w:left w:val="single" w:color="2E75B6" w:sz="0" w:space="0"/>
              <w:bottom w:val="single" w:color="2E75B6" w:sz="0" w:space="0"/>
              <w:right w:val="single" w:color="2E75B6" w:sz="0" w:space="0"/>
            </w:tcBorders>
            <w:shd w:val="clear" w:color="auto" w:fill="2E75B6"/>
            <w:tcMar>
              <w:top w:w="80" w:type="dxa"/>
              <w:left w:w="80" w:type="dxa"/>
              <w:bottom w:w="80" w:type="dxa"/>
              <w:right w:w="80" w:type="dxa"/>
            </w:tcMar>
          </w:tcPr>
          <w:p w14:paraId="7BD7C4F5">
            <w:r>
              <w:rPr>
                <w:rFonts w:ascii="Arial" w:hAnsi="Arial" w:eastAsia="Arial" w:cs="Arial"/>
                <w:b/>
                <w:bCs/>
                <w:color w:val="FFFFFF"/>
                <w:sz w:val="18"/>
                <w:szCs w:val="18"/>
              </w:rPr>
              <w:t>Degradation Detection</w:t>
            </w:r>
          </w:p>
        </w:tc>
      </w:tr>
      <w:tr w14:paraId="65388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F7080A8">
            <w:r>
              <w:rPr>
                <w:rFonts w:ascii="Arial" w:hAnsi="Arial" w:eastAsia="Arial" w:cs="Arial"/>
                <w:sz w:val="18"/>
                <w:szCs w:val="18"/>
              </w:rPr>
              <w:t>[1]</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24E3C80">
            <w:r>
              <w:rPr>
                <w:rFonts w:ascii="Arial" w:hAnsi="Arial" w:eastAsia="Arial" w:cs="Arial"/>
                <w:sz w:val="18"/>
                <w:szCs w:val="18"/>
              </w:rPr>
              <w:t>Howard (1994)</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6D59A426">
            <w:r>
              <w:rPr>
                <w:rFonts w:ascii="Arial" w:hAnsi="Arial" w:eastAsia="Arial" w:cs="Arial"/>
                <w:sz w:val="18"/>
                <w:szCs w:val="18"/>
              </w:rPr>
              <w:t>Review of Rolling Element Vibration: Detection, Diagnosis, Prognosis</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40CC80F3">
            <w:r>
              <w:rPr>
                <w:rFonts w:ascii="Arial" w:hAnsi="Arial" w:eastAsia="Arial" w:cs="Arial"/>
                <w:sz w:val="18"/>
                <w:szCs w:val="18"/>
              </w:rPr>
              <w:t>Theoretical foundation for vibration-based bearing monitoring</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6BCB3C3">
            <w:r>
              <w:rPr>
                <w:rFonts w:ascii="Arial" w:hAnsi="Arial" w:eastAsia="Arial" w:cs="Arial"/>
                <w:sz w:val="18"/>
                <w:szCs w:val="18"/>
              </w:rPr>
              <w:t>RMS, Peak, Kurtosis</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8362C18">
            <w:r>
              <w:rPr>
                <w:rFonts w:ascii="Arial" w:hAnsi="Arial" w:eastAsia="Arial" w:cs="Arial"/>
                <w:sz w:val="18"/>
                <w:szCs w:val="18"/>
              </w:rPr>
              <w:t>N/A (survey)</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5E9B15D">
            <w:r>
              <w:rPr>
                <w:rFonts w:ascii="Arial" w:hAnsi="Arial" w:eastAsia="Arial" w:cs="Arial"/>
                <w:sz w:val="18"/>
                <w:szCs w:val="18"/>
              </w:rPr>
              <w:t>Statistical threshold</w:t>
            </w:r>
          </w:p>
        </w:tc>
      </w:tr>
      <w:tr w14:paraId="70F9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6FE4B155">
            <w:r>
              <w:rPr>
                <w:rFonts w:ascii="Arial" w:hAnsi="Arial" w:eastAsia="Arial" w:cs="Arial"/>
                <w:sz w:val="18"/>
                <w:szCs w:val="18"/>
              </w:rPr>
              <w:t>[2]</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C98BAF5">
            <w:r>
              <w:rPr>
                <w:rFonts w:ascii="Arial" w:hAnsi="Arial" w:eastAsia="Arial" w:cs="Arial"/>
                <w:sz w:val="18"/>
                <w:szCs w:val="18"/>
              </w:rPr>
              <w:t>Moshrefzadeh &amp; Fasana (2016)</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22AF747">
            <w:r>
              <w:rPr>
                <w:rFonts w:ascii="Arial" w:hAnsi="Arial" w:eastAsia="Arial" w:cs="Arial"/>
                <w:sz w:val="18"/>
                <w:szCs w:val="18"/>
              </w:rPr>
              <w:t>Vibration-based condition assessment using RMS, Kurtosis, Peak</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9B8AF5E">
            <w:r>
              <w:rPr>
                <w:rFonts w:ascii="Arial" w:hAnsi="Arial" w:eastAsia="Arial" w:cs="Arial"/>
                <w:sz w:val="18"/>
                <w:szCs w:val="18"/>
              </w:rPr>
              <w:t>Sensitivity of time-domain features under varying load &amp; speed</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6331322">
            <w:r>
              <w:rPr>
                <w:rFonts w:ascii="Arial" w:hAnsi="Arial" w:eastAsia="Arial" w:cs="Arial"/>
                <w:sz w:val="18"/>
                <w:szCs w:val="18"/>
              </w:rPr>
              <w:t>RMS, Kurtosis, Peak, Crest Factor</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4550FDF">
            <w:r>
              <w:rPr>
                <w:rFonts w:ascii="Arial" w:hAnsi="Arial" w:eastAsia="Arial" w:cs="Arial"/>
                <w:sz w:val="18"/>
                <w:szCs w:val="18"/>
              </w:rPr>
              <w:t>N/A (feature study)</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916D27A">
            <w:r>
              <w:rPr>
                <w:rFonts w:ascii="Arial" w:hAnsi="Arial" w:eastAsia="Arial" w:cs="Arial"/>
                <w:sz w:val="18"/>
                <w:szCs w:val="18"/>
              </w:rPr>
              <w:t>Threshold on RMS/Kurtosis</w:t>
            </w:r>
          </w:p>
        </w:tc>
      </w:tr>
      <w:tr w14:paraId="675C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1BC4E93">
            <w:r>
              <w:rPr>
                <w:rFonts w:ascii="Arial" w:hAnsi="Arial" w:eastAsia="Arial" w:cs="Arial"/>
                <w:sz w:val="18"/>
                <w:szCs w:val="18"/>
              </w:rPr>
              <w:t>[3]</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69A39A98">
            <w:r>
              <w:rPr>
                <w:rFonts w:ascii="Arial" w:hAnsi="Arial" w:eastAsia="Arial" w:cs="Arial"/>
                <w:sz w:val="18"/>
                <w:szCs w:val="18"/>
              </w:rPr>
              <w:t>Islam et al. (2021)</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6479DB75">
            <w:r>
              <w:rPr>
                <w:rFonts w:ascii="Arial" w:hAnsi="Arial" w:eastAsia="Arial" w:cs="Arial"/>
                <w:sz w:val="18"/>
                <w:szCs w:val="18"/>
              </w:rPr>
              <w:t>Explainable AI for unsupervised bearing fault detection</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F32C0A3">
            <w:r>
              <w:rPr>
                <w:rFonts w:ascii="Arial" w:hAnsi="Arial" w:eastAsia="Arial" w:cs="Arial"/>
                <w:sz w:val="18"/>
                <w:szCs w:val="18"/>
              </w:rPr>
              <w:t>Fault detection without labeled data</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0ECB6B5">
            <w:r>
              <w:rPr>
                <w:rFonts w:ascii="Arial" w:hAnsi="Arial" w:eastAsia="Arial" w:cs="Arial"/>
                <w:sz w:val="18"/>
                <w:szCs w:val="18"/>
              </w:rPr>
              <w:t>Kurtosis, RMS, BPFI, BPFO, BSF</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CB44CBE">
            <w:r>
              <w:rPr>
                <w:rFonts w:ascii="Arial" w:hAnsi="Arial" w:eastAsia="Arial" w:cs="Arial"/>
                <w:sz w:val="18"/>
                <w:szCs w:val="18"/>
              </w:rPr>
              <w:t>No HI (anomaly score)</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313C863">
            <w:r>
              <w:rPr>
                <w:rFonts w:ascii="Arial" w:hAnsi="Arial" w:eastAsia="Arial" w:cs="Arial"/>
                <w:sz w:val="18"/>
                <w:szCs w:val="18"/>
              </w:rPr>
              <w:t>DBSCAN + density-ratio</w:t>
            </w:r>
          </w:p>
        </w:tc>
      </w:tr>
      <w:tr w14:paraId="6AA1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E202548">
            <w:r>
              <w:rPr>
                <w:rFonts w:ascii="Arial" w:hAnsi="Arial" w:eastAsia="Arial" w:cs="Arial"/>
                <w:sz w:val="18"/>
                <w:szCs w:val="18"/>
              </w:rPr>
              <w:t>[4]</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CAAF304">
            <w:r>
              <w:rPr>
                <w:rFonts w:ascii="Arial" w:hAnsi="Arial" w:eastAsia="Arial" w:cs="Arial"/>
                <w:sz w:val="18"/>
                <w:szCs w:val="18"/>
              </w:rPr>
              <w:t>Tian et al. (2012)</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C1F04A0">
            <w:r>
              <w:rPr>
                <w:rFonts w:ascii="Arial" w:hAnsi="Arial" w:eastAsia="Arial" w:cs="Arial"/>
                <w:sz w:val="18"/>
                <w:szCs w:val="18"/>
              </w:rPr>
              <w:t>Spectral Kurtosis based on AR model for fault diagnosis</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8A3F731">
            <w:r>
              <w:rPr>
                <w:rFonts w:ascii="Arial" w:hAnsi="Arial" w:eastAsia="Arial" w:cs="Arial"/>
                <w:sz w:val="18"/>
                <w:szCs w:val="18"/>
              </w:rPr>
              <w:t>Early incipient fault detection in frequency domain</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4350418A">
            <w:r>
              <w:rPr>
                <w:rFonts w:ascii="Arial" w:hAnsi="Arial" w:eastAsia="Arial" w:cs="Arial"/>
                <w:sz w:val="18"/>
                <w:szCs w:val="18"/>
              </w:rPr>
              <w:t>SK, RMS</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B6CED53">
            <w:r>
              <w:rPr>
                <w:rFonts w:ascii="Arial" w:hAnsi="Arial" w:eastAsia="Arial" w:cs="Arial"/>
                <w:sz w:val="18"/>
                <w:szCs w:val="18"/>
              </w:rPr>
              <w:t>No HI (spectral feature)</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7F0F0BE">
            <w:r>
              <w:rPr>
                <w:rFonts w:ascii="Arial" w:hAnsi="Arial" w:eastAsia="Arial" w:cs="Arial"/>
                <w:sz w:val="18"/>
                <w:szCs w:val="18"/>
              </w:rPr>
              <w:t>SK threshold</w:t>
            </w:r>
          </w:p>
        </w:tc>
      </w:tr>
      <w:tr w14:paraId="450F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AD03BF1">
            <w:r>
              <w:rPr>
                <w:rFonts w:ascii="Arial" w:hAnsi="Arial" w:eastAsia="Arial" w:cs="Arial"/>
                <w:sz w:val="18"/>
                <w:szCs w:val="18"/>
              </w:rPr>
              <w:t>[5]</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B5EC0CF">
            <w:r>
              <w:rPr>
                <w:rFonts w:ascii="Arial" w:hAnsi="Arial" w:eastAsia="Arial" w:cs="Arial"/>
                <w:sz w:val="18"/>
                <w:szCs w:val="18"/>
              </w:rPr>
              <w:t>Jung et al. (2024)</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4FC0D305">
            <w:r>
              <w:rPr>
                <w:rFonts w:ascii="Arial" w:hAnsi="Arial" w:eastAsia="Arial" w:cs="Arial"/>
                <w:sz w:val="18"/>
                <w:szCs w:val="18"/>
              </w:rPr>
              <w:t>Vibration &amp; Temperature Run-to-Failure Dataset (Mendeley)</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38C7C13">
            <w:r>
              <w:rPr>
                <w:rFonts w:ascii="Arial" w:hAnsi="Arial" w:eastAsia="Arial" w:cs="Arial"/>
                <w:sz w:val="18"/>
                <w:szCs w:val="18"/>
              </w:rPr>
              <w:t>Public dataset for bearing RUL research</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6FE728E">
            <w:r>
              <w:rPr>
                <w:rFonts w:ascii="Arial" w:hAnsi="Arial" w:eastAsia="Arial" w:cs="Arial"/>
                <w:sz w:val="18"/>
                <w:szCs w:val="18"/>
              </w:rPr>
              <w:t>Vib X, Vib Y, Bearing Temp, Ambient Temp</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B455DFD">
            <w:r>
              <w:rPr>
                <w:rFonts w:ascii="Arial" w:hAnsi="Arial" w:eastAsia="Arial" w:cs="Arial"/>
                <w:sz w:val="18"/>
                <w:szCs w:val="18"/>
              </w:rPr>
              <w:t>N/A (dataset paper)</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C6720B4">
            <w:r>
              <w:rPr>
                <w:rFonts w:ascii="Arial" w:hAnsi="Arial" w:eastAsia="Arial" w:cs="Arial"/>
                <w:sz w:val="18"/>
                <w:szCs w:val="18"/>
              </w:rPr>
              <w:t>Dataset used for evaluation</w:t>
            </w:r>
          </w:p>
        </w:tc>
      </w:tr>
      <w:tr w14:paraId="1E7D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4E273B2F">
            <w:r>
              <w:rPr>
                <w:rFonts w:ascii="Arial" w:hAnsi="Arial" w:eastAsia="Arial" w:cs="Arial"/>
                <w:sz w:val="18"/>
                <w:szCs w:val="18"/>
              </w:rPr>
              <w:t>[6]</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BD77A1A">
            <w:r>
              <w:rPr>
                <w:rFonts w:ascii="Arial" w:hAnsi="Arial" w:eastAsia="Arial" w:cs="Arial"/>
                <w:sz w:val="18"/>
                <w:szCs w:val="18"/>
              </w:rPr>
              <w:t>Javed et al. (2014)</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5A7C9371">
            <w:r>
              <w:rPr>
                <w:rFonts w:ascii="Arial" w:hAnsi="Arial" w:eastAsia="Arial" w:cs="Arial"/>
                <w:sz w:val="18"/>
                <w:szCs w:val="18"/>
              </w:rPr>
              <w:t>Enabling health monitoring via vibration data for prognostics</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682FBD1">
            <w:r>
              <w:rPr>
                <w:rFonts w:ascii="Arial" w:hAnsi="Arial" w:eastAsia="Arial" w:cs="Arial"/>
                <w:sz w:val="18"/>
                <w:szCs w:val="18"/>
              </w:rPr>
              <w:t>PCA-based HI for RUL on PRONOSTIA dataset</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D0F1CB3">
            <w:r>
              <w:rPr>
                <w:rFonts w:ascii="Arial" w:hAnsi="Arial" w:eastAsia="Arial" w:cs="Arial"/>
                <w:sz w:val="18"/>
                <w:szCs w:val="18"/>
              </w:rPr>
              <w:t>RMS, Kurtosis, Skewness, Crest Factor</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6EA8EC27">
            <w:r>
              <w:rPr>
                <w:rFonts w:ascii="Arial" w:hAnsi="Arial" w:eastAsia="Arial" w:cs="Arial"/>
                <w:sz w:val="18"/>
                <w:szCs w:val="18"/>
              </w:rPr>
              <w:t>PCA → PC1 as HI</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AD9409B">
            <w:r>
              <w:rPr>
                <w:rFonts w:ascii="Arial" w:hAnsi="Arial" w:eastAsia="Arial" w:cs="Arial"/>
                <w:sz w:val="18"/>
                <w:szCs w:val="18"/>
              </w:rPr>
              <w:t>Threshold on HI</w:t>
            </w:r>
          </w:p>
        </w:tc>
      </w:tr>
      <w:tr w14:paraId="6293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41A2A49">
            <w:r>
              <w:rPr>
                <w:rFonts w:ascii="Arial" w:hAnsi="Arial" w:eastAsia="Arial" w:cs="Arial"/>
                <w:sz w:val="18"/>
                <w:szCs w:val="18"/>
              </w:rPr>
              <w:t>[7]</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39C2422">
            <w:r>
              <w:rPr>
                <w:rFonts w:ascii="Arial" w:hAnsi="Arial" w:eastAsia="Arial" w:cs="Arial"/>
                <w:sz w:val="18"/>
                <w:szCs w:val="18"/>
              </w:rPr>
              <w:t>IEEE Conf. (2024)</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3E0F955">
            <w:r>
              <w:rPr>
                <w:rFonts w:ascii="Arial" w:hAnsi="Arial" w:eastAsia="Arial" w:cs="Arial"/>
                <w:sz w:val="18"/>
                <w:szCs w:val="18"/>
              </w:rPr>
              <w:t>Real Options for Maintenance Scheduling with PCA HI</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56A317E">
            <w:r>
              <w:rPr>
                <w:rFonts w:ascii="Arial" w:hAnsi="Arial" w:eastAsia="Arial" w:cs="Arial"/>
                <w:sz w:val="18"/>
                <w:szCs w:val="18"/>
              </w:rPr>
              <w:t>PCA HI for maintenance planning in manufacturing</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63FD607">
            <w:r>
              <w:rPr>
                <w:rFonts w:ascii="Arial" w:hAnsi="Arial" w:eastAsia="Arial" w:cs="Arial"/>
                <w:sz w:val="18"/>
                <w:szCs w:val="18"/>
              </w:rPr>
              <w:t>Time-domain + Frequency-domain</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5109B491">
            <w:r>
              <w:rPr>
                <w:rFonts w:ascii="Arial" w:hAnsi="Arial" w:eastAsia="Arial" w:cs="Arial"/>
                <w:sz w:val="18"/>
                <w:szCs w:val="18"/>
              </w:rPr>
              <w:t>PCA → HI for EWP model</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2426485">
            <w:r>
              <w:rPr>
                <w:rFonts w:ascii="Arial" w:hAnsi="Arial" w:eastAsia="Arial" w:cs="Arial"/>
                <w:sz w:val="18"/>
                <w:szCs w:val="18"/>
              </w:rPr>
              <w:t>Exponential Wiener Process</w:t>
            </w:r>
          </w:p>
        </w:tc>
      </w:tr>
      <w:tr w14:paraId="61C6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AFC7387">
            <w:r>
              <w:rPr>
                <w:rFonts w:ascii="Arial" w:hAnsi="Arial" w:eastAsia="Arial" w:cs="Arial"/>
                <w:sz w:val="18"/>
                <w:szCs w:val="18"/>
              </w:rPr>
              <w:t>[8]</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C53A6BF">
            <w:r>
              <w:rPr>
                <w:rFonts w:ascii="Arial" w:hAnsi="Arial" w:eastAsia="Arial" w:cs="Arial"/>
                <w:sz w:val="18"/>
                <w:szCs w:val="18"/>
              </w:rPr>
              <w:t>Wang et al. (2024)</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5CAF544">
            <w:r>
              <w:rPr>
                <w:rFonts w:ascii="Arial" w:hAnsi="Arial" w:eastAsia="Arial" w:cs="Arial"/>
                <w:sz w:val="18"/>
                <w:szCs w:val="18"/>
              </w:rPr>
              <w:t>Review of rolling bearing performance degradation trend prediction</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5C2A9DA1">
            <w:r>
              <w:rPr>
                <w:rFonts w:ascii="Arial" w:hAnsi="Arial" w:eastAsia="Arial" w:cs="Arial"/>
                <w:sz w:val="18"/>
                <w:szCs w:val="18"/>
              </w:rPr>
              <w:t>Comprehensive survey of HI and RUL methods</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605E9FAC">
            <w:r>
              <w:rPr>
                <w:rFonts w:ascii="Arial" w:hAnsi="Arial" w:eastAsia="Arial" w:cs="Arial"/>
                <w:sz w:val="18"/>
                <w:szCs w:val="18"/>
              </w:rPr>
              <w:t>Various (survey)</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6DD6E69C">
            <w:r>
              <w:rPr>
                <w:rFonts w:ascii="Arial" w:hAnsi="Arial" w:eastAsia="Arial" w:cs="Arial"/>
                <w:sz w:val="18"/>
                <w:szCs w:val="18"/>
              </w:rPr>
              <w:t>PCA, KPCA, DL-based</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FABF1E8">
            <w:r>
              <w:rPr>
                <w:rFonts w:ascii="Arial" w:hAnsi="Arial" w:eastAsia="Arial" w:cs="Arial"/>
                <w:sz w:val="18"/>
                <w:szCs w:val="18"/>
              </w:rPr>
              <w:t>Regression, Bayesian, DL</w:t>
            </w:r>
          </w:p>
        </w:tc>
      </w:tr>
      <w:tr w14:paraId="55CC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40492F1">
            <w:r>
              <w:rPr>
                <w:rFonts w:ascii="Arial" w:hAnsi="Arial" w:eastAsia="Arial" w:cs="Arial"/>
                <w:sz w:val="18"/>
                <w:szCs w:val="18"/>
              </w:rPr>
              <w:t>[9]</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67FC311F">
            <w:r>
              <w:rPr>
                <w:rFonts w:ascii="Arial" w:hAnsi="Arial" w:eastAsia="Arial" w:cs="Arial"/>
                <w:sz w:val="18"/>
                <w:szCs w:val="18"/>
              </w:rPr>
              <w:t>Liu et al. (2022)</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7B1C9AB">
            <w:r>
              <w:rPr>
                <w:rFonts w:ascii="Arial" w:hAnsi="Arial" w:eastAsia="Arial" w:cs="Arial"/>
                <w:sz w:val="18"/>
                <w:szCs w:val="18"/>
              </w:rPr>
              <w:t>CEEMDAN + KPCA nonlinear HI for RUL</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1862051">
            <w:r>
              <w:rPr>
                <w:rFonts w:ascii="Arial" w:hAnsi="Arial" w:eastAsia="Arial" w:cs="Arial"/>
                <w:sz w:val="18"/>
                <w:szCs w:val="18"/>
              </w:rPr>
              <w:t>Nonlinear HI construction for complex degradation</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538033ED">
            <w:r>
              <w:rPr>
                <w:rFonts w:ascii="Arial" w:hAnsi="Arial" w:eastAsia="Arial" w:cs="Arial"/>
                <w:sz w:val="18"/>
                <w:szCs w:val="18"/>
              </w:rPr>
              <w:t>Time-freq features</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5DDE7E1">
            <w:r>
              <w:rPr>
                <w:rFonts w:ascii="Arial" w:hAnsi="Arial" w:eastAsia="Arial" w:cs="Arial"/>
                <w:sz w:val="18"/>
                <w:szCs w:val="18"/>
              </w:rPr>
              <w:t>KPCA (nonlinear PCA)</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75F360C">
            <w:r>
              <w:rPr>
                <w:rFonts w:ascii="Arial" w:hAnsi="Arial" w:eastAsia="Arial" w:cs="Arial"/>
                <w:sz w:val="18"/>
                <w:szCs w:val="18"/>
              </w:rPr>
              <w:t>3sigma criterion + Wiener</w:t>
            </w:r>
          </w:p>
        </w:tc>
      </w:tr>
      <w:tr w14:paraId="6F4F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49A4F7A4">
            <w:r>
              <w:rPr>
                <w:rFonts w:ascii="Arial" w:hAnsi="Arial" w:eastAsia="Arial" w:cs="Arial"/>
                <w:sz w:val="18"/>
                <w:szCs w:val="18"/>
              </w:rPr>
              <w:t>[10]</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F3DDB40">
            <w:r>
              <w:rPr>
                <w:rFonts w:ascii="Arial" w:hAnsi="Arial" w:eastAsia="Arial" w:cs="Arial"/>
                <w:sz w:val="18"/>
                <w:szCs w:val="18"/>
              </w:rPr>
              <w:t>Nectoux et al. (2012)</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27F4698">
            <w:r>
              <w:rPr>
                <w:rFonts w:ascii="Arial" w:hAnsi="Arial" w:eastAsia="Arial" w:cs="Arial"/>
                <w:sz w:val="18"/>
                <w:szCs w:val="18"/>
              </w:rPr>
              <w:t>PRONOSTIA: Experimental Platform for Bearing Degradation Tests</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590FDBB">
            <w:r>
              <w:rPr>
                <w:rFonts w:ascii="Arial" w:hAnsi="Arial" w:eastAsia="Arial" w:cs="Arial"/>
                <w:sz w:val="18"/>
                <w:szCs w:val="18"/>
              </w:rPr>
              <w:t>Benchmark run-to-failure dataset</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68E51C6">
            <w:r>
              <w:rPr>
                <w:rFonts w:ascii="Arial" w:hAnsi="Arial" w:eastAsia="Arial" w:cs="Arial"/>
                <w:sz w:val="18"/>
                <w:szCs w:val="18"/>
              </w:rPr>
              <w:t>Vib H/V, Temperature</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2CE06E6">
            <w:r>
              <w:rPr>
                <w:rFonts w:ascii="Arial" w:hAnsi="Arial" w:eastAsia="Arial" w:cs="Arial"/>
                <w:sz w:val="18"/>
                <w:szCs w:val="18"/>
              </w:rPr>
              <w:t>N/A (dataset paper)</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2912975">
            <w:r>
              <w:rPr>
                <w:rFonts w:ascii="Arial" w:hAnsi="Arial" w:eastAsia="Arial" w:cs="Arial"/>
                <w:sz w:val="18"/>
                <w:szCs w:val="18"/>
              </w:rPr>
              <w:t>RUL competition baseline</w:t>
            </w:r>
          </w:p>
        </w:tc>
      </w:tr>
      <w:tr w14:paraId="3027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C42897D">
            <w:r>
              <w:rPr>
                <w:rFonts w:ascii="Arial" w:hAnsi="Arial" w:eastAsia="Arial" w:cs="Arial"/>
                <w:sz w:val="18"/>
                <w:szCs w:val="18"/>
              </w:rPr>
              <w:t>[11]</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958287C">
            <w:r>
              <w:rPr>
                <w:rFonts w:ascii="Arial" w:hAnsi="Arial" w:eastAsia="Arial" w:cs="Arial"/>
                <w:sz w:val="18"/>
                <w:szCs w:val="18"/>
              </w:rPr>
              <w:t>Wang et al. (2020)</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E0E6C75">
            <w:r>
              <w:rPr>
                <w:rFonts w:ascii="Arial" w:hAnsi="Arial" w:eastAsia="Arial" w:cs="Arial"/>
                <w:sz w:val="18"/>
                <w:szCs w:val="18"/>
              </w:rPr>
              <w:t>Hybrid Prognostics for Rolling Element Bearings (IEEE Trans. Reliability)</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51F1B14F">
            <w:r>
              <w:rPr>
                <w:rFonts w:ascii="Arial" w:hAnsi="Arial" w:eastAsia="Arial" w:cs="Arial"/>
                <w:sz w:val="18"/>
                <w:szCs w:val="18"/>
              </w:rPr>
              <w:t>RUL prediction across degradation stages</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63FD5C56">
            <w:r>
              <w:rPr>
                <w:rFonts w:ascii="Arial" w:hAnsi="Arial" w:eastAsia="Arial" w:cs="Arial"/>
                <w:sz w:val="18"/>
                <w:szCs w:val="18"/>
              </w:rPr>
              <w:t>RMS, DL features</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4E58556">
            <w:r>
              <w:rPr>
                <w:rFonts w:ascii="Arial" w:hAnsi="Arial" w:eastAsia="Arial" w:cs="Arial"/>
                <w:sz w:val="18"/>
                <w:szCs w:val="18"/>
              </w:rPr>
              <w:t>Stage-based + exponential</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5CFD82A">
            <w:r>
              <w:rPr>
                <w:rFonts w:ascii="Arial" w:hAnsi="Arial" w:eastAsia="Arial" w:cs="Arial"/>
                <w:sz w:val="18"/>
                <w:szCs w:val="18"/>
              </w:rPr>
              <w:t>Three-stage: Normal/Smooth/Severe</w:t>
            </w:r>
          </w:p>
        </w:tc>
      </w:tr>
      <w:tr w14:paraId="6721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BD90FA7">
            <w:r>
              <w:rPr>
                <w:rFonts w:ascii="Arial" w:hAnsi="Arial" w:eastAsia="Arial" w:cs="Arial"/>
                <w:sz w:val="18"/>
                <w:szCs w:val="18"/>
              </w:rPr>
              <w:t>[12]</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7BB7D8D0">
            <w:r>
              <w:rPr>
                <w:rFonts w:ascii="Arial" w:hAnsi="Arial" w:eastAsia="Arial" w:cs="Arial"/>
                <w:sz w:val="18"/>
                <w:szCs w:val="18"/>
              </w:rPr>
              <w:t>Du et al. (2024)</w:t>
            </w:r>
          </w:p>
        </w:tc>
        <w:tc>
          <w:tcPr>
            <w:tcW w:w="2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0751638E">
            <w:r>
              <w:rPr>
                <w:rFonts w:ascii="Arial" w:hAnsi="Arial" w:eastAsia="Arial" w:cs="Arial"/>
                <w:sz w:val="18"/>
                <w:szCs w:val="18"/>
              </w:rPr>
              <w:t>PELT for Automatic Segmentation in Flat Steel Industry</w:t>
            </w:r>
          </w:p>
        </w:tc>
        <w:tc>
          <w:tcPr>
            <w:tcW w:w="1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4F45AB3F">
            <w:r>
              <w:rPr>
                <w:rFonts w:ascii="Arial" w:hAnsi="Arial" w:eastAsia="Arial" w:cs="Arial"/>
                <w:sz w:val="18"/>
                <w:szCs w:val="18"/>
              </w:rPr>
              <w:t>CPD for industrial vibration data segmentation</w:t>
            </w:r>
          </w:p>
        </w:tc>
        <w:tc>
          <w:tcPr>
            <w:tcW w:w="10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3FFF9D2B">
            <w:r>
              <w:rPr>
                <w:rFonts w:ascii="Arial" w:hAnsi="Arial" w:eastAsia="Arial" w:cs="Arial"/>
                <w:sz w:val="18"/>
                <w:szCs w:val="18"/>
              </w:rPr>
              <w:t>Vibration time-series</w:t>
            </w:r>
          </w:p>
        </w:tc>
        <w:tc>
          <w:tcPr>
            <w:tcW w:w="12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2D5522DF">
            <w:r>
              <w:rPr>
                <w:rFonts w:ascii="Arial" w:hAnsi="Arial" w:eastAsia="Arial" w:cs="Arial"/>
                <w:sz w:val="18"/>
                <w:szCs w:val="18"/>
              </w:rPr>
              <w:t>No HI (raw signal CPD)</w:t>
            </w:r>
          </w:p>
        </w:tc>
        <w:tc>
          <w:tcPr>
            <w:tcW w:w="11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tcPr>
          <w:p w14:paraId="1CAAC855">
            <w:r>
              <w:rPr>
                <w:rFonts w:ascii="Arial" w:hAnsi="Arial" w:eastAsia="Arial" w:cs="Arial"/>
                <w:sz w:val="18"/>
                <w:szCs w:val="18"/>
              </w:rPr>
              <w:t>PELT algorithm</w:t>
            </w:r>
          </w:p>
        </w:tc>
      </w:tr>
    </w:tbl>
    <w:p w14:paraId="08D15113">
      <w:pPr>
        <w:spacing w:before="60" w:after="60"/>
      </w:pPr>
    </w:p>
    <w:p w14:paraId="3066D813">
      <w:pPr>
        <w:spacing w:before="60" w:after="60"/>
      </w:pPr>
    </w:p>
    <w:p w14:paraId="7E87A72E">
      <w:pPr>
        <w:pStyle w:val="2"/>
        <w:spacing w:before="360" w:after="180"/>
      </w:pPr>
      <w:r>
        <w:rPr>
          <w:rFonts w:ascii="Arial" w:hAnsi="Arial" w:eastAsia="Arial" w:cs="Arial"/>
          <w:b/>
          <w:bCs/>
          <w:sz w:val="28"/>
          <w:szCs w:val="28"/>
        </w:rPr>
        <w:t>REFERENCES</w:t>
      </w:r>
    </w:p>
    <w:p w14:paraId="6A55A543">
      <w:pPr>
        <w:pStyle w:val="16"/>
        <w:numPr>
          <w:ilvl w:val="0"/>
          <w:numId w:val="1"/>
        </w:numPr>
        <w:spacing w:before="60" w:after="80" w:line="280" w:lineRule="auto"/>
      </w:pPr>
      <w:r>
        <w:rPr>
          <w:rFonts w:ascii="Arial" w:hAnsi="Arial" w:eastAsia="Arial" w:cs="Arial"/>
          <w:sz w:val="22"/>
          <w:szCs w:val="22"/>
        </w:rPr>
        <w:t>I. Howard, "A Review of Rolling Element Vibration: Detection, Diagnosis and Prognosis," Technical Report DSTO-RR-0013, Defence Science and Technology Organisation, Australia, 1994.</w:t>
      </w:r>
    </w:p>
    <w:p w14:paraId="0AAFCD40">
      <w:pPr>
        <w:pStyle w:val="16"/>
        <w:numPr>
          <w:ilvl w:val="0"/>
          <w:numId w:val="1"/>
        </w:numPr>
        <w:spacing w:before="60" w:after="80" w:line="280" w:lineRule="auto"/>
      </w:pPr>
      <w:r>
        <w:rPr>
          <w:rFonts w:ascii="Arial" w:hAnsi="Arial" w:eastAsia="Arial" w:cs="Arial"/>
          <w:sz w:val="22"/>
          <w:szCs w:val="22"/>
        </w:rPr>
        <w:t>A. Moshrefzadeh and A. Fasana, "Vibration based condition assessment of ball bearing," Journal of Measurements in Engineering, vol. 4, no. 2, pp. 98–107, Jun. 2016.</w:t>
      </w:r>
    </w:p>
    <w:p w14:paraId="7CD6961B">
      <w:pPr>
        <w:pStyle w:val="16"/>
        <w:numPr>
          <w:ilvl w:val="0"/>
          <w:numId w:val="1"/>
        </w:numPr>
        <w:spacing w:before="60" w:after="80" w:line="280" w:lineRule="auto"/>
      </w:pPr>
      <w:r>
        <w:rPr>
          <w:rFonts w:ascii="Arial" w:hAnsi="Arial" w:eastAsia="Arial" w:cs="Arial"/>
          <w:sz w:val="22"/>
          <w:szCs w:val="22"/>
        </w:rPr>
        <w:t>M. M. Islam, A. E. Prosvirin, and J.-M. Kim, "An Explainable Artificial Intelligence Approach for Unsupervised Fault Detection and Diagnosis in Rotating Machinery," arXiv:2102.11848, 2021.</w:t>
      </w:r>
    </w:p>
    <w:p w14:paraId="659200F2">
      <w:pPr>
        <w:pStyle w:val="16"/>
        <w:numPr>
          <w:ilvl w:val="0"/>
          <w:numId w:val="1"/>
        </w:numPr>
        <w:spacing w:before="60" w:after="80" w:line="280" w:lineRule="auto"/>
      </w:pPr>
      <w:r>
        <w:rPr>
          <w:rFonts w:ascii="Arial" w:hAnsi="Arial" w:eastAsia="Arial" w:cs="Arial"/>
          <w:sz w:val="22"/>
          <w:szCs w:val="22"/>
        </w:rPr>
        <w:t>X. Tian, J. Xi, and L. Zeng, "Spectral kurtosis based on AR model for fault diagnosis and condition monitoring of rolling bearing," Journal of Mechanical Science and Technology, vol. 26, no. 3, pp. 601–610, 2012.</w:t>
      </w:r>
    </w:p>
    <w:p w14:paraId="12352102">
      <w:pPr>
        <w:pStyle w:val="16"/>
        <w:numPr>
          <w:ilvl w:val="0"/>
          <w:numId w:val="1"/>
        </w:numPr>
        <w:spacing w:before="60" w:after="80" w:line="280" w:lineRule="auto"/>
      </w:pPr>
      <w:r>
        <w:rPr>
          <w:rFonts w:ascii="Arial" w:hAnsi="Arial" w:eastAsia="Arial" w:cs="Arial"/>
          <w:sz w:val="22"/>
          <w:szCs w:val="22"/>
        </w:rPr>
        <w:t>W. Jung, S.-H. Yun, and Y.-H. Park, "Vibration, and temperature run-to-failure dataset of ball bearing for prognostics," Data in Brief, vol. 54, p. 110403, Apr. 2024. [Online]. Available: https://doi.org/10.1016/j.dib.2024.110403</w:t>
      </w:r>
    </w:p>
    <w:p w14:paraId="53FF4407">
      <w:pPr>
        <w:pStyle w:val="16"/>
        <w:numPr>
          <w:ilvl w:val="0"/>
          <w:numId w:val="1"/>
        </w:numPr>
        <w:spacing w:before="60" w:after="80" w:line="280" w:lineRule="auto"/>
      </w:pPr>
      <w:r>
        <w:rPr>
          <w:rFonts w:ascii="Arial" w:hAnsi="Arial" w:eastAsia="Arial" w:cs="Arial"/>
          <w:sz w:val="22"/>
          <w:szCs w:val="22"/>
        </w:rPr>
        <w:t>K. Javed, R. Gouriveau, N. Zerhouni, and P. Nectoux, "Enabling health monitoring approach based on vibration data for accurate prognostics," IEEE Transactions on Industrial Electronics, vol. 62, no. 1, pp. 647–656, Jan. 2015.</w:t>
      </w:r>
    </w:p>
    <w:p w14:paraId="08F92E36">
      <w:pPr>
        <w:pStyle w:val="16"/>
        <w:numPr>
          <w:ilvl w:val="0"/>
          <w:numId w:val="1"/>
        </w:numPr>
        <w:spacing w:before="60" w:after="80" w:line="280" w:lineRule="auto"/>
      </w:pPr>
      <w:r>
        <w:rPr>
          <w:rFonts w:ascii="Arial" w:hAnsi="Arial" w:eastAsia="Arial" w:cs="Arial"/>
          <w:sz w:val="22"/>
          <w:szCs w:val="22"/>
        </w:rPr>
        <w:t>IEEE Conference Publication, "Real Options for Maintenance Scheduling with Bearing Degradation in Panel Manufacturer," in Proc. IEEE Conf. on Prognostics and Health Management, 2024. [Online]. Available: https://ieeexplore.ieee.org/document/10711660</w:t>
      </w:r>
    </w:p>
    <w:p w14:paraId="587B1ED5">
      <w:pPr>
        <w:pStyle w:val="16"/>
        <w:numPr>
          <w:ilvl w:val="0"/>
          <w:numId w:val="1"/>
        </w:numPr>
        <w:spacing w:before="60" w:after="80" w:line="280" w:lineRule="auto"/>
      </w:pPr>
      <w:r>
        <w:rPr>
          <w:rFonts w:ascii="Arial" w:hAnsi="Arial" w:eastAsia="Arial" w:cs="Arial"/>
          <w:sz w:val="22"/>
          <w:szCs w:val="22"/>
        </w:rPr>
        <w:t>Y. Wang, K. Lu, R. Dong, Y. Fan, and X. Jiang, "Review of rolling bearings performance degradation trend prediction," Proceedings of the Institution of Mechanical Engineers, Part O: Journal of Risk and Reliability, vol. 239, 2024. https://doi.org/10.1177/09574565241282690</w:t>
      </w:r>
    </w:p>
    <w:p w14:paraId="11A045A0">
      <w:pPr>
        <w:pStyle w:val="16"/>
        <w:numPr>
          <w:ilvl w:val="0"/>
          <w:numId w:val="1"/>
        </w:numPr>
        <w:spacing w:before="60" w:after="80" w:line="280" w:lineRule="auto"/>
      </w:pPr>
      <w:r>
        <w:rPr>
          <w:rFonts w:ascii="Arial" w:hAnsi="Arial" w:eastAsia="Arial" w:cs="Arial"/>
          <w:sz w:val="22"/>
          <w:szCs w:val="22"/>
        </w:rPr>
        <w:t>S. Liu et al., "A nonlinear health indicator for rolling bearing RUL prediction based on CEEMDAN and Kernel PCA," Measurement, vol. 197, p. 111285, 2022.</w:t>
      </w:r>
    </w:p>
    <w:p w14:paraId="589E409A">
      <w:pPr>
        <w:pStyle w:val="16"/>
        <w:numPr>
          <w:ilvl w:val="0"/>
          <w:numId w:val="1"/>
        </w:numPr>
        <w:spacing w:before="60" w:after="80" w:line="280" w:lineRule="auto"/>
      </w:pPr>
      <w:r>
        <w:rPr>
          <w:rFonts w:ascii="Arial" w:hAnsi="Arial" w:eastAsia="Arial" w:cs="Arial"/>
          <w:sz w:val="22"/>
          <w:szCs w:val="22"/>
        </w:rPr>
        <w:t>P. Nectoux, R. Gouriveau, K. Medjaher, E. Ramasso, B. Chebel-Morello, N. Zerhouni, and C. Varnier, "PRONOSTIA: An experimental platform for bearings accelerated degradation tests," in Proc. IEEE Int. Conf. on Prognostics and Health Management (PHM'12), Denver, CO, USA, Jun. 2012, pp. 1–8.</w:t>
      </w:r>
    </w:p>
    <w:p w14:paraId="67F4E038">
      <w:pPr>
        <w:pStyle w:val="16"/>
        <w:numPr>
          <w:ilvl w:val="0"/>
          <w:numId w:val="1"/>
        </w:numPr>
        <w:spacing w:before="60" w:after="80" w:line="280" w:lineRule="auto"/>
      </w:pPr>
      <w:r>
        <w:rPr>
          <w:rFonts w:ascii="Arial" w:hAnsi="Arial" w:eastAsia="Arial" w:cs="Arial"/>
          <w:sz w:val="22"/>
          <w:szCs w:val="22"/>
        </w:rPr>
        <w:t>B. Wang, Y. Lei, N. Li, and N. Li, "A Hybrid Prognostics Approach for Estimating Remaining Useful Life of Rolling Element Bearings," IEEE Transactions on Reliability, vol. 69, no. 1, pp. 401–412, Mar. 2020.</w:t>
      </w:r>
    </w:p>
    <w:p w14:paraId="66031034">
      <w:pPr>
        <w:pStyle w:val="16"/>
        <w:numPr>
          <w:ilvl w:val="0"/>
          <w:numId w:val="1"/>
        </w:numPr>
        <w:spacing w:before="60" w:after="80" w:line="280" w:lineRule="auto"/>
      </w:pPr>
      <w:r>
        <w:rPr>
          <w:rFonts w:ascii="Arial" w:hAnsi="Arial" w:eastAsia="Arial" w:cs="Arial"/>
          <w:sz w:val="22"/>
          <w:szCs w:val="22"/>
        </w:rPr>
        <w:t>H. Hotait, X. Chiementin, and L. Rasolofondraibe, "Intelligent Online Monitoring of Rolling Bearing: Diagnosis and Prognosis," Entropy, vol. 23, no. 7, p. 791, Jun. 2021.</w:t>
      </w:r>
    </w:p>
    <w:p w14:paraId="3B3B8564">
      <w:pPr>
        <w:pStyle w:val="16"/>
        <w:numPr>
          <w:ilvl w:val="0"/>
          <w:numId w:val="1"/>
        </w:numPr>
        <w:spacing w:before="60" w:after="80" w:line="280" w:lineRule="auto"/>
      </w:pPr>
      <w:r>
        <w:rPr>
          <w:rFonts w:ascii="Arial" w:hAnsi="Arial" w:eastAsia="Arial" w:cs="Arial"/>
          <w:sz w:val="22"/>
          <w:szCs w:val="22"/>
        </w:rPr>
        <w:t>Y. Lei, N. Li, L. Guo, N. Li, T. Yan, and J. Lin, "Machinery health prognostics: A systematic review from data acquisition to RUL prediction," Mechanical Systems and Signal Processing, vol. 104, pp. 799–834, 2018.</w:t>
      </w:r>
    </w:p>
    <w:p w14:paraId="57765529">
      <w:pPr>
        <w:pStyle w:val="16"/>
        <w:numPr>
          <w:ilvl w:val="0"/>
          <w:numId w:val="1"/>
        </w:numPr>
        <w:spacing w:before="60" w:after="80" w:line="280" w:lineRule="auto"/>
      </w:pPr>
      <w:r>
        <w:rPr>
          <w:rFonts w:ascii="Arial" w:hAnsi="Arial" w:eastAsia="Arial" w:cs="Arial"/>
          <w:sz w:val="22"/>
          <w:szCs w:val="22"/>
        </w:rPr>
        <w:t>R. Killick, P. Fearnhead, and I. A. Eckley, "Optimal Detection of Changepoints With a Linear Computational Cost," Journal of the American Statistical Association, vol. 107, no. 500, pp. 1590–1598, Dec. 2012.</w:t>
      </w:r>
    </w:p>
    <w:p w14:paraId="72DFD9B3">
      <w:pPr>
        <w:pStyle w:val="16"/>
        <w:numPr>
          <w:ilvl w:val="0"/>
          <w:numId w:val="1"/>
        </w:numPr>
        <w:spacing w:before="60" w:after="80" w:line="280" w:lineRule="auto"/>
      </w:pPr>
      <w:r>
        <w:rPr>
          <w:rFonts w:ascii="Arial" w:hAnsi="Arial" w:eastAsia="Arial" w:cs="Arial"/>
          <w:sz w:val="22"/>
          <w:szCs w:val="22"/>
        </w:rPr>
        <w:t>IEEE Conference Publication, "Automatic Segmentation of Time Series Data with PELT Algorithm for Predictive Maintenance in the Flat Steel Industry," in Proc. IEEE Conf., 2024. [Online]. Available: https://ieeexplore.ieee.org/document/10773396</w:t>
      </w:r>
    </w:p>
    <w:p w14:paraId="45E62D27">
      <w:pPr>
        <w:pStyle w:val="16"/>
        <w:numPr>
          <w:ilvl w:val="0"/>
          <w:numId w:val="1"/>
        </w:numPr>
        <w:spacing w:before="60" w:after="80" w:line="280" w:lineRule="auto"/>
      </w:pPr>
      <w:r>
        <w:rPr>
          <w:rFonts w:ascii="Arial" w:hAnsi="Arial" w:eastAsia="Arial" w:cs="Arial"/>
          <w:sz w:val="22"/>
          <w:szCs w:val="22"/>
        </w:rPr>
        <w:t>Z. Zhao et al., "Remaining Useful Life Prediction Method for Bearings Based on Pruned Exact Linear Time State Segmentation and Time-Frequency Diagram," Sensors, vol. 25, no. 7, 2025. [Online]. Available: https://www.ncbi.nlm.nih.gov/pmc/articles/PMC11946073</w:t>
      </w:r>
    </w:p>
    <w:p w14:paraId="68A66D62">
      <w:pPr>
        <w:pStyle w:val="16"/>
        <w:numPr>
          <w:ilvl w:val="0"/>
          <w:numId w:val="1"/>
        </w:numPr>
        <w:spacing w:before="60" w:after="80" w:line="280" w:lineRule="auto"/>
      </w:pPr>
      <w:r>
        <w:rPr>
          <w:rFonts w:ascii="Arial" w:hAnsi="Arial" w:eastAsia="Arial" w:cs="Arial"/>
          <w:sz w:val="22"/>
          <w:szCs w:val="22"/>
        </w:rPr>
        <w:t>C. Truong, L. Oudre, and N. Vayatis, "Selective Review of Offline Change Point Detection Methods," Signal Processing, vol. 167, p. 107299, 2020.</w:t>
      </w:r>
    </w:p>
    <w:p w14:paraId="22E5CF22">
      <w:pPr>
        <w:spacing w:before="60" w:after="6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0D6633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180"/>
      <w:outlineLvl w:val="0"/>
    </w:pPr>
    <w:rPr>
      <w:rFonts w:ascii="Arial" w:hAnsi="Arial" w:eastAsia="Arial" w:cs="Arial"/>
      <w:b/>
      <w:bCs/>
      <w:color w:val="1F3864"/>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2546</Words>
  <Characters>15773</Characters>
  <TotalTime>2</TotalTime>
  <ScaleCrop>false</ScaleCrop>
  <LinksUpToDate>false</LinksUpToDate>
  <CharactersWithSpaces>18179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2026-06-09T20:28:00Z</dcterms:created>
  <dc:creator>Un-named</dc:creator>
  <cp:lastModifiedBy>An Nguyễn Dương Hoài</cp:lastModifiedBy>
  <dcterms:modified xsi:type="dcterms:W3CDTF">2026-06-09T20:36:23Z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eyJoZGlkIjoiNjc5MzcxODIxNzFjYzJiZDg1NmY1ZDcyNDU0MjE4NGMiLCJ1c2VySWQiOiIxMzkxOTUyMDI2MDk0In0=</vt:lpwstr>
  </property>
  <property fmtid="{D5CDD505-2E9C-101B-9397-08002B2CF9AE}" pid="3" name="KSOProductBuildVer">
    <vt:lpwstr>1033-12.1.0.26880</vt:lpwstr>
  </property>
  <property fmtid="{D5CDD505-2E9C-101B-9397-08002B2CF9AE}" pid="4" name="ICV">
    <vt:lpwstr>3FB8AC3B40FE4B0F88BF818843C775FB_12</vt:lpwstr>
  </property>
</Properties>
</file>