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2262F" w14:textId="77777777" w:rsidR="00805F84" w:rsidRPr="00805F84" w:rsidRDefault="00805F84" w:rsidP="00773300">
      <w:pPr>
        <w:rPr>
          <w:b/>
          <w:bCs/>
          <w:color w:val="EE0000"/>
          <w:sz w:val="36"/>
          <w:szCs w:val="36"/>
        </w:rPr>
      </w:pPr>
      <w:r w:rsidRPr="00805F84">
        <w:rPr>
          <w:b/>
          <w:bCs/>
          <w:color w:val="EE0000"/>
          <w:sz w:val="36"/>
          <w:szCs w:val="36"/>
        </w:rPr>
        <w:t>Experimental Analysis</w:t>
      </w:r>
    </w:p>
    <w:p w14:paraId="69DBB9A5" w14:textId="77777777" w:rsidR="0027332D" w:rsidRPr="0027332D" w:rsidRDefault="0027332D" w:rsidP="0027332D">
      <w:pPr>
        <w:rPr>
          <w:b/>
          <w:bCs/>
          <w:color w:val="EE0000"/>
        </w:rPr>
      </w:pPr>
      <w:r w:rsidRPr="0027332D">
        <w:rPr>
          <w:b/>
          <w:bCs/>
          <w:color w:val="EE0000"/>
        </w:rPr>
        <w:t>A. Experimental Setup</w:t>
      </w:r>
    </w:p>
    <w:p w14:paraId="2D6DD5E5" w14:textId="77777777" w:rsidR="0027332D" w:rsidRPr="0027332D" w:rsidRDefault="0027332D" w:rsidP="0027332D">
      <w:pPr>
        <w:rPr>
          <w:b/>
          <w:bCs/>
        </w:rPr>
      </w:pPr>
      <w:r w:rsidRPr="0027332D">
        <w:rPr>
          <w:b/>
          <w:bCs/>
        </w:rPr>
        <w:t xml:space="preserve">The experimental validation is conducted using the "Vibration and Temperature Run-to-Failure Dataset of Ball Bearing" published by Jung et al. (2024) in </w:t>
      </w:r>
      <w:r w:rsidRPr="0027332D">
        <w:rPr>
          <w:b/>
          <w:bCs/>
          <w:i/>
          <w:iCs/>
        </w:rPr>
        <w:t>Data in Brief</w:t>
      </w:r>
      <w:r w:rsidRPr="0027332D">
        <w:rPr>
          <w:b/>
          <w:bCs/>
        </w:rPr>
        <w:t xml:space="preserve">. This </w:t>
      </w:r>
      <w:proofErr w:type="gramStart"/>
      <w:r w:rsidRPr="0027332D">
        <w:rPr>
          <w:b/>
          <w:bCs/>
        </w:rPr>
        <w:t>dataset</w:t>
      </w:r>
      <w:proofErr w:type="gramEnd"/>
      <w:r w:rsidRPr="0027332D">
        <w:rPr>
          <w:b/>
          <w:bCs/>
        </w:rPr>
        <w:t xml:space="preserve"> addresses the need for high-quality multivariate data spanning a complete run-to-failure lifecycle, capturing both horizontal/vertical vibration signals and thermal vectors (temperature).</w:t>
      </w:r>
    </w:p>
    <w:p w14:paraId="701C35EC" w14:textId="77777777" w:rsidR="0027332D" w:rsidRDefault="0027332D" w:rsidP="0027332D">
      <w:pPr>
        <w:rPr>
          <w:b/>
          <w:bCs/>
          <w:noProof/>
        </w:rPr>
      </w:pPr>
      <w:r w:rsidRPr="0027332D">
        <w:rPr>
          <w:b/>
          <w:bCs/>
        </w:rPr>
        <w:t>The raw measurement matrix comprises 129 chronological observation windows. The computational pipeline was executed in a Python 3.12 environment utilizing scikit-learn for data standardization and Principal Component Analysis (PCA), and the ruptures library for Change Point Detection (CPD). Following PCA mapping (to PC1), necessary, followed by Min-Max normalization to a [0, 1] scale.</w:t>
      </w:r>
      <w:r w:rsidRPr="0027332D">
        <w:rPr>
          <w:b/>
          <w:bCs/>
          <w:noProof/>
        </w:rPr>
        <w:t xml:space="preserve"> </w:t>
      </w:r>
      <w:r>
        <w:rPr>
          <w:b/>
          <w:bCs/>
          <w:noProof/>
        </w:rPr>
        <w:drawing>
          <wp:inline distT="0" distB="0" distL="0" distR="0" wp14:anchorId="43167B9F" wp14:editId="7D394053">
            <wp:extent cx="5943600" cy="2381250"/>
            <wp:effectExtent l="0" t="0" r="0" b="0"/>
            <wp:docPr id="1165709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6AFFC840" wp14:editId="6C0E5755">
            <wp:extent cx="5943600" cy="2381250"/>
            <wp:effectExtent l="0" t="0" r="0" b="0"/>
            <wp:docPr id="18357496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37BB2" w14:textId="68751E67" w:rsidR="0027332D" w:rsidRDefault="0027332D" w:rsidP="0027332D">
      <w:pPr>
        <w:rPr>
          <w:b/>
          <w:bCs/>
          <w:noProof/>
        </w:rPr>
      </w:pPr>
      <w:r>
        <w:rPr>
          <w:b/>
          <w:bCs/>
          <w:noProof/>
        </w:rPr>
        <w:lastRenderedPageBreak/>
        <w:drawing>
          <wp:inline distT="0" distB="0" distL="0" distR="0" wp14:anchorId="37981FB8" wp14:editId="374EFB60">
            <wp:extent cx="5943600" cy="2381250"/>
            <wp:effectExtent l="0" t="0" r="0" b="0"/>
            <wp:docPr id="4647200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2E931" w14:textId="77777777" w:rsidR="0027332D" w:rsidRPr="0027332D" w:rsidRDefault="0027332D" w:rsidP="0027332D">
      <w:pPr>
        <w:rPr>
          <w:b/>
          <w:bCs/>
        </w:rPr>
      </w:pPr>
    </w:p>
    <w:p w14:paraId="494972CA" w14:textId="77777777" w:rsidR="0027332D" w:rsidRPr="0027332D" w:rsidRDefault="0027332D" w:rsidP="0027332D">
      <w:pPr>
        <w:rPr>
          <w:b/>
          <w:bCs/>
          <w:color w:val="EE0000"/>
        </w:rPr>
      </w:pPr>
      <w:r w:rsidRPr="0027332D">
        <w:rPr>
          <w:b/>
          <w:bCs/>
          <w:color w:val="EE0000"/>
        </w:rPr>
        <w:t>B. Results</w:t>
      </w:r>
    </w:p>
    <w:p w14:paraId="21C57ECF" w14:textId="77777777" w:rsidR="0027332D" w:rsidRPr="0027332D" w:rsidRDefault="0027332D" w:rsidP="0027332D">
      <w:pPr>
        <w:rPr>
          <w:b/>
          <w:bCs/>
        </w:rPr>
      </w:pPr>
      <w:r w:rsidRPr="0027332D">
        <w:rPr>
          <w:b/>
          <w:bCs/>
        </w:rPr>
        <w:t>1. Health Indicator (HI) Construction</w:t>
      </w:r>
    </w:p>
    <w:p w14:paraId="309E935B" w14:textId="77777777" w:rsidR="0027332D" w:rsidRPr="0027332D" w:rsidRDefault="0027332D" w:rsidP="0027332D">
      <w:pPr>
        <w:rPr>
          <w:b/>
          <w:bCs/>
        </w:rPr>
      </w:pPr>
      <w:r w:rsidRPr="0027332D">
        <w:rPr>
          <w:b/>
          <w:bCs/>
        </w:rPr>
        <w:t>Three distinct trajectories (HI-V, HI-T, and HI-VT) were constructed. The PCA results demonstrated the following explained variance and time correlation metrics across the first principal component (PC1):</w:t>
      </w:r>
    </w:p>
    <w:p w14:paraId="4E87E0D3" w14:textId="77777777" w:rsidR="0027332D" w:rsidRPr="0027332D" w:rsidRDefault="0027332D" w:rsidP="0027332D">
      <w:pPr>
        <w:numPr>
          <w:ilvl w:val="0"/>
          <w:numId w:val="5"/>
        </w:numPr>
        <w:rPr>
          <w:b/>
          <w:bCs/>
        </w:rPr>
      </w:pPr>
      <w:r w:rsidRPr="0027332D">
        <w:rPr>
          <w:b/>
          <w:bCs/>
        </w:rPr>
        <w:t>HI-V (Vibration-Only): Explained variance = 0.5566, Corr(time) = 0.1139</w:t>
      </w:r>
    </w:p>
    <w:p w14:paraId="4DC8E587" w14:textId="77777777" w:rsidR="0027332D" w:rsidRPr="0027332D" w:rsidRDefault="0027332D" w:rsidP="0027332D">
      <w:pPr>
        <w:numPr>
          <w:ilvl w:val="0"/>
          <w:numId w:val="5"/>
        </w:numPr>
        <w:rPr>
          <w:b/>
          <w:bCs/>
        </w:rPr>
      </w:pPr>
      <w:r w:rsidRPr="0027332D">
        <w:rPr>
          <w:b/>
          <w:bCs/>
        </w:rPr>
        <w:t>HI-T (Temperature-Only): Explained variance = 0.5123, Corr(time) = 0.5508</w:t>
      </w:r>
    </w:p>
    <w:p w14:paraId="2F1A54F2" w14:textId="77777777" w:rsidR="0027332D" w:rsidRPr="0027332D" w:rsidRDefault="0027332D" w:rsidP="0027332D">
      <w:pPr>
        <w:numPr>
          <w:ilvl w:val="0"/>
          <w:numId w:val="5"/>
        </w:numPr>
        <w:rPr>
          <w:b/>
          <w:bCs/>
        </w:rPr>
      </w:pPr>
      <w:r w:rsidRPr="0027332D">
        <w:rPr>
          <w:b/>
          <w:bCs/>
        </w:rPr>
        <w:t>HI-VT (Combined): Explained variance = 0.4527, Corr(time) = 0.3140</w:t>
      </w:r>
    </w:p>
    <w:p w14:paraId="203986C8" w14:textId="77777777" w:rsidR="0027332D" w:rsidRPr="0027332D" w:rsidRDefault="0027332D" w:rsidP="0027332D">
      <w:pPr>
        <w:rPr>
          <w:b/>
          <w:bCs/>
        </w:rPr>
      </w:pPr>
      <w:r w:rsidRPr="0027332D">
        <w:rPr>
          <w:b/>
          <w:bCs/>
        </w:rPr>
        <w:t xml:space="preserve">The combined multi-modal indicator (HI-VT), incorporating </w:t>
      </w:r>
      <w:proofErr w:type="spellStart"/>
      <w:r w:rsidRPr="0027332D">
        <w:rPr>
          <w:b/>
          <w:bCs/>
        </w:rPr>
        <w:t>RMS_x</w:t>
      </w:r>
      <w:proofErr w:type="spellEnd"/>
      <w:r w:rsidRPr="0027332D">
        <w:rPr>
          <w:b/>
          <w:bCs/>
        </w:rPr>
        <w:t xml:space="preserve">, </w:t>
      </w:r>
      <w:proofErr w:type="spellStart"/>
      <w:r w:rsidRPr="0027332D">
        <w:rPr>
          <w:b/>
          <w:bCs/>
        </w:rPr>
        <w:t>RMS_y</w:t>
      </w:r>
      <w:proofErr w:type="spellEnd"/>
      <w:r w:rsidRPr="0027332D">
        <w:rPr>
          <w:b/>
          <w:bCs/>
        </w:rPr>
        <w:t xml:space="preserve">, </w:t>
      </w:r>
      <w:proofErr w:type="spellStart"/>
      <w:r w:rsidRPr="0027332D">
        <w:rPr>
          <w:b/>
          <w:bCs/>
        </w:rPr>
        <w:t>Kurtosis_x</w:t>
      </w:r>
      <w:proofErr w:type="spellEnd"/>
      <w:r w:rsidRPr="0027332D">
        <w:rPr>
          <w:b/>
          <w:bCs/>
        </w:rPr>
        <w:t xml:space="preserve">, </w:t>
      </w:r>
      <w:proofErr w:type="spellStart"/>
      <w:r w:rsidRPr="0027332D">
        <w:rPr>
          <w:b/>
          <w:bCs/>
        </w:rPr>
        <w:t>Kurtosis_y</w:t>
      </w:r>
      <w:proofErr w:type="spellEnd"/>
      <w:r w:rsidRPr="0027332D">
        <w:rPr>
          <w:b/>
          <w:bCs/>
        </w:rPr>
        <w:t xml:space="preserve">, </w:t>
      </w:r>
      <w:proofErr w:type="spellStart"/>
      <w:r w:rsidRPr="0027332D">
        <w:rPr>
          <w:b/>
          <w:bCs/>
        </w:rPr>
        <w:t>TempMean</w:t>
      </w:r>
      <w:proofErr w:type="spellEnd"/>
      <w:r w:rsidRPr="0027332D">
        <w:rPr>
          <w:b/>
          <w:bCs/>
        </w:rPr>
        <w:t xml:space="preserve">, </w:t>
      </w:r>
      <w:proofErr w:type="spellStart"/>
      <w:r w:rsidRPr="0027332D">
        <w:rPr>
          <w:b/>
          <w:bCs/>
        </w:rPr>
        <w:t>TempDelta</w:t>
      </w:r>
      <w:proofErr w:type="spellEnd"/>
      <w:r w:rsidRPr="0027332D">
        <w:rPr>
          <w:b/>
          <w:bCs/>
        </w:rPr>
        <w:t xml:space="preserve">, and </w:t>
      </w:r>
      <w:proofErr w:type="spellStart"/>
      <w:r w:rsidRPr="0027332D">
        <w:rPr>
          <w:b/>
          <w:bCs/>
        </w:rPr>
        <w:t>TempSlope</w:t>
      </w:r>
      <w:proofErr w:type="spellEnd"/>
      <w:r w:rsidRPr="0027332D">
        <w:rPr>
          <w:b/>
          <w:bCs/>
        </w:rPr>
        <w:t>, was selected as the primary signal for CPD evaluation to leverage both high-frequency impact sensitivity and long-term thermal trends.</w:t>
      </w:r>
    </w:p>
    <w:p w14:paraId="59F46957" w14:textId="2E44B4FD" w:rsidR="0027332D" w:rsidRPr="0027332D" w:rsidRDefault="0027332D" w:rsidP="0027332D">
      <w:pPr>
        <w:rPr>
          <w:b/>
          <w:bCs/>
        </w:rPr>
      </w:pPr>
      <w:r w:rsidRPr="0027332D">
        <w:rPr>
          <w:b/>
          <w:bCs/>
        </w:rPr>
        <w:t>2. Change Point Detection (CPD) Results</w:t>
      </w:r>
    </w:p>
    <w:p w14:paraId="107A21C6" w14:textId="77777777" w:rsidR="0027332D" w:rsidRPr="0027332D" w:rsidRDefault="0027332D" w:rsidP="0027332D">
      <w:pPr>
        <w:rPr>
          <w:b/>
          <w:bCs/>
        </w:rPr>
      </w:pPr>
      <w:r w:rsidRPr="0027332D">
        <w:rPr>
          <w:b/>
          <w:bCs/>
        </w:rPr>
        <w:t>The ruptures library was deployed using two distinct algorithms: Pruned Exact Linear Time (PELT) and Binary Segmentation (</w:t>
      </w:r>
      <w:proofErr w:type="spellStart"/>
      <w:r w:rsidRPr="0027332D">
        <w:rPr>
          <w:b/>
          <w:bCs/>
        </w:rPr>
        <w:t>BinSeg</w:t>
      </w:r>
      <w:proofErr w:type="spellEnd"/>
      <w:r w:rsidRPr="0027332D">
        <w:rPr>
          <w:b/>
          <w:bCs/>
        </w:rPr>
        <w:t xml:space="preserve">) applied to the HI-VT trajectory. The algorithms sought to identify the operational state transitions: </w:t>
      </w:r>
      <w:r w:rsidRPr="0027332D">
        <w:rPr>
          <w:b/>
          <w:bCs/>
          <w:i/>
          <w:iCs/>
        </w:rPr>
        <w:t>Healthy → Degrading</w:t>
      </w:r>
      <w:r w:rsidRPr="0027332D">
        <w:rPr>
          <w:b/>
          <w:bCs/>
        </w:rPr>
        <w:t xml:space="preserve"> and </w:t>
      </w:r>
      <w:r w:rsidRPr="0027332D">
        <w:rPr>
          <w:b/>
          <w:bCs/>
          <w:i/>
          <w:iCs/>
        </w:rPr>
        <w:t>Degrading → Fault</w:t>
      </w:r>
      <w:r w:rsidRPr="0027332D">
        <w:rPr>
          <w:b/>
          <w:bCs/>
        </w:rPr>
        <w:t>.</w:t>
      </w:r>
    </w:p>
    <w:p w14:paraId="386E6360" w14:textId="77777777" w:rsidR="0027332D" w:rsidRPr="0027332D" w:rsidRDefault="0027332D" w:rsidP="0027332D">
      <w:pPr>
        <w:rPr>
          <w:b/>
          <w:bCs/>
        </w:rPr>
      </w:pPr>
      <w:r w:rsidRPr="0027332D">
        <w:rPr>
          <w:b/>
          <w:bCs/>
        </w:rPr>
        <w:t>TABLE 1. Change Point Detection (CPD)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9"/>
        <w:gridCol w:w="2620"/>
        <w:gridCol w:w="2079"/>
        <w:gridCol w:w="1665"/>
      </w:tblGrid>
      <w:tr w:rsidR="0027332D" w:rsidRPr="0027332D" w14:paraId="07C7035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7276C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05A5D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Transition Stage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76CA3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Detected Index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F94AB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Lifecycle %</w:t>
            </w:r>
          </w:p>
        </w:tc>
      </w:tr>
      <w:tr w:rsidR="0027332D" w:rsidRPr="0027332D" w14:paraId="2471A9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8FD2C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PELT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57185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Healthy → Degrading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0BF47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6D6F7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3.9%</w:t>
            </w:r>
          </w:p>
        </w:tc>
      </w:tr>
      <w:tr w:rsidR="0027332D" w:rsidRPr="0027332D" w14:paraId="50B7C4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52A2D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PELT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FC49C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Degrading → Fault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65A5B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52C0D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7.8%</w:t>
            </w:r>
          </w:p>
        </w:tc>
      </w:tr>
      <w:tr w:rsidR="0027332D" w:rsidRPr="0027332D" w14:paraId="411BD6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C759E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Binary Segmentation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8EE62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Healthy → Degrading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E2A73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90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F5990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70.3%</w:t>
            </w:r>
          </w:p>
        </w:tc>
      </w:tr>
      <w:tr w:rsidR="0027332D" w:rsidRPr="0027332D" w14:paraId="63247A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8BF15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Binary Segmentation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786F5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Degrading → Fault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14848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120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EE5D8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93.8%</w:t>
            </w:r>
          </w:p>
        </w:tc>
      </w:tr>
      <w:tr w:rsidR="0027332D" w:rsidRPr="0027332D" w14:paraId="22C619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3AF5F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Consensus (Median)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B858A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Healthy → Degrading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EB130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47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03ECC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36.7%</w:t>
            </w:r>
          </w:p>
        </w:tc>
      </w:tr>
      <w:tr w:rsidR="0027332D" w:rsidRPr="0027332D" w14:paraId="2A3AD1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AA4F2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Consensus (Median)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6A7CB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Degrading → Fault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FBBFD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B96F3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50.8%</w:t>
            </w:r>
          </w:p>
        </w:tc>
      </w:tr>
    </w:tbl>
    <w:p w14:paraId="2D803030" w14:textId="6D4E373C" w:rsidR="0027332D" w:rsidRPr="0027332D" w:rsidRDefault="0027332D" w:rsidP="0027332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9A48753" wp14:editId="7FC80404">
            <wp:extent cx="5934075" cy="2695575"/>
            <wp:effectExtent l="0" t="0" r="9525" b="9525"/>
            <wp:docPr id="18301013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57E20" w14:textId="77777777" w:rsidR="0027332D" w:rsidRPr="0027332D" w:rsidRDefault="0027332D" w:rsidP="0027332D">
      <w:pPr>
        <w:rPr>
          <w:b/>
          <w:bCs/>
          <w:color w:val="EE0000"/>
        </w:rPr>
      </w:pPr>
      <w:r w:rsidRPr="0027332D">
        <w:rPr>
          <w:b/>
          <w:bCs/>
          <w:color w:val="EE0000"/>
        </w:rPr>
        <w:t>C. Discussion</w:t>
      </w:r>
    </w:p>
    <w:p w14:paraId="18845F8E" w14:textId="77777777" w:rsidR="0027332D" w:rsidRPr="0027332D" w:rsidRDefault="0027332D" w:rsidP="0027332D">
      <w:pPr>
        <w:rPr>
          <w:b/>
          <w:bCs/>
        </w:rPr>
      </w:pPr>
      <w:r w:rsidRPr="0027332D">
        <w:rPr>
          <w:b/>
          <w:bCs/>
        </w:rPr>
        <w:t xml:space="preserve">1. Comparison with </w:t>
      </w:r>
      <w:proofErr w:type="gramStart"/>
      <w:r w:rsidRPr="0027332D">
        <w:rPr>
          <w:b/>
          <w:bCs/>
        </w:rPr>
        <w:t>the 60</w:t>
      </w:r>
      <w:proofErr w:type="gramEnd"/>
      <w:r w:rsidRPr="0027332D">
        <w:rPr>
          <w:b/>
          <w:bCs/>
        </w:rPr>
        <w:t>% / 90% Heuristic</w:t>
      </w:r>
    </w:p>
    <w:p w14:paraId="29527A78" w14:textId="77777777" w:rsidR="0027332D" w:rsidRPr="0027332D" w:rsidRDefault="0027332D" w:rsidP="0027332D">
      <w:pPr>
        <w:rPr>
          <w:b/>
          <w:bCs/>
        </w:rPr>
      </w:pPr>
      <w:r w:rsidRPr="0027332D">
        <w:rPr>
          <w:b/>
          <w:bCs/>
        </w:rPr>
        <w:t>To validate the validity of the 60% and 90% Time-to-Failure (TTF) heuristic thresholds commonly assumed in predictive maintenance, we mapped the 129 sequence files into equivalent theoretical lifecycle percentages: Index 77 for the 60% mark, and Index 115 for the 90% mark. Table 2 details the absolute variance between the empirical CPD consensus indices and the heuristic assumptions.</w:t>
      </w:r>
    </w:p>
    <w:p w14:paraId="5C3103B1" w14:textId="77777777" w:rsidR="0027332D" w:rsidRPr="0027332D" w:rsidRDefault="0027332D" w:rsidP="0027332D">
      <w:pPr>
        <w:rPr>
          <w:b/>
          <w:bCs/>
        </w:rPr>
      </w:pPr>
      <w:r w:rsidRPr="0027332D">
        <w:rPr>
          <w:b/>
          <w:bCs/>
        </w:rPr>
        <w:lastRenderedPageBreak/>
        <w:t>TABLE 2. 60% / 90% Heuristic vs. Empirical CPD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518"/>
        <w:gridCol w:w="1634"/>
        <w:gridCol w:w="1512"/>
        <w:gridCol w:w="1603"/>
        <w:gridCol w:w="1535"/>
      </w:tblGrid>
      <w:tr w:rsidR="0027332D" w:rsidRPr="0027332D" w14:paraId="376E763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77CAF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Heuristic Target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7282F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Heuristic Index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D480D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Empirical CPD Index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1DE4E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CPD Lifecycle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A5064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Absolute Index Diff (Δ)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B0869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Lifecycle % Error</w:t>
            </w:r>
          </w:p>
        </w:tc>
      </w:tr>
      <w:tr w:rsidR="0027332D" w:rsidRPr="0027332D" w14:paraId="5A831E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90BAC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60%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17F1C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77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5FC70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47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20F10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36.7%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87909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805CC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23.3%</w:t>
            </w:r>
          </w:p>
        </w:tc>
      </w:tr>
      <w:tr w:rsidR="0027332D" w:rsidRPr="0027332D" w14:paraId="5B48F2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56141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90%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0F27F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115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3E3F4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CDE2F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50.8%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4830C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43243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39.2%</w:t>
            </w:r>
          </w:p>
        </w:tc>
      </w:tr>
    </w:tbl>
    <w:p w14:paraId="187BDCE2" w14:textId="77777777" w:rsidR="0027332D" w:rsidRPr="0027332D" w:rsidRDefault="0027332D" w:rsidP="0027332D">
      <w:pPr>
        <w:rPr>
          <w:b/>
          <w:bCs/>
        </w:rPr>
      </w:pPr>
      <w:r w:rsidRPr="0027332D">
        <w:rPr>
          <w:b/>
          <w:bCs/>
        </w:rPr>
        <w:t>2. Threshold Validation Results</w:t>
      </w:r>
    </w:p>
    <w:p w14:paraId="62D587FE" w14:textId="77777777" w:rsidR="0027332D" w:rsidRPr="0027332D" w:rsidRDefault="0027332D" w:rsidP="0027332D">
      <w:pPr>
        <w:rPr>
          <w:b/>
          <w:bCs/>
        </w:rPr>
      </w:pPr>
      <w:r w:rsidRPr="0027332D">
        <w:rPr>
          <w:b/>
          <w:bCs/>
        </w:rPr>
        <w:t>Following the CPD analysis, static HI thresholds were evaluated based on their first crossing point after the onset of degradation.</w:t>
      </w:r>
    </w:p>
    <w:p w14:paraId="34CEF676" w14:textId="77777777" w:rsidR="0027332D" w:rsidRPr="0027332D" w:rsidRDefault="0027332D" w:rsidP="0027332D">
      <w:pPr>
        <w:rPr>
          <w:b/>
          <w:bCs/>
        </w:rPr>
      </w:pPr>
      <w:r w:rsidRPr="0027332D">
        <w:rPr>
          <w:b/>
          <w:bCs/>
        </w:rPr>
        <w:t>TABLE 3. Threshold Validation Candidates</w:t>
      </w:r>
    </w:p>
    <w:tbl>
      <w:tblPr>
        <w:tblpPr w:leftFromText="180" w:rightFromText="180" w:vertAnchor="text" w:tblpY="1"/>
        <w:tblOverlap w:val="never"/>
        <w:tblW w:w="10072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440"/>
        <w:gridCol w:w="1620"/>
        <w:gridCol w:w="1440"/>
        <w:gridCol w:w="1260"/>
        <w:gridCol w:w="1080"/>
        <w:gridCol w:w="1530"/>
      </w:tblGrid>
      <w:tr w:rsidR="0027332D" w:rsidRPr="0027332D" w14:paraId="2682D24F" w14:textId="77777777" w:rsidTr="0027332D">
        <w:trPr>
          <w:tblHeader/>
          <w:tblCellSpacing w:w="15" w:type="dxa"/>
        </w:trPr>
        <w:tc>
          <w:tcPr>
            <w:tcW w:w="16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1E8E2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HI Threshold</w:t>
            </w:r>
          </w:p>
        </w:tc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FDBAD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First Crossing Index</w:t>
            </w:r>
          </w:p>
        </w:tc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B50D2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Remaining Useful Life (RUL)</w:t>
            </w:r>
          </w:p>
        </w:tc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85204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Lifecycle %</w:t>
            </w: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F5977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False Alarms</w:t>
            </w:r>
          </w:p>
        </w:tc>
        <w:tc>
          <w:tcPr>
            <w:tcW w:w="1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8074A" w14:textId="08D6187C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Scor</w:t>
            </w:r>
            <w:r>
              <w:rPr>
                <w:b/>
                <w:bCs/>
              </w:rPr>
              <w:t>e</w:t>
            </w:r>
          </w:p>
        </w:tc>
        <w:tc>
          <w:tcPr>
            <w:tcW w:w="14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C92A6" w14:textId="5B0E36DE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Sel</w:t>
            </w:r>
            <w:r w:rsidRPr="0027332D">
              <w:rPr>
                <w:b/>
                <w:bCs/>
              </w:rPr>
              <w:t>ected</w:t>
            </w:r>
          </w:p>
        </w:tc>
      </w:tr>
      <w:tr w:rsidR="0027332D" w:rsidRPr="0027332D" w14:paraId="2439FF8F" w14:textId="77777777" w:rsidTr="0027332D">
        <w:trPr>
          <w:tblCellSpacing w:w="15" w:type="dxa"/>
        </w:trPr>
        <w:tc>
          <w:tcPr>
            <w:tcW w:w="16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AD8AD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0.50</w:t>
            </w:r>
          </w:p>
        </w:tc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70C43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124</w:t>
            </w:r>
          </w:p>
        </w:tc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E2EA6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4</w:t>
            </w:r>
          </w:p>
        </w:tc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054A6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96.9%</w:t>
            </w: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C1C94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0</w:t>
            </w:r>
          </w:p>
        </w:tc>
        <w:tc>
          <w:tcPr>
            <w:tcW w:w="1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11D0C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0.0</w:t>
            </w:r>
          </w:p>
        </w:tc>
        <w:tc>
          <w:tcPr>
            <w:tcW w:w="14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459E8" w14:textId="77777777" w:rsidR="0027332D" w:rsidRPr="0027332D" w:rsidRDefault="0027332D" w:rsidP="0027332D">
            <w:pPr>
              <w:rPr>
                <w:b/>
                <w:bCs/>
              </w:rPr>
            </w:pPr>
          </w:p>
        </w:tc>
      </w:tr>
      <w:tr w:rsidR="0027332D" w:rsidRPr="0027332D" w14:paraId="2EA2D55C" w14:textId="77777777" w:rsidTr="0027332D">
        <w:trPr>
          <w:tblCellSpacing w:w="15" w:type="dxa"/>
        </w:trPr>
        <w:tc>
          <w:tcPr>
            <w:tcW w:w="16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DE877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0.60</w:t>
            </w:r>
          </w:p>
        </w:tc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BFD11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124</w:t>
            </w:r>
          </w:p>
        </w:tc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834DD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4</w:t>
            </w:r>
          </w:p>
        </w:tc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0EB43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96.9%</w:t>
            </w: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E2F2D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0</w:t>
            </w:r>
          </w:p>
        </w:tc>
        <w:tc>
          <w:tcPr>
            <w:tcW w:w="1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48FEA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0.0</w:t>
            </w:r>
          </w:p>
        </w:tc>
        <w:tc>
          <w:tcPr>
            <w:tcW w:w="14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1D12F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Yes</w:t>
            </w:r>
          </w:p>
        </w:tc>
      </w:tr>
      <w:tr w:rsidR="0027332D" w:rsidRPr="0027332D" w14:paraId="5499834A" w14:textId="77777777" w:rsidTr="0027332D">
        <w:trPr>
          <w:tblCellSpacing w:w="15" w:type="dxa"/>
        </w:trPr>
        <w:tc>
          <w:tcPr>
            <w:tcW w:w="16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009BB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0.65</w:t>
            </w:r>
          </w:p>
        </w:tc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22693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124</w:t>
            </w:r>
          </w:p>
        </w:tc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E8E80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4</w:t>
            </w:r>
          </w:p>
        </w:tc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D87B7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96.9%</w:t>
            </w: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C2856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0</w:t>
            </w:r>
          </w:p>
        </w:tc>
        <w:tc>
          <w:tcPr>
            <w:tcW w:w="1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42F34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5.0</w:t>
            </w:r>
          </w:p>
        </w:tc>
        <w:tc>
          <w:tcPr>
            <w:tcW w:w="14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3AE10" w14:textId="77777777" w:rsidR="0027332D" w:rsidRPr="0027332D" w:rsidRDefault="0027332D" w:rsidP="0027332D">
            <w:pPr>
              <w:rPr>
                <w:b/>
                <w:bCs/>
              </w:rPr>
            </w:pPr>
          </w:p>
        </w:tc>
      </w:tr>
      <w:tr w:rsidR="0027332D" w:rsidRPr="0027332D" w14:paraId="1D2EB866" w14:textId="77777777" w:rsidTr="0027332D">
        <w:trPr>
          <w:tblCellSpacing w:w="15" w:type="dxa"/>
        </w:trPr>
        <w:tc>
          <w:tcPr>
            <w:tcW w:w="16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E81CE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0.90</w:t>
            </w:r>
          </w:p>
        </w:tc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68018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124</w:t>
            </w:r>
          </w:p>
        </w:tc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D04C5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4</w:t>
            </w:r>
          </w:p>
        </w:tc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CAA58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96.9%</w:t>
            </w: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FD553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0</w:t>
            </w:r>
          </w:p>
        </w:tc>
        <w:tc>
          <w:tcPr>
            <w:tcW w:w="1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7A573" w14:textId="77777777" w:rsidR="0027332D" w:rsidRPr="0027332D" w:rsidRDefault="0027332D" w:rsidP="0027332D">
            <w:pPr>
              <w:rPr>
                <w:b/>
                <w:bCs/>
              </w:rPr>
            </w:pPr>
            <w:r w:rsidRPr="0027332D">
              <w:rPr>
                <w:b/>
                <w:bCs/>
              </w:rPr>
              <w:t>0.0</w:t>
            </w:r>
          </w:p>
        </w:tc>
        <w:tc>
          <w:tcPr>
            <w:tcW w:w="14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2ED85" w14:textId="77777777" w:rsidR="0027332D" w:rsidRPr="0027332D" w:rsidRDefault="0027332D" w:rsidP="0027332D">
            <w:pPr>
              <w:rPr>
                <w:b/>
                <w:bCs/>
              </w:rPr>
            </w:pPr>
          </w:p>
        </w:tc>
      </w:tr>
    </w:tbl>
    <w:p w14:paraId="2464D38F" w14:textId="054A97D2" w:rsidR="0027332D" w:rsidRPr="0027332D" w:rsidRDefault="0027332D" w:rsidP="0027332D">
      <w:pPr>
        <w:rPr>
          <w:b/>
          <w:bCs/>
        </w:rPr>
      </w:pPr>
      <w:r>
        <w:rPr>
          <w:b/>
          <w:bCs/>
          <w:i/>
          <w:iCs/>
        </w:rPr>
        <w:br w:type="textWrapping" w:clear="all"/>
      </w:r>
      <w:r w:rsidRPr="0027332D">
        <w:rPr>
          <w:b/>
          <w:bCs/>
          <w:i/>
          <w:iCs/>
        </w:rPr>
        <w:t>Note: The threshold of 0.60 on the normalized HI scale was selected as it minimizes the composite score (0.0 false alarms) while aligning with the initial 60% research baseline.</w:t>
      </w:r>
    </w:p>
    <w:p w14:paraId="4B14D8C2" w14:textId="77777777" w:rsidR="0027332D" w:rsidRPr="0027332D" w:rsidRDefault="0027332D" w:rsidP="0027332D">
      <w:pPr>
        <w:rPr>
          <w:b/>
          <w:bCs/>
        </w:rPr>
      </w:pPr>
      <w:r w:rsidRPr="0027332D">
        <w:rPr>
          <w:b/>
          <w:bCs/>
        </w:rPr>
        <w:t>3. Practical Implications and Conclusion</w:t>
      </w:r>
    </w:p>
    <w:p w14:paraId="79CC7313" w14:textId="77777777" w:rsidR="0027332D" w:rsidRPr="0027332D" w:rsidRDefault="0027332D" w:rsidP="0027332D">
      <w:pPr>
        <w:rPr>
          <w:b/>
          <w:bCs/>
        </w:rPr>
      </w:pPr>
      <w:r w:rsidRPr="0027332D">
        <w:rPr>
          <w:b/>
          <w:bCs/>
        </w:rPr>
        <w:t>The experimental output reveals a significant divergence between data-driven degradation states and traditional theoretical boundaries.</w:t>
      </w:r>
    </w:p>
    <w:p w14:paraId="33678F9F" w14:textId="77777777" w:rsidR="0027332D" w:rsidRPr="0027332D" w:rsidRDefault="0027332D" w:rsidP="0027332D">
      <w:pPr>
        <w:rPr>
          <w:b/>
          <w:bCs/>
        </w:rPr>
      </w:pPr>
      <w:r w:rsidRPr="0027332D">
        <w:rPr>
          <w:b/>
          <w:bCs/>
        </w:rPr>
        <w:lastRenderedPageBreak/>
        <w:t>The 60% TTF heuristic diverges fundamentally from the first CPD transition (Index 77 vs empirical Index 47), representing a substantial lifecycle error of 23.3%. Similarly, the 90% TTF heuristic diverges from the second CPD transition (Index 115 vs empirical Index 65), producing an error margin of 39.2%.</w:t>
      </w:r>
    </w:p>
    <w:p w14:paraId="26FD9A02" w14:textId="77777777" w:rsidR="0027332D" w:rsidRPr="0027332D" w:rsidRDefault="0027332D" w:rsidP="0027332D">
      <w:pPr>
        <w:rPr>
          <w:b/>
          <w:bCs/>
        </w:rPr>
      </w:pPr>
      <w:r w:rsidRPr="0027332D">
        <w:rPr>
          <w:b/>
          <w:bCs/>
        </w:rPr>
        <w:t xml:space="preserve">Consequently, the results indicate that the dataset does not strongly support the traditional 60/90 TTF assumption. The early statistical shift (Index 47) picked up by the multi-modal indicator highlights that actual machine degradation in accelerated testing environments begins much earlier (at 36.7% of the lifecycle) than the widely adopted 60% engineering rule-of-thumb implies. For practical predictive maintenance, relying solely on fixed temporal heuristics without data-driven CPD adjustments could result in critical missed opportunities for </w:t>
      </w:r>
      <w:proofErr w:type="gramStart"/>
      <w:r w:rsidRPr="0027332D">
        <w:rPr>
          <w:b/>
          <w:bCs/>
        </w:rPr>
        <w:t>early fault</w:t>
      </w:r>
      <w:proofErr w:type="gramEnd"/>
      <w:r w:rsidRPr="0027332D">
        <w:rPr>
          <w:b/>
          <w:bCs/>
        </w:rPr>
        <w:t xml:space="preserve"> intervention.</w:t>
      </w:r>
    </w:p>
    <w:p w14:paraId="358C69F4" w14:textId="77777777" w:rsidR="00773300" w:rsidRPr="00773300" w:rsidRDefault="00773300" w:rsidP="00773300"/>
    <w:p w14:paraId="40E5C1D1" w14:textId="77777777" w:rsidR="00773300" w:rsidRDefault="00773300"/>
    <w:sectPr w:rsidR="007733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E7EE6"/>
    <w:multiLevelType w:val="multilevel"/>
    <w:tmpl w:val="3934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B46F1C"/>
    <w:multiLevelType w:val="multilevel"/>
    <w:tmpl w:val="CBCE5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E56E3E"/>
    <w:multiLevelType w:val="multilevel"/>
    <w:tmpl w:val="41C4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990714"/>
    <w:multiLevelType w:val="multilevel"/>
    <w:tmpl w:val="630EA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43304E"/>
    <w:multiLevelType w:val="multilevel"/>
    <w:tmpl w:val="B5FC3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5419201">
    <w:abstractNumId w:val="3"/>
  </w:num>
  <w:num w:numId="2" w16cid:durableId="1027490618">
    <w:abstractNumId w:val="1"/>
  </w:num>
  <w:num w:numId="3" w16cid:durableId="831264455">
    <w:abstractNumId w:val="2"/>
  </w:num>
  <w:num w:numId="4" w16cid:durableId="698048435">
    <w:abstractNumId w:val="4"/>
  </w:num>
  <w:num w:numId="5" w16cid:durableId="2053967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300"/>
    <w:rsid w:val="000B77FE"/>
    <w:rsid w:val="0027332D"/>
    <w:rsid w:val="00773300"/>
    <w:rsid w:val="00805F84"/>
    <w:rsid w:val="00996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06A3F"/>
  <w15:chartTrackingRefBased/>
  <w15:docId w15:val="{9AC2EBAB-4888-452E-BA98-342BEF27C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3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3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3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3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3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677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An</dc:creator>
  <cp:keywords/>
  <dc:description/>
  <cp:lastModifiedBy>Nguyen An</cp:lastModifiedBy>
  <cp:revision>2</cp:revision>
  <dcterms:created xsi:type="dcterms:W3CDTF">2026-06-10T13:47:00Z</dcterms:created>
  <dcterms:modified xsi:type="dcterms:W3CDTF">2026-06-15T10:58:00Z</dcterms:modified>
</cp:coreProperties>
</file>