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5276"/>
          <w:sz w:val="72"/>
          <w:szCs w:val="72"/>
        </w:rPr>
        <w:t xml:space="preserve">MATORN</w:t>
      </w:r>
    </w:p>
    <w:p>
      <w:pPr>
        <w:spacing w:after="80" w:before="0"/>
        <w:jc w:val="center"/>
      </w:pPr>
      <w:r>
        <w:rPr>
          <w:rFonts w:ascii="Arial" w:cs="Arial" w:eastAsia="Arial" w:hAnsi="Arial"/>
          <w:b/>
          <w:bCs/>
          <w:color w:val="555555"/>
          <w:sz w:val="30"/>
          <w:szCs w:val="30"/>
        </w:rPr>
        <w:t xml:space="preserve">RAPPORT D'AUDIT — v2.0</w:t>
      </w:r>
    </w:p>
    <w:p>
      <w:pPr>
        <w:spacing w:after="80" w:before="0"/>
        <w:jc w:val="center"/>
      </w:pPr>
      <w:r>
        <w:rPr>
          <w:rFonts w:ascii="Arial" w:cs="Arial" w:eastAsia="Arial" w:hAnsi="Arial"/>
          <w:color w:val="7F8C8D"/>
          <w:sz w:val="22"/>
          <w:szCs w:val="22"/>
        </w:rPr>
        <w:t xml:space="preserve">Application Web · Gestion de Garage · Backend Django + Frontend React</w:t>
      </w:r>
    </w:p>
    <w:p>
      <w:pPr>
        <w:spacing w:after="480" w:before="0"/>
        <w:jc w:val="center"/>
      </w:pPr>
      <w:r>
        <w:rPr>
          <w:rFonts w:ascii="Arial" w:cs="Arial" w:eastAsia="Arial" w:hAnsi="Arial"/>
          <w:color w:val="7F8C8D"/>
          <w:sz w:val="18"/>
          <w:szCs w:val="18"/>
        </w:rPr>
        <w:t xml:space="preserve">Mise à jour : 16 avril 2026 — intégration de la fiche de suivi Matorn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75"/>
        <w:gridCol w:w="2275"/>
        <w:gridCol w:w="2275"/>
        <w:gridCol w:w="2275"/>
      </w:tblGrid>
      <w:tr>
        <w:tc>
          <w:tcPr>
            <w:tcBorders>
              <w:top w:val="single" w:color="BDC3C7" w:sz="1"/>
              <w:left w:val="single" w:color="BDC3C7" w:sz="1"/>
              <w:bottom w:val="single" w:color="BDC3C7" w:sz="1"/>
              <w:right w:val="single" w:color="BDC3C7" w:sz="1"/>
            </w:tcBorders>
            <w:shd w:fill="FADBD8" w:val="clear"/>
            <w:tcMar>
              <w:top w:type="dxa" w:w="160"/>
              <w:left w:type="dxa" w:w="200"/>
              <w:bottom w:type="dxa" w:w="160"/>
              <w:right w:type="dxa" w:w="200"/>
            </w:tcMar>
          </w:tcPr>
          <w:p>
            <w:pPr>
              <w:jc w:val="center"/>
            </w:pPr>
            <w:r>
              <w:rPr>
                <w:rFonts w:ascii="Arial" w:cs="Arial" w:eastAsia="Arial" w:hAnsi="Arial"/>
                <w:b/>
                <w:bCs/>
                <w:color w:val="C0392B"/>
                <w:sz w:val="56"/>
                <w:szCs w:val="56"/>
              </w:rPr>
              <w:t xml:space="preserve">6</w:t>
            </w:r>
          </w:p>
          <w:p>
            <w:pPr>
              <w:jc w:val="center"/>
            </w:pPr>
            <w:r>
              <w:rPr>
                <w:rFonts w:ascii="Arial" w:cs="Arial" w:eastAsia="Arial" w:hAnsi="Arial"/>
                <w:b/>
                <w:bCs/>
                <w:color w:val="C0392B"/>
                <w:sz w:val="18"/>
                <w:szCs w:val="18"/>
              </w:rPr>
              <w:t xml:space="preserve">🔴 Bugs</w:t>
            </w:r>
          </w:p>
        </w:tc>
        <w:tc>
          <w:tcPr>
            <w:tcBorders>
              <w:top w:val="single" w:color="BDC3C7" w:sz="1"/>
              <w:left w:val="single" w:color="BDC3C7" w:sz="1"/>
              <w:bottom w:val="single" w:color="BDC3C7" w:sz="1"/>
              <w:right w:val="single" w:color="BDC3C7" w:sz="1"/>
            </w:tcBorders>
            <w:shd w:fill="FDEBD0" w:val="clear"/>
            <w:tcMar>
              <w:top w:type="dxa" w:w="160"/>
              <w:left w:type="dxa" w:w="200"/>
              <w:bottom w:type="dxa" w:w="160"/>
              <w:right w:type="dxa" w:w="200"/>
            </w:tcMar>
          </w:tcPr>
          <w:p>
            <w:pPr>
              <w:jc w:val="center"/>
            </w:pPr>
            <w:r>
              <w:rPr>
                <w:rFonts w:ascii="Arial" w:cs="Arial" w:eastAsia="Arial" w:hAnsi="Arial"/>
                <w:b/>
                <w:bCs/>
                <w:color w:val="D35400"/>
                <w:sz w:val="56"/>
                <w:szCs w:val="56"/>
              </w:rPr>
              <w:t xml:space="preserve">10</w:t>
            </w:r>
          </w:p>
          <w:p>
            <w:pPr>
              <w:jc w:val="center"/>
            </w:pPr>
            <w:r>
              <w:rPr>
                <w:rFonts w:ascii="Arial" w:cs="Arial" w:eastAsia="Arial" w:hAnsi="Arial"/>
                <w:b/>
                <w:bCs/>
                <w:color w:val="D35400"/>
                <w:sz w:val="18"/>
                <w:szCs w:val="18"/>
              </w:rPr>
              <w:t xml:space="preserve">🟡 Incohérences</w:t>
            </w:r>
          </w:p>
        </w:tc>
        <w:tc>
          <w:tcPr>
            <w:tcBorders>
              <w:top w:val="single" w:color="BDC3C7" w:sz="1"/>
              <w:left w:val="single" w:color="BDC3C7" w:sz="1"/>
              <w:bottom w:val="single" w:color="BDC3C7" w:sz="1"/>
              <w:right w:val="single" w:color="BDC3C7" w:sz="1"/>
            </w:tcBorders>
            <w:shd w:fill="F2F3F4" w:val="clear"/>
            <w:tcMar>
              <w:top w:type="dxa" w:w="160"/>
              <w:left w:type="dxa" w:w="200"/>
              <w:bottom w:type="dxa" w:w="160"/>
              <w:right w:type="dxa" w:w="200"/>
            </w:tcMar>
          </w:tcPr>
          <w:p>
            <w:pPr>
              <w:jc w:val="center"/>
            </w:pPr>
            <w:r>
              <w:rPr>
                <w:rFonts w:ascii="Arial" w:cs="Arial" w:eastAsia="Arial" w:hAnsi="Arial"/>
                <w:b/>
                <w:bCs/>
                <w:color w:val="555555"/>
                <w:sz w:val="56"/>
                <w:szCs w:val="56"/>
              </w:rPr>
              <w:t xml:space="preserve">5</w:t>
            </w:r>
          </w:p>
          <w:p>
            <w:pPr>
              <w:jc w:val="center"/>
            </w:pPr>
            <w:r>
              <w:rPr>
                <w:rFonts w:ascii="Arial" w:cs="Arial" w:eastAsia="Arial" w:hAnsi="Arial"/>
                <w:b/>
                <w:bCs/>
                <w:color w:val="555555"/>
                <w:sz w:val="18"/>
                <w:szCs w:val="18"/>
              </w:rPr>
              <w:t xml:space="preserve">ℹ️ Infos</w:t>
            </w:r>
          </w:p>
        </w:tc>
        <w:tc>
          <w:tcPr>
            <w:tcBorders>
              <w:top w:val="single" w:color="BDC3C7" w:sz="1"/>
              <w:left w:val="single" w:color="BDC3C7" w:sz="1"/>
              <w:bottom w:val="single" w:color="BDC3C7" w:sz="1"/>
              <w:right w:val="single" w:color="BDC3C7" w:sz="1"/>
            </w:tcBorders>
            <w:shd w:fill="D6EAF8" w:val="clear"/>
            <w:tcMar>
              <w:top w:type="dxa" w:w="160"/>
              <w:left w:type="dxa" w:w="200"/>
              <w:bottom w:type="dxa" w:w="160"/>
              <w:right w:type="dxa" w:w="200"/>
            </w:tcMar>
          </w:tcPr>
          <w:p>
            <w:pPr>
              <w:jc w:val="center"/>
            </w:pPr>
            <w:r>
              <w:rPr>
                <w:rFonts w:ascii="Arial" w:cs="Arial" w:eastAsia="Arial" w:hAnsi="Arial"/>
                <w:b/>
                <w:bCs/>
                <w:color w:val="1A5276"/>
                <w:sz w:val="56"/>
                <w:szCs w:val="56"/>
              </w:rPr>
              <w:t xml:space="preserve">21</w:t>
            </w:r>
          </w:p>
          <w:p>
            <w:pPr>
              <w:jc w:val="center"/>
            </w:pPr>
            <w:r>
              <w:rPr>
                <w:rFonts w:ascii="Arial" w:cs="Arial" w:eastAsia="Arial" w:hAnsi="Arial"/>
                <w:b/>
                <w:bCs/>
                <w:color w:val="1A5276"/>
                <w:sz w:val="18"/>
                <w:szCs w:val="18"/>
              </w:rPr>
              <w:t xml:space="preserve">Total points</w:t>
            </w:r>
          </w:p>
        </w:tc>
      </w:tr>
    </w:tbl>
    <w:p>
      <w:pPr>
        <w:spacing w:after="0" w:before="120"/>
      </w:pPr>
      <w:r>
        <w:t xml:space="preserve"/>
      </w:r>
    </w:p>
    <w:p>
      <w:pPr>
        <w:pStyle w:val="Heading1"/>
        <w:pBdr>
          <w:bottom w:val="single" w:color="1A5276" w:sz="6" w:space="1"/>
        </w:pBdr>
        <w:spacing w:after="160" w:before="400"/>
      </w:pPr>
      <w:r>
        <w:rPr>
          <w:rFonts w:ascii="Arial" w:cs="Arial" w:eastAsia="Arial" w:hAnsi="Arial"/>
          <w:b/>
          <w:bCs/>
          <w:color w:val="1A5276"/>
          <w:sz w:val="30"/>
          <w:szCs w:val="30"/>
        </w:rPr>
        <w:t xml:space="preserve">1. Périmètre &amp; contexte</w:t>
      </w:r>
    </w:p>
    <w:p>
      <w:pPr>
        <w:spacing w:after="60" w:before="60"/>
      </w:pPr>
      <w:r>
        <w:rPr>
          <w:rFonts w:ascii="Arial" w:cs="Arial" w:eastAsia="Arial" w:hAnsi="Arial"/>
          <w:sz w:val="20"/>
          <w:szCs w:val="20"/>
        </w:rPr>
        <w:t xml:space="preserve">Cet audit v2.0 est une mise à jour complète intégrant les informations de la fiche de suivi Matorn (matorn_suivi.html) et le code source analysé. La sécurité reste exclue volontairement (projet en développement).</w:t>
      </w:r>
    </w:p>
    <w:p>
      <w:pPr>
        <w:spacing w:after="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100"/>
      </w:tblGrid>
      <w:tr>
        <w:trPr>
          <w:tblHeader/>
        </w:trPr>
        <w:tc>
          <w:tcPr>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Couche</w:t>
            </w:r>
          </w:p>
        </w:tc>
        <w:tc>
          <w:tcPr>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Technologie</w:t>
            </w:r>
          </w:p>
        </w:tc>
        <w:tc>
          <w:tcPr>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Modules / Notes</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Courier New" w:cs="Courier New" w:eastAsia="Courier New" w:hAnsi="Courier New"/>
                <w:b/>
                <w:bCs/>
                <w:color w:val="C0392B"/>
                <w:sz w:val="16"/>
                <w:szCs w:val="16"/>
              </w:rPr>
              <w:t xml:space="preserve">Backend</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Django 6.0.1 + DRF 3.16.1</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clients, vehicules, planning, stock, fournisseurs, referentiels, factures (+ ordres_reparation à venir)</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Courier New" w:cs="Courier New" w:eastAsia="Courier New" w:hAnsi="Courier New"/>
                <w:b/>
                <w:bCs/>
                <w:color w:val="C0392B"/>
                <w:sz w:val="16"/>
                <w:szCs w:val="16"/>
              </w:rPr>
              <w:t xml:space="preserve">Frontend</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React 19.2 + React Router 7</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FullCalendar, Axios, jsPDF, react-select, ~65 fixtures de démo</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Courier New" w:cs="Courier New" w:eastAsia="Courier New" w:hAnsi="Courier New"/>
                <w:b/>
                <w:bCs/>
                <w:color w:val="C0392B"/>
                <w:sz w:val="16"/>
                <w:szCs w:val="16"/>
              </w:rPr>
              <w:t xml:space="preserve">UI</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CSS vanilla BEM</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10 modales centralisées via Modal.jsx, forms.css partagé, ThemeContext</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Courier New" w:cs="Courier New" w:eastAsia="Courier New" w:hAnsi="Courier New"/>
                <w:b/>
                <w:bCs/>
                <w:color w:val="C0392B"/>
                <w:sz w:val="16"/>
                <w:szCs w:val="16"/>
              </w:rPr>
              <w:t xml:space="preserve">Infra</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Docker + GitHub Codespaces</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Dockerfile.backend + Dockerfile.frontend, SQLite en dev</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Courier New" w:cs="Courier New" w:eastAsia="Courier New" w:hAnsi="Courier New"/>
                <w:b/>
                <w:bCs/>
                <w:color w:val="C0392B"/>
                <w:sz w:val="16"/>
                <w:szCs w:val="16"/>
              </w:rPr>
              <w:t xml:space="preserve">Conventions</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Architecture 3 couches</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Component → Service → api.js → Django</w:t>
            </w:r>
          </w:p>
        </w:tc>
      </w:tr>
    </w:tbl>
    <w:p>
      <w:pPr>
        <w:spacing w:after="0" w:before="60"/>
      </w:pPr>
      <w:r>
        <w:t xml:space="preserve"/>
      </w:r>
    </w:p>
    <w:p>
      <w:pPr>
        <w:pStyle w:val="Heading1"/>
        <w:pBdr>
          <w:bottom w:val="single" w:color="1A5276" w:sz="6" w:space="1"/>
        </w:pBdr>
        <w:spacing w:after="160" w:before="400"/>
      </w:pPr>
      <w:r>
        <w:rPr>
          <w:rFonts w:ascii="Arial" w:cs="Arial" w:eastAsia="Arial" w:hAnsi="Arial"/>
          <w:b/>
          <w:bCs/>
          <w:color w:val="1A5276"/>
          <w:sz w:val="30"/>
          <w:szCs w:val="30"/>
        </w:rPr>
        <w:t xml:space="preserve">2. Avancement par module</w:t>
      </w:r>
    </w:p>
    <w:p>
      <w:pPr>
        <w:spacing w:after="60" w:before="60"/>
      </w:pPr>
      <w:r>
        <w:rPr>
          <w:rFonts w:ascii="Arial" w:cs="Arial" w:eastAsia="Arial" w:hAnsi="Arial"/>
          <w:sz w:val="20"/>
          <w:szCs w:val="20"/>
        </w:rPr>
        <w:t xml:space="preserve">Données extraites de la fiche de suivi Matorn (16 avril 2026). La barre de couleur indique : vert ≥ 85%, jaune ≥ 70%, orange ≥ 40%, rouge &lt; 40%.</w:t>
      </w:r>
    </w:p>
    <w:p>
      <w:pPr>
        <w:spacing w:after="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5500"/>
        <w:gridCol w:w="120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Arial" w:cs="Arial" w:eastAsia="Arial" w:hAnsi="Arial"/>
                <w:sz w:val="18"/>
                <w:szCs w:val="18"/>
              </w:rPr>
              <w:t xml:space="preserve">🔧 Infrastructure</w:t>
            </w:r>
          </w:p>
        </w:tc>
        <w:tc>
          <w:tcPr>
            <w:tcW w:type="dxa" w:w="55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urier New" w:cs="Courier New" w:eastAsia="Courier New" w:hAnsi="Courier New"/>
                <w:color w:val="22c55e"/>
                <w:sz w:val="18"/>
                <w:szCs w:val="18"/>
              </w:rPr>
              <w:t xml:space="preserve">██████████████████████████████████████████████████████████</w:t>
            </w:r>
            <w:r>
              <w:rPr>
                <w:rFonts w:ascii="Courier New" w:cs="Courier New" w:eastAsia="Courier New" w:hAnsi="Courier New"/>
                <w:color w:val="CCCCCC"/>
                <w:sz w:val="18"/>
                <w:szCs w:val="18"/>
              </w:rPr>
              <w:t xml:space="preserve">░░</w:t>
            </w:r>
          </w:p>
        </w:tc>
        <w:tc>
          <w:tcPr>
            <w:tcW w:type="dxa" w:w="12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ourier New" w:cs="Courier New" w:eastAsia="Courier New" w:hAnsi="Courier New"/>
                <w:b/>
                <w:bCs/>
                <w:color w:val="22c55e"/>
                <w:sz w:val="18"/>
                <w:szCs w:val="18"/>
              </w:rPr>
              <w:t xml:space="preserve">97%</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Arial" w:cs="Arial" w:eastAsia="Arial" w:hAnsi="Arial"/>
                <w:sz w:val="18"/>
                <w:szCs w:val="18"/>
              </w:rPr>
              <w:t xml:space="preserve">👤 Clients</w:t>
            </w:r>
          </w:p>
        </w:tc>
        <w:tc>
          <w:tcPr>
            <w:tcW w:type="dxa" w:w="55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urier New" w:cs="Courier New" w:eastAsia="Courier New" w:hAnsi="Courier New"/>
                <w:color w:val="22c55e"/>
                <w:sz w:val="18"/>
                <w:szCs w:val="18"/>
              </w:rPr>
              <w:t xml:space="preserve">███████████████████████████████████████████████████</w:t>
            </w:r>
            <w:r>
              <w:rPr>
                <w:rFonts w:ascii="Courier New" w:cs="Courier New" w:eastAsia="Courier New" w:hAnsi="Courier New"/>
                <w:color w:val="CCCCCC"/>
                <w:sz w:val="18"/>
                <w:szCs w:val="18"/>
              </w:rPr>
              <w:t xml:space="preserve">░░░░░░░░░</w:t>
            </w:r>
          </w:p>
        </w:tc>
        <w:tc>
          <w:tcPr>
            <w:tcW w:type="dxa" w:w="12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ourier New" w:cs="Courier New" w:eastAsia="Courier New" w:hAnsi="Courier New"/>
                <w:b/>
                <w:bCs/>
                <w:color w:val="22c55e"/>
                <w:sz w:val="18"/>
                <w:szCs w:val="18"/>
              </w:rPr>
              <w:t xml:space="preserve">85%</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Arial" w:cs="Arial" w:eastAsia="Arial" w:hAnsi="Arial"/>
                <w:sz w:val="18"/>
                <w:szCs w:val="18"/>
              </w:rPr>
              <w:t xml:space="preserve">🚗 Véhicules</w:t>
            </w:r>
          </w:p>
        </w:tc>
        <w:tc>
          <w:tcPr>
            <w:tcW w:type="dxa" w:w="55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urier New" w:cs="Courier New" w:eastAsia="Courier New" w:hAnsi="Courier New"/>
                <w:color w:val="eab308"/>
                <w:sz w:val="18"/>
                <w:szCs w:val="18"/>
              </w:rPr>
              <w:t xml:space="preserve">████████████████████████████████████████████████</w:t>
            </w:r>
            <w:r>
              <w:rPr>
                <w:rFonts w:ascii="Courier New" w:cs="Courier New" w:eastAsia="Courier New" w:hAnsi="Courier New"/>
                <w:color w:val="CCCCCC"/>
                <w:sz w:val="18"/>
                <w:szCs w:val="18"/>
              </w:rPr>
              <w:t xml:space="preserve">░░░░░░░░░░░░</w:t>
            </w:r>
          </w:p>
        </w:tc>
        <w:tc>
          <w:tcPr>
            <w:tcW w:type="dxa" w:w="12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ourier New" w:cs="Courier New" w:eastAsia="Courier New" w:hAnsi="Courier New"/>
                <w:b/>
                <w:bCs/>
                <w:color w:val="eab308"/>
                <w:sz w:val="18"/>
                <w:szCs w:val="18"/>
              </w:rPr>
              <w:t xml:space="preserve">80%</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Arial" w:cs="Arial" w:eastAsia="Arial" w:hAnsi="Arial"/>
                <w:sz w:val="18"/>
                <w:szCs w:val="18"/>
              </w:rPr>
              <w:t xml:space="preserve">📅 Planning / RDV</w:t>
            </w:r>
          </w:p>
        </w:tc>
        <w:tc>
          <w:tcPr>
            <w:tcW w:type="dxa" w:w="55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urier New" w:cs="Courier New" w:eastAsia="Courier New" w:hAnsi="Courier New"/>
                <w:color w:val="eab308"/>
                <w:sz w:val="18"/>
                <w:szCs w:val="18"/>
              </w:rPr>
              <w:t xml:space="preserve">████████████████████████████████████████████████</w:t>
            </w:r>
            <w:r>
              <w:rPr>
                <w:rFonts w:ascii="Courier New" w:cs="Courier New" w:eastAsia="Courier New" w:hAnsi="Courier New"/>
                <w:color w:val="CCCCCC"/>
                <w:sz w:val="18"/>
                <w:szCs w:val="18"/>
              </w:rPr>
              <w:t xml:space="preserve">░░░░░░░░░░░░</w:t>
            </w:r>
          </w:p>
        </w:tc>
        <w:tc>
          <w:tcPr>
            <w:tcW w:type="dxa" w:w="12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ourier New" w:cs="Courier New" w:eastAsia="Courier New" w:hAnsi="Courier New"/>
                <w:b/>
                <w:bCs/>
                <w:color w:val="eab308"/>
                <w:sz w:val="18"/>
                <w:szCs w:val="18"/>
              </w:rPr>
              <w:t xml:space="preserve">80%</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Arial" w:cs="Arial" w:eastAsia="Arial" w:hAnsi="Arial"/>
                <w:sz w:val="18"/>
                <w:szCs w:val="18"/>
              </w:rPr>
              <w:t xml:space="preserve">⚙️ Paramètres</w:t>
            </w:r>
          </w:p>
        </w:tc>
        <w:tc>
          <w:tcPr>
            <w:tcW w:type="dxa" w:w="55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urier New" w:cs="Courier New" w:eastAsia="Courier New" w:hAnsi="Courier New"/>
                <w:color w:val="eab308"/>
                <w:sz w:val="18"/>
                <w:szCs w:val="18"/>
              </w:rPr>
              <w:t xml:space="preserve">████████████████████████████████████████████████</w:t>
            </w:r>
            <w:r>
              <w:rPr>
                <w:rFonts w:ascii="Courier New" w:cs="Courier New" w:eastAsia="Courier New" w:hAnsi="Courier New"/>
                <w:color w:val="CCCCCC"/>
                <w:sz w:val="18"/>
                <w:szCs w:val="18"/>
              </w:rPr>
              <w:t xml:space="preserve">░░░░░░░░░░░░</w:t>
            </w:r>
          </w:p>
        </w:tc>
        <w:tc>
          <w:tcPr>
            <w:tcW w:type="dxa" w:w="12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ourier New" w:cs="Courier New" w:eastAsia="Courier New" w:hAnsi="Courier New"/>
                <w:b/>
                <w:bCs/>
                <w:color w:val="eab308"/>
                <w:sz w:val="18"/>
                <w:szCs w:val="18"/>
              </w:rPr>
              <w:t xml:space="preserve">80%</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Arial" w:cs="Arial" w:eastAsia="Arial" w:hAnsi="Arial"/>
                <w:sz w:val="18"/>
                <w:szCs w:val="18"/>
              </w:rPr>
              <w:t xml:space="preserve">🏭 Fournisseurs</w:t>
            </w:r>
          </w:p>
        </w:tc>
        <w:tc>
          <w:tcPr>
            <w:tcW w:type="dxa" w:w="55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urier New" w:cs="Courier New" w:eastAsia="Courier New" w:hAnsi="Courier New"/>
                <w:color w:val="eab308"/>
                <w:sz w:val="18"/>
                <w:szCs w:val="18"/>
              </w:rPr>
              <w:t xml:space="preserve">█████████████████████████████████████████████</w:t>
            </w:r>
            <w:r>
              <w:rPr>
                <w:rFonts w:ascii="Courier New" w:cs="Courier New" w:eastAsia="Courier New" w:hAnsi="Courier New"/>
                <w:color w:val="CCCCCC"/>
                <w:sz w:val="18"/>
                <w:szCs w:val="18"/>
              </w:rPr>
              <w:t xml:space="preserve">░░░░░░░░░░░░░░░</w:t>
            </w:r>
          </w:p>
        </w:tc>
        <w:tc>
          <w:tcPr>
            <w:tcW w:type="dxa" w:w="12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ourier New" w:cs="Courier New" w:eastAsia="Courier New" w:hAnsi="Courier New"/>
                <w:b/>
                <w:bCs/>
                <w:color w:val="eab308"/>
                <w:sz w:val="18"/>
                <w:szCs w:val="18"/>
              </w:rPr>
              <w:t xml:space="preserve">75%</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Arial" w:cs="Arial" w:eastAsia="Arial" w:hAnsi="Arial"/>
                <w:sz w:val="18"/>
                <w:szCs w:val="18"/>
              </w:rPr>
              <w:t xml:space="preserve">📄 Factures / Devis</w:t>
            </w:r>
          </w:p>
        </w:tc>
        <w:tc>
          <w:tcPr>
            <w:tcW w:type="dxa" w:w="55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urier New" w:cs="Courier New" w:eastAsia="Courier New" w:hAnsi="Courier New"/>
                <w:color w:val="eab308"/>
                <w:sz w:val="18"/>
                <w:szCs w:val="18"/>
              </w:rPr>
              <w:t xml:space="preserve">█████████████████████████████████████████████</w:t>
            </w:r>
            <w:r>
              <w:rPr>
                <w:rFonts w:ascii="Courier New" w:cs="Courier New" w:eastAsia="Courier New" w:hAnsi="Courier New"/>
                <w:color w:val="CCCCCC"/>
                <w:sz w:val="18"/>
                <w:szCs w:val="18"/>
              </w:rPr>
              <w:t xml:space="preserve">░░░░░░░░░░░░░░░</w:t>
            </w:r>
          </w:p>
        </w:tc>
        <w:tc>
          <w:tcPr>
            <w:tcW w:type="dxa" w:w="12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ourier New" w:cs="Courier New" w:eastAsia="Courier New" w:hAnsi="Courier New"/>
                <w:b/>
                <w:bCs/>
                <w:color w:val="eab308"/>
                <w:sz w:val="18"/>
                <w:szCs w:val="18"/>
              </w:rPr>
              <w:t xml:space="preserve">75%</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Arial" w:cs="Arial" w:eastAsia="Arial" w:hAnsi="Arial"/>
                <w:sz w:val="18"/>
                <w:szCs w:val="18"/>
              </w:rPr>
              <w:t xml:space="preserve">📦 Stock</w:t>
            </w:r>
          </w:p>
        </w:tc>
        <w:tc>
          <w:tcPr>
            <w:tcW w:type="dxa" w:w="55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urier New" w:cs="Courier New" w:eastAsia="Courier New" w:hAnsi="Courier New"/>
                <w:color w:val="eab308"/>
                <w:sz w:val="18"/>
                <w:szCs w:val="18"/>
              </w:rPr>
              <w:t xml:space="preserve">██████████████████████████████████████████</w:t>
            </w:r>
            <w:r>
              <w:rPr>
                <w:rFonts w:ascii="Courier New" w:cs="Courier New" w:eastAsia="Courier New" w:hAnsi="Courier New"/>
                <w:color w:val="CCCCCC"/>
                <w:sz w:val="18"/>
                <w:szCs w:val="18"/>
              </w:rPr>
              <w:t xml:space="preserve">░░░░░░░░░░░░░░░░░░</w:t>
            </w:r>
          </w:p>
        </w:tc>
        <w:tc>
          <w:tcPr>
            <w:tcW w:type="dxa" w:w="12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ourier New" w:cs="Courier New" w:eastAsia="Courier New" w:hAnsi="Courier New"/>
                <w:b/>
                <w:bCs/>
                <w:color w:val="eab308"/>
                <w:sz w:val="18"/>
                <w:szCs w:val="18"/>
              </w:rPr>
              <w:t xml:space="preserve">70%</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Arial" w:cs="Arial" w:eastAsia="Arial" w:hAnsi="Arial"/>
                <w:sz w:val="18"/>
                <w:szCs w:val="18"/>
              </w:rPr>
              <w:t xml:space="preserve">📱 Responsive mobile</w:t>
            </w:r>
          </w:p>
        </w:tc>
        <w:tc>
          <w:tcPr>
            <w:tcW w:type="dxa" w:w="55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urier New" w:cs="Courier New" w:eastAsia="Courier New" w:hAnsi="Courier New"/>
                <w:color w:val="f97316"/>
                <w:sz w:val="18"/>
                <w:szCs w:val="18"/>
              </w:rPr>
              <w:t xml:space="preserve">████████████████████████</w:t>
            </w:r>
            <w:r>
              <w:rPr>
                <w:rFonts w:ascii="Courier New" w:cs="Courier New" w:eastAsia="Courier New" w:hAnsi="Courier New"/>
                <w:color w:val="CCCCCC"/>
                <w:sz w:val="18"/>
                <w:szCs w:val="18"/>
              </w:rPr>
              <w:t xml:space="preserve">░░░░░░░░░░░░░░░░░░░░░░░░░░░░░░░░░░░░</w:t>
            </w:r>
          </w:p>
        </w:tc>
        <w:tc>
          <w:tcPr>
            <w:tcW w:type="dxa" w:w="12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ourier New" w:cs="Courier New" w:eastAsia="Courier New" w:hAnsi="Courier New"/>
                <w:b/>
                <w:bCs/>
                <w:color w:val="f97316"/>
                <w:sz w:val="18"/>
                <w:szCs w:val="18"/>
              </w:rPr>
              <w:t xml:space="preserve">40%</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Arial" w:cs="Arial" w:eastAsia="Arial" w:hAnsi="Arial"/>
                <w:sz w:val="18"/>
                <w:szCs w:val="18"/>
              </w:rPr>
              <w:t xml:space="preserve">🔩 Ordres de réparation</w:t>
            </w:r>
          </w:p>
        </w:tc>
        <w:tc>
          <w:tcPr>
            <w:tcW w:type="dxa" w:w="55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urier New" w:cs="Courier New" w:eastAsia="Courier New" w:hAnsi="Courier New"/>
                <w:color w:val="ef4444"/>
                <w:sz w:val="18"/>
                <w:szCs w:val="18"/>
              </w:rPr>
              <w:t xml:space="preserve">██████</w:t>
            </w:r>
            <w:r>
              <w:rPr>
                <w:rFonts w:ascii="Courier New" w:cs="Courier New" w:eastAsia="Courier New" w:hAnsi="Courier New"/>
                <w:color w:val="CCCCCC"/>
                <w:sz w:val="18"/>
                <w:szCs w:val="18"/>
              </w:rPr>
              <w:t xml:space="preserve">░░░░░░░░░░░░░░░░░░░░░░░░░░░░░░░░░░░░░░░░░░░░░░░░░░░░░░</w:t>
            </w:r>
          </w:p>
        </w:tc>
        <w:tc>
          <w:tcPr>
            <w:tcW w:type="dxa" w:w="12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ourier New" w:cs="Courier New" w:eastAsia="Courier New" w:hAnsi="Courier New"/>
                <w:b/>
                <w:bCs/>
                <w:color w:val="ef4444"/>
                <w:sz w:val="18"/>
                <w:szCs w:val="18"/>
              </w:rPr>
              <w:t xml:space="preserve">10%</w:t>
            </w:r>
          </w:p>
        </w:tc>
      </w:tr>
    </w:tbl>
    <w:p>
      <w:pPr>
        <w:spacing w:after="0" w:before="60"/>
      </w:pPr>
      <w:r>
        <w:t xml:space="preserve"/>
      </w:r>
    </w:p>
    <w:p>
      <w:pPr>
        <w:spacing w:after="60" w:before="60"/>
      </w:pPr>
      <w:r>
        <w:rPr>
          <w:rFonts w:ascii="Arial" w:cs="Arial" w:eastAsia="Arial" w:hAnsi="Arial"/>
          <w:color w:val="C0392B"/>
          <w:sz w:val="20"/>
          <w:szCs w:val="20"/>
        </w:rPr>
        <w:t xml:space="preserve">⚠️  Le responsive mobile (40%) et les ordres de réparation (10%) sont les deux modules les plus en retard. Le responsive a des problèmes BLOQUANTS (bugs #02).</w:t>
      </w:r>
    </w:p>
    <w:p>
      <w:pPr>
        <w:spacing w:after="0" w:before="60"/>
      </w:pPr>
      <w:r>
        <w:t xml:space="preserve"/>
      </w:r>
    </w:p>
    <w:p>
      <w:pPr>
        <w:pStyle w:val="Heading1"/>
        <w:pBdr>
          <w:bottom w:val="single" w:color="1A5276" w:sz="6" w:space="1"/>
        </w:pBdr>
        <w:spacing w:after="160" w:before="400"/>
      </w:pPr>
      <w:r>
        <w:rPr>
          <w:rFonts w:ascii="Arial" w:cs="Arial" w:eastAsia="Arial" w:hAnsi="Arial"/>
          <w:b/>
          <w:bCs/>
          <w:color w:val="1A5276"/>
          <w:sz w:val="30"/>
          <w:szCs w:val="30"/>
        </w:rPr>
        <w:t xml:space="preserve">3. Ce qui est bien fait</w:t>
      </w:r>
    </w:p>
    <w:p>
      <w:pPr>
        <w:pStyle w:val="ListParagraph"/>
        <w:numPr>
          <w:ilvl w:val="0"/>
          <w:numId w:val="2"/>
        </w:numPr>
        <w:spacing w:after="40" w:before="40"/>
      </w:pPr>
      <w:r>
        <w:rPr>
          <w:rFonts w:ascii="Arial" w:cs="Arial" w:eastAsia="Arial" w:hAnsi="Arial"/>
          <w:sz w:val="20"/>
          <w:szCs w:val="20"/>
        </w:rPr>
        <w:t xml:space="preserve">Architecture 3 couches appliquée (Component → Service → api.js → Django) avec bonne colocation des fichiers</w:t>
      </w:r>
    </w:p>
    <w:p>
      <w:pPr>
        <w:pStyle w:val="ListParagraph"/>
        <w:numPr>
          <w:ilvl w:val="0"/>
          <w:numId w:val="2"/>
        </w:numPr>
        <w:spacing w:after="40" w:before="40"/>
      </w:pPr>
      <w:r>
        <w:rPr>
          <w:rFonts w:ascii="Arial" w:cs="Arial" w:eastAsia="Arial" w:hAnsi="Arial"/>
          <w:sz w:val="20"/>
          <w:szCs w:val="20"/>
        </w:rPr>
        <w:t xml:space="preserve">10 modales centralisées via Modal.jsx — cohérence visuelle garantie, principe solide</w:t>
      </w:r>
    </w:p>
    <w:p>
      <w:pPr>
        <w:pStyle w:val="ListParagraph"/>
        <w:numPr>
          <w:ilvl w:val="0"/>
          <w:numId w:val="2"/>
        </w:numPr>
        <w:spacing w:after="40" w:before="40"/>
      </w:pPr>
      <w:r>
        <w:rPr>
          <w:rFonts w:ascii="Arial" w:cs="Arial" w:eastAsia="Arial" w:hAnsi="Arial"/>
          <w:sz w:val="20"/>
          <w:szCs w:val="20"/>
        </w:rPr>
        <w:t xml:space="preserve">Cycle de vie Devis → Facture complet avec gestion du stock suspendu automatique</w:t>
      </w:r>
    </w:p>
    <w:p>
      <w:pPr>
        <w:pStyle w:val="ListParagraph"/>
        <w:numPr>
          <w:ilvl w:val="0"/>
          <w:numId w:val="2"/>
        </w:numPr>
        <w:spacing w:after="40" w:before="40"/>
      </w:pPr>
      <w:r>
        <w:rPr>
          <w:rFonts w:ascii="Arial" w:cs="Arial" w:eastAsia="Arial" w:hAnsi="Arial"/>
          <w:sz w:val="20"/>
          <w:szCs w:val="20"/>
        </w:rPr>
        <w:t xml:space="preserve">ReferentielsContext : configuration dynamique sans redéploiement (types véhicule, départements, catégories...)</w:t>
      </w:r>
    </w:p>
    <w:p>
      <w:pPr>
        <w:pStyle w:val="ListParagraph"/>
        <w:numPr>
          <w:ilvl w:val="0"/>
          <w:numId w:val="2"/>
        </w:numPr>
        <w:spacing w:after="40" w:before="40"/>
      </w:pPr>
      <w:r>
        <w:rPr>
          <w:rFonts w:ascii="Arial" w:cs="Arial" w:eastAsia="Arial" w:hAnsi="Arial"/>
          <w:sz w:val="20"/>
          <w:szCs w:val="20"/>
        </w:rPr>
        <w:t xml:space="preserve">Hooks custom (useDelete, useForm, useVehiculeHelpers) : logique réutilisable bien séparée</w:t>
      </w:r>
    </w:p>
    <w:p>
      <w:pPr>
        <w:pStyle w:val="ListParagraph"/>
        <w:numPr>
          <w:ilvl w:val="0"/>
          <w:numId w:val="2"/>
        </w:numPr>
        <w:spacing w:after="40" w:before="40"/>
      </w:pPr>
      <w:r>
        <w:rPr>
          <w:rFonts w:ascii="Arial" w:cs="Arial" w:eastAsia="Arial" w:hAnsi="Arial"/>
          <w:sz w:val="20"/>
          <w:szCs w:val="20"/>
        </w:rPr>
        <w:t xml:space="preserve">logger.js centralisé pour tous les appels API — zéro console.log éparpillé</w:t>
      </w:r>
    </w:p>
    <w:p>
      <w:pPr>
        <w:pStyle w:val="ListParagraph"/>
        <w:numPr>
          <w:ilvl w:val="0"/>
          <w:numId w:val="2"/>
        </w:numPr>
        <w:spacing w:after="40" w:before="40"/>
      </w:pPr>
      <w:r>
        <w:rPr>
          <w:rFonts w:ascii="Arial" w:cs="Arial" w:eastAsia="Arial" w:hAnsi="Arial"/>
          <w:sz w:val="20"/>
          <w:szCs w:val="20"/>
        </w:rPr>
        <w:t xml:space="preserve">Composants partagés exhaustifs : PageHeader, StatutBadge, HistoriqueList, LoadingState, ErrorState, IconChip</w:t>
      </w:r>
    </w:p>
    <w:p>
      <w:pPr>
        <w:pStyle w:val="ListParagraph"/>
        <w:numPr>
          <w:ilvl w:val="0"/>
          <w:numId w:val="2"/>
        </w:numPr>
        <w:spacing w:after="40" w:before="40"/>
      </w:pPr>
      <w:r>
        <w:rPr>
          <w:rFonts w:ascii="Arial" w:cs="Arial" w:eastAsia="Arial" w:hAnsi="Arial"/>
          <w:sz w:val="20"/>
          <w:szCs w:val="20"/>
        </w:rPr>
        <w:t xml:space="preserve">FrenchPlateInput en format SIV — détail professionnel très bien pensé</w:t>
      </w:r>
    </w:p>
    <w:p>
      <w:pPr>
        <w:pStyle w:val="ListParagraph"/>
        <w:numPr>
          <w:ilvl w:val="0"/>
          <w:numId w:val="2"/>
        </w:numPr>
        <w:spacing w:after="40" w:before="40"/>
      </w:pPr>
      <w:r>
        <w:rPr>
          <w:rFonts w:ascii="Arial" w:cs="Arial" w:eastAsia="Arial" w:hAnsi="Arial"/>
          <w:sz w:val="20"/>
          <w:szCs w:val="20"/>
        </w:rPr>
        <w:t xml:space="preserve">Autocomplétion adresse via API gouvernementale (api.gouv.fr)</w:t>
      </w:r>
    </w:p>
    <w:p>
      <w:pPr>
        <w:pStyle w:val="ListParagraph"/>
        <w:numPr>
          <w:ilvl w:val="0"/>
          <w:numId w:val="2"/>
        </w:numPr>
        <w:spacing w:after="40" w:before="40"/>
      </w:pPr>
      <w:r>
        <w:rPr>
          <w:rFonts w:ascii="Arial" w:cs="Arial" w:eastAsia="Arial" w:hAnsi="Arial"/>
          <w:sz w:val="20"/>
          <w:szCs w:val="20"/>
        </w:rPr>
        <w:t xml:space="preserve">~65 fixtures de démo pour tester le projet rapidement</w:t>
      </w:r>
    </w:p>
    <w:p>
      <w:pPr>
        <w:pStyle w:val="ListParagraph"/>
        <w:numPr>
          <w:ilvl w:val="0"/>
          <w:numId w:val="2"/>
        </w:numPr>
        <w:spacing w:after="40" w:before="40"/>
      </w:pPr>
      <w:r>
        <w:rPr>
          <w:rFonts w:ascii="Arial" w:cs="Arial" w:eastAsia="Arial" w:hAnsi="Arial"/>
          <w:sz w:val="20"/>
          <w:szCs w:val="20"/>
        </w:rPr>
        <w:t xml:space="preserve">validators.js, colorUtils.js, dataFormatters.js — utilitaires partagés centralisés</w:t>
      </w:r>
    </w:p>
    <w:p>
      <w:pPr>
        <w:pStyle w:val="ListParagraph"/>
        <w:numPr>
          <w:ilvl w:val="0"/>
          <w:numId w:val="2"/>
        </w:numPr>
        <w:spacing w:after="40" w:before="40"/>
      </w:pPr>
      <w:r>
        <w:rPr>
          <w:rFonts w:ascii="Arial" w:cs="Arial" w:eastAsia="Arial" w:hAnsi="Arial"/>
          <w:sz w:val="20"/>
          <w:szCs w:val="20"/>
        </w:rPr>
        <w:t xml:space="preserve">Protection logique : département avec interventions bloqué à la suppression, fournisseur avec pièces bloqué</w:t>
      </w:r>
    </w:p>
    <w:p>
      <w:pPr>
        <w:pStyle w:val="ListParagraph"/>
        <w:numPr>
          <w:ilvl w:val="0"/>
          <w:numId w:val="2"/>
        </w:numPr>
        <w:spacing w:after="40" w:before="40"/>
      </w:pPr>
      <w:r>
        <w:rPr>
          <w:rFonts w:ascii="Arial" w:cs="Arial" w:eastAsia="Arial" w:hAnsi="Arial"/>
          <w:sz w:val="20"/>
          <w:szCs w:val="20"/>
        </w:rPr>
        <w:t xml:space="preserve">Health check endpoint /api/health/ et gestion CORS propre pour Codespaces</w:t>
      </w:r>
    </w:p>
    <w:p>
      <w:pPr>
        <w:spacing w:after="0" w:before="60"/>
      </w:pPr>
      <w:r>
        <w:t xml:space="preserve"/>
      </w:r>
    </w:p>
    <w:p>
      <w:r>
        <w:br w:type="page"/>
      </w:r>
    </w:p>
    <w:p>
      <w:pPr>
        <w:pStyle w:val="Heading1"/>
        <w:pBdr>
          <w:bottom w:val="single" w:color="C0392B" w:sz="6" w:space="1"/>
        </w:pBdr>
        <w:spacing w:after="160" w:before="400"/>
      </w:pPr>
      <w:r>
        <w:rPr>
          <w:rFonts w:ascii="Arial" w:cs="Arial" w:eastAsia="Arial" w:hAnsi="Arial"/>
          <w:b/>
          <w:bCs/>
          <w:color w:val="C0392B"/>
          <w:sz w:val="30"/>
          <w:szCs w:val="30"/>
        </w:rPr>
        <w:t xml:space="preserve">4. Bugs — Problèmes fonctionnels</w:t>
      </w:r>
    </w:p>
    <w:p>
      <w:pPr>
        <w:spacing w:after="60" w:before="60"/>
      </w:pPr>
      <w:r>
        <w:rPr>
          <w:rFonts w:ascii="Arial" w:cs="Arial" w:eastAsia="Arial" w:hAnsi="Arial"/>
          <w:sz w:val="20"/>
          <w:szCs w:val="20"/>
        </w:rPr>
        <w:t xml:space="preserve">Ces 6 problèmes provoquent des comportements incorrects, des erreurs à l'exécution ou rendent des fonctionnalités inutilisables.</w:t>
      </w:r>
    </w:p>
    <w:p>
      <w:pPr>
        <w:spacing w:after="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760"/>
        <w:gridCol w:w="4860"/>
      </w:tblGrid>
      <w:tr>
        <w:trPr>
          <w:tblHeader/>
        </w:trPr>
        <w:tc>
          <w:tcPr>
            <w:tcW w:type="dxa" w:w="48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w:t>
            </w:r>
          </w:p>
        </w:tc>
        <w:tc>
          <w:tcPr>
            <w:tcW w:type="dxa" w:w="30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Problème / Fichier</w:t>
            </w:r>
          </w:p>
        </w:tc>
        <w:tc>
          <w:tcPr>
            <w:tcW w:type="dxa" w:w="7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Sévérité</w:t>
            </w:r>
          </w:p>
        </w:tc>
        <w:tc>
          <w:tcPr>
            <w:tcW w:type="dxa" w:w="48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Détail &amp; Conseil</w:t>
            </w:r>
          </w:p>
        </w:tc>
      </w:tr>
      <w:tr>
        <w:tc>
          <w:tcPr>
            <w:tcW w:type="dxa" w:w="480"/>
            <w:tcBorders>
              <w:top w:val="single" w:color="BDC3C7" w:sz="1"/>
              <w:left w:val="single" w:color="BDC3C7" w:sz="1"/>
              <w:bottom w:val="single" w:color="BDC3C7" w:sz="1"/>
              <w:right w:val="single" w:color="BDC3C7" w:sz="1"/>
            </w:tcBorders>
            <w:shd w:fill="FADBD8" w:val="clear"/>
            <w:tcMar>
              <w:top w:type="dxa" w:w="80"/>
              <w:left w:type="dxa" w:w="100"/>
              <w:bottom w:type="dxa" w:w="80"/>
              <w:right w:type="dxa" w:w="80"/>
            </w:tcMar>
          </w:tcPr>
          <w:p>
            <w:pPr>
              <w:jc w:val="center"/>
            </w:pPr>
            <w:r>
              <w:rPr>
                <w:rFonts w:ascii="Arial" w:cs="Arial" w:eastAsia="Arial" w:hAnsi="Arial"/>
                <w:b/>
                <w:bCs/>
                <w:color w:val="C0392B"/>
                <w:sz w:val="18"/>
                <w:szCs w:val="18"/>
              </w:rPr>
              <w:t xml:space="preserve">01</w:t>
            </w:r>
          </w:p>
        </w:tc>
        <w:tc>
          <w:tcPr>
            <w:tcW w:type="dxa" w:w="3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tcPr>
          <w:p>
            <w:r>
              <w:rPr>
                <w:rFonts w:ascii="Arial" w:cs="Arial" w:eastAsia="Arial" w:hAnsi="Arial"/>
                <w:b/>
                <w:bCs/>
                <w:color w:val="1B2631"/>
                <w:sz w:val="18"/>
                <w:szCs w:val="18"/>
              </w:rPr>
              <w:t xml:space="preserve">Filtre recherche stock cassé (FieldError Django)</w:t>
            </w:r>
          </w:p>
          <w:p>
            <w:r>
              <w:rPr>
                <w:rFonts w:ascii="Courier New" w:cs="Courier New" w:eastAsia="Courier New" w:hAnsi="Courier New"/>
                <w:color w:val="7F8C8D"/>
                <w:sz w:val="15"/>
                <w:szCs w:val="15"/>
              </w:rPr>
              <w:t xml:space="preserve">backend/stock/views.py — ligne 26</w:t>
            </w:r>
          </w:p>
        </w:tc>
        <w:tc>
          <w:tcPr>
            <w:tcW w:type="dxa" w:w="760"/>
            <w:tcBorders>
              <w:top w:val="single" w:color="BDC3C7" w:sz="1"/>
              <w:left w:val="single" w:color="BDC3C7" w:sz="1"/>
              <w:bottom w:val="single" w:color="BDC3C7" w:sz="1"/>
              <w:right w:val="single" w:color="BDC3C7"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5"/>
                <w:szCs w:val="15"/>
              </w:rPr>
              <w:t xml:space="preserve">🔴 BUG</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Le filtre de recherche utilise .filter(fournisseur__icontains=search) mais la FK sur Piece s'appelle fournisseur_ref. Django lève une FieldError silencieuse à chaque recherche dans le stock.</w:t>
            </w:r>
            <w:r>
              <w:br/>
            </w:r>
            <w:r>
              <w:rPr>
                <w:rFonts w:ascii="Courier New" w:cs="Courier New" w:eastAsia="Courier New" w:hAnsi="Courier New"/>
                <w:color w:val="8B0000"/>
                <w:sz w:val="15"/>
                <w:szCs w:val="15"/>
              </w:rPr>
              <w:t xml:space="preserve">pieces.filter(fournisseur__icontains=search)  ← champ inexistant
Correction : pieces.filter(fournisseur_ref__nom__icontains=search)</w:t>
            </w:r>
            <w:r>
              <w:br/>
            </w:r>
            <w:r>
              <w:rPr>
                <w:rFonts w:ascii="Arial" w:cs="Arial" w:eastAsia="Arial" w:hAnsi="Arial"/>
                <w:b/>
                <w:bCs/>
                <w:color w:val="1E8449"/>
                <w:sz w:val="18"/>
                <w:szCs w:val="18"/>
              </w:rPr>
              <w:t xml:space="preserve">→ Remplacer fournisseur par fournisseur_ref__nom dans stock/views.py</w:t>
            </w:r>
          </w:p>
        </w:tc>
      </w:tr>
      <w:tr>
        <w:tc>
          <w:tcPr>
            <w:tcW w:type="dxa" w:w="480"/>
            <w:tcBorders>
              <w:top w:val="single" w:color="BDC3C7" w:sz="1"/>
              <w:left w:val="single" w:color="BDC3C7" w:sz="1"/>
              <w:bottom w:val="single" w:color="BDC3C7" w:sz="1"/>
              <w:right w:val="single" w:color="BDC3C7" w:sz="1"/>
            </w:tcBorders>
            <w:shd w:fill="FADBD8" w:val="clear"/>
            <w:tcMar>
              <w:top w:type="dxa" w:w="80"/>
              <w:left w:type="dxa" w:w="100"/>
              <w:bottom w:type="dxa" w:w="80"/>
              <w:right w:type="dxa" w:w="80"/>
            </w:tcMar>
          </w:tcPr>
          <w:p>
            <w:pPr>
              <w:jc w:val="center"/>
            </w:pPr>
            <w:r>
              <w:rPr>
                <w:rFonts w:ascii="Arial" w:cs="Arial" w:eastAsia="Arial" w:hAnsi="Arial"/>
                <w:b/>
                <w:bCs/>
                <w:color w:val="C0392B"/>
                <w:sz w:val="18"/>
                <w:szCs w:val="18"/>
              </w:rPr>
              <w:t xml:space="preserve">02</w:t>
            </w:r>
          </w:p>
        </w:tc>
        <w:tc>
          <w:tcPr>
            <w:tcW w:type="dxa" w:w="3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tcPr>
          <w:p>
            <w:r>
              <w:rPr>
                <w:rFonts w:ascii="Arial" w:cs="Arial" w:eastAsia="Arial" w:hAnsi="Arial"/>
                <w:b/>
                <w:bCs/>
                <w:color w:val="1B2631"/>
                <w:sz w:val="18"/>
                <w:szCs w:val="18"/>
              </w:rPr>
              <w:t xml:space="preserve">Sidebar et Header invisibles sur mobile</w:t>
            </w:r>
          </w:p>
          <w:p>
            <w:r>
              <w:rPr>
                <w:rFonts w:ascii="Courier New" w:cs="Courier New" w:eastAsia="Courier New" w:hAnsi="Courier New"/>
                <w:color w:val="7F8C8D"/>
                <w:sz w:val="15"/>
                <w:szCs w:val="15"/>
              </w:rPr>
              <w:t xml:space="preserve">frontend/src/components/layout/ — Sidebar.css + Header.css</w:t>
            </w:r>
          </w:p>
        </w:tc>
        <w:tc>
          <w:tcPr>
            <w:tcW w:type="dxa" w:w="760"/>
            <w:tcBorders>
              <w:top w:val="single" w:color="BDC3C7" w:sz="1"/>
              <w:left w:val="single" w:color="BDC3C7" w:sz="1"/>
              <w:bottom w:val="single" w:color="BDC3C7" w:sz="1"/>
              <w:right w:val="single" w:color="BDC3C7"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5"/>
                <w:szCs w:val="15"/>
              </w:rPr>
              <w:t xml:space="preserve">🔴 BUG</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BLOQUANT (noté dans la fiche de suivi). La sidebar n'est pas visible en portrait mobile. Le header est invisible en portrait ET en paysage. L'application est inutilisable sur téléphone.</w:t>
            </w:r>
            <w:r>
              <w:br/>
            </w:r>
            <w:r>
              <w:rPr>
                <w:rFonts w:ascii="Courier New" w:cs="Courier New" w:eastAsia="Courier New" w:hAnsi="Courier New"/>
                <w:color w:val="8B0000"/>
                <w:sz w:val="15"/>
                <w:szCs w:val="15"/>
              </w:rPr>
              <w:t xml:space="preserve">— Sidebar : non visible en mode portrait
— Header : invisible portrait ET paysage</w:t>
            </w:r>
            <w:r>
              <w:br/>
            </w:r>
            <w:r>
              <w:rPr>
                <w:rFonts w:ascii="Arial" w:cs="Arial" w:eastAsia="Arial" w:hAnsi="Arial"/>
                <w:b/>
                <w:bCs/>
                <w:color w:val="1E8449"/>
                <w:sz w:val="18"/>
                <w:szCs w:val="18"/>
              </w:rPr>
              <w:t xml:space="preserve">→ Ajouter des media queries @media (max-width: 768px) dans Sidebar.css et Header.css pour gérer les deux orientations</w:t>
            </w:r>
          </w:p>
        </w:tc>
      </w:tr>
      <w:tr>
        <w:tc>
          <w:tcPr>
            <w:tcW w:type="dxa" w:w="480"/>
            <w:tcBorders>
              <w:top w:val="single" w:color="BDC3C7" w:sz="1"/>
              <w:left w:val="single" w:color="BDC3C7" w:sz="1"/>
              <w:bottom w:val="single" w:color="BDC3C7" w:sz="1"/>
              <w:right w:val="single" w:color="BDC3C7" w:sz="1"/>
            </w:tcBorders>
            <w:shd w:fill="FADBD8" w:val="clear"/>
            <w:tcMar>
              <w:top w:type="dxa" w:w="80"/>
              <w:left w:type="dxa" w:w="100"/>
              <w:bottom w:type="dxa" w:w="80"/>
              <w:right w:type="dxa" w:w="80"/>
            </w:tcMar>
          </w:tcPr>
          <w:p>
            <w:pPr>
              <w:jc w:val="center"/>
            </w:pPr>
            <w:r>
              <w:rPr>
                <w:rFonts w:ascii="Arial" w:cs="Arial" w:eastAsia="Arial" w:hAnsi="Arial"/>
                <w:b/>
                <w:bCs/>
                <w:color w:val="C0392B"/>
                <w:sz w:val="18"/>
                <w:szCs w:val="18"/>
              </w:rPr>
              <w:t xml:space="preserve">03</w:t>
            </w:r>
          </w:p>
        </w:tc>
        <w:tc>
          <w:tcPr>
            <w:tcW w:type="dxa" w:w="3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tcPr>
          <w:p>
            <w:r>
              <w:rPr>
                <w:rFonts w:ascii="Arial" w:cs="Arial" w:eastAsia="Arial" w:hAnsi="Arial"/>
                <w:b/>
                <w:bCs/>
                <w:color w:val="1B2631"/>
                <w:sz w:val="18"/>
                <w:szCs w:val="18"/>
              </w:rPr>
              <w:t xml:space="preserve">Espace parasite dans ALLOWED_HOSTS (Codespaces port 8000)</w:t>
            </w:r>
          </w:p>
          <w:p>
            <w:r>
              <w:rPr>
                <w:rFonts w:ascii="Courier New" w:cs="Courier New" w:eastAsia="Courier New" w:hAnsi="Courier New"/>
                <w:color w:val="7F8C8D"/>
                <w:sz w:val="15"/>
                <w:szCs w:val="15"/>
              </w:rPr>
              <w:t xml:space="preserve">backend/damxscorp/settings.py — ligne 37</w:t>
            </w:r>
          </w:p>
        </w:tc>
        <w:tc>
          <w:tcPr>
            <w:tcW w:type="dxa" w:w="760"/>
            <w:tcBorders>
              <w:top w:val="single" w:color="BDC3C7" w:sz="1"/>
              <w:left w:val="single" w:color="BDC3C7" w:sz="1"/>
              <w:bottom w:val="single" w:color="BDC3C7" w:sz="1"/>
              <w:right w:val="single" w:color="BDC3C7"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5"/>
                <w:szCs w:val="15"/>
              </w:rPr>
              <w:t xml:space="preserve">🔴 BUG</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Un espace se trouve au début du domaine Codespaces. Django rejette toutes les requêtes sur le port 8000 depuis Codespaces avec une DisallowedHost error.</w:t>
            </w:r>
            <w:r>
              <w:br/>
            </w:r>
            <w:r>
              <w:rPr>
                <w:rFonts w:ascii="Courier New" w:cs="Courier New" w:eastAsia="Courier New" w:hAnsi="Courier New"/>
                <w:color w:val="8B0000"/>
                <w:sz w:val="15"/>
                <w:szCs w:val="15"/>
              </w:rPr>
              <w:t xml:space="preserve">' curly-space-funicular-...-8000.app.github.dev'  ← espace en trop</w:t>
            </w:r>
            <w:r>
              <w:br/>
            </w:r>
            <w:r>
              <w:rPr>
                <w:rFonts w:ascii="Arial" w:cs="Arial" w:eastAsia="Arial" w:hAnsi="Arial"/>
                <w:b/>
                <w:bCs/>
                <w:color w:val="1E8449"/>
                <w:sz w:val="18"/>
                <w:szCs w:val="18"/>
              </w:rPr>
              <w:t xml:space="preserve">→ Supprimer l'espace initial</w:t>
            </w:r>
          </w:p>
        </w:tc>
      </w:tr>
      <w:tr>
        <w:tc>
          <w:tcPr>
            <w:tcW w:type="dxa" w:w="480"/>
            <w:tcBorders>
              <w:top w:val="single" w:color="BDC3C7" w:sz="1"/>
              <w:left w:val="single" w:color="BDC3C7" w:sz="1"/>
              <w:bottom w:val="single" w:color="BDC3C7" w:sz="1"/>
              <w:right w:val="single" w:color="BDC3C7" w:sz="1"/>
            </w:tcBorders>
            <w:shd w:fill="FADBD8" w:val="clear"/>
            <w:tcMar>
              <w:top w:type="dxa" w:w="80"/>
              <w:left w:type="dxa" w:w="100"/>
              <w:bottom w:type="dxa" w:w="80"/>
              <w:right w:type="dxa" w:w="80"/>
            </w:tcMar>
          </w:tcPr>
          <w:p>
            <w:pPr>
              <w:jc w:val="center"/>
            </w:pPr>
            <w:r>
              <w:rPr>
                <w:rFonts w:ascii="Arial" w:cs="Arial" w:eastAsia="Arial" w:hAnsi="Arial"/>
                <w:b/>
                <w:bCs/>
                <w:color w:val="C0392B"/>
                <w:sz w:val="18"/>
                <w:szCs w:val="18"/>
              </w:rPr>
              <w:t xml:space="preserve">04</w:t>
            </w:r>
          </w:p>
        </w:tc>
        <w:tc>
          <w:tcPr>
            <w:tcW w:type="dxa" w:w="3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tcPr>
          <w:p>
            <w:r>
              <w:rPr>
                <w:rFonts w:ascii="Arial" w:cs="Arial" w:eastAsia="Arial" w:hAnsi="Arial"/>
                <w:b/>
                <w:bCs/>
                <w:color w:val="1B2631"/>
                <w:sz w:val="18"/>
                <w:szCs w:val="18"/>
              </w:rPr>
              <w:t xml:space="preserve">Prix de pièce TTC utilisé comme base HT dans les devis/factures</w:t>
            </w:r>
          </w:p>
          <w:p>
            <w:r>
              <w:rPr>
                <w:rFonts w:ascii="Courier New" w:cs="Courier New" w:eastAsia="Courier New" w:hAnsi="Courier New"/>
                <w:color w:val="7F8C8D"/>
                <w:sz w:val="15"/>
                <w:szCs w:val="15"/>
              </w:rPr>
              <w:t xml:space="preserve">backend/stock/models.py + backend/factures/models.py</w:t>
            </w:r>
          </w:p>
        </w:tc>
        <w:tc>
          <w:tcPr>
            <w:tcW w:type="dxa" w:w="760"/>
            <w:tcBorders>
              <w:top w:val="single" w:color="BDC3C7" w:sz="1"/>
              <w:left w:val="single" w:color="BDC3C7" w:sz="1"/>
              <w:bottom w:val="single" w:color="BDC3C7" w:sz="1"/>
              <w:right w:val="single" w:color="BDC3C7"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5"/>
                <w:szCs w:val="15"/>
              </w:rPr>
              <w:t xml:space="preserve">🔴 BUG</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Piece.prix_vente est décrit comme 'Prix de vente TTC au client'. Mais dans les lignes de devis/facture, ce prix sert de montant HT sur lequel la TVA est recalculée. Double TVA silencieuse.</w:t>
            </w:r>
            <w:r>
              <w:br/>
            </w:r>
            <w:r>
              <w:rPr>
                <w:rFonts w:ascii="Courier New" w:cs="Courier New" w:eastAsia="Courier New" w:hAnsi="Courier New"/>
                <w:color w:val="8B0000"/>
                <w:sz w:val="15"/>
                <w:szCs w:val="15"/>
              </w:rPr>
              <w:t xml:space="preserve">prix_vente = 'Prix de vente TTC au client'  # modèle Piece
→ utilisé comme base HT dans calculer_montants() → TVA calculée deux fois</w:t>
            </w:r>
            <w:r>
              <w:br/>
            </w:r>
            <w:r>
              <w:rPr>
                <w:rFonts w:ascii="Arial" w:cs="Arial" w:eastAsia="Arial" w:hAnsi="Arial"/>
                <w:b/>
                <w:bCs/>
                <w:color w:val="1E8449"/>
                <w:sz w:val="18"/>
                <w:szCs w:val="18"/>
              </w:rPr>
              <w:t xml:space="preserve">→ Définir prix_vente comme HT dans le modèle Piece (corriger le help_text) OU utiliser un champ prix_ht séparé dans les lignes de devis/facture</w:t>
            </w:r>
          </w:p>
        </w:tc>
      </w:tr>
      <w:tr>
        <w:tc>
          <w:tcPr>
            <w:tcW w:type="dxa" w:w="480"/>
            <w:tcBorders>
              <w:top w:val="single" w:color="BDC3C7" w:sz="1"/>
              <w:left w:val="single" w:color="BDC3C7" w:sz="1"/>
              <w:bottom w:val="single" w:color="BDC3C7" w:sz="1"/>
              <w:right w:val="single" w:color="BDC3C7" w:sz="1"/>
            </w:tcBorders>
            <w:shd w:fill="FADBD8" w:val="clear"/>
            <w:tcMar>
              <w:top w:type="dxa" w:w="80"/>
              <w:left w:type="dxa" w:w="100"/>
              <w:bottom w:type="dxa" w:w="80"/>
              <w:right w:type="dxa" w:w="80"/>
            </w:tcMar>
          </w:tcPr>
          <w:p>
            <w:pPr>
              <w:jc w:val="center"/>
            </w:pPr>
            <w:r>
              <w:rPr>
                <w:rFonts w:ascii="Arial" w:cs="Arial" w:eastAsia="Arial" w:hAnsi="Arial"/>
                <w:b/>
                <w:bCs/>
                <w:color w:val="C0392B"/>
                <w:sz w:val="18"/>
                <w:szCs w:val="18"/>
              </w:rPr>
              <w:t xml:space="preserve">05</w:t>
            </w:r>
          </w:p>
        </w:tc>
        <w:tc>
          <w:tcPr>
            <w:tcW w:type="dxa" w:w="3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tcPr>
          <w:p>
            <w:r>
              <w:rPr>
                <w:rFonts w:ascii="Arial" w:cs="Arial" w:eastAsia="Arial" w:hAnsi="Arial"/>
                <w:b/>
                <w:bCs/>
                <w:color w:val="1B2631"/>
                <w:sz w:val="18"/>
                <w:szCs w:val="18"/>
              </w:rPr>
              <w:t xml:space="preserve">Enregistrement paiement : remplacement au lieu d'accumulation</w:t>
            </w:r>
          </w:p>
          <w:p>
            <w:r>
              <w:rPr>
                <w:rFonts w:ascii="Courier New" w:cs="Courier New" w:eastAsia="Courier New" w:hAnsi="Courier New"/>
                <w:color w:val="7F8C8D"/>
                <w:sz w:val="15"/>
                <w:szCs w:val="15"/>
              </w:rPr>
              <w:t xml:space="preserve">backend/factures/views.py — facture_enregistrer_paiement()</w:t>
            </w:r>
          </w:p>
        </w:tc>
        <w:tc>
          <w:tcPr>
            <w:tcW w:type="dxa" w:w="760"/>
            <w:tcBorders>
              <w:top w:val="single" w:color="BDC3C7" w:sz="1"/>
              <w:left w:val="single" w:color="BDC3C7" w:sz="1"/>
              <w:bottom w:val="single" w:color="BDC3C7" w:sz="1"/>
              <w:right w:val="single" w:color="BDC3C7"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5"/>
                <w:szCs w:val="15"/>
              </w:rPr>
              <w:t xml:space="preserve">🔴 BUG</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La vue remplace montant_paye par la valeur reçue au lieu de l'additionner. Si le client paie 50€ puis 50€ de plus, le solde reste à 50€ au lieu de 100€.</w:t>
            </w:r>
            <w:r>
              <w:br/>
            </w:r>
            <w:r>
              <w:rPr>
                <w:rFonts w:ascii="Courier New" w:cs="Courier New" w:eastAsia="Courier New" w:hAnsi="Courier New"/>
                <w:color w:val="8B0000"/>
                <w:sz w:val="15"/>
                <w:szCs w:val="15"/>
              </w:rPr>
              <w:t xml:space="preserve">facture.montant_paye = montant  # Remplace ! Pas d'accumulation</w:t>
            </w:r>
            <w:r>
              <w:br/>
            </w:r>
            <w:r>
              <w:rPr>
                <w:rFonts w:ascii="Arial" w:cs="Arial" w:eastAsia="Arial" w:hAnsi="Arial"/>
                <w:b/>
                <w:bCs/>
                <w:color w:val="1E8449"/>
                <w:sz w:val="18"/>
                <w:szCs w:val="18"/>
              </w:rPr>
              <w:t xml:space="preserve">→ Clarifier l'intention : si on veut des versements cumulés → facture.montant_paye += montant. Si on veut passer un total → documenter clairement</w:t>
            </w:r>
          </w:p>
        </w:tc>
      </w:tr>
      <w:tr>
        <w:tc>
          <w:tcPr>
            <w:tcW w:type="dxa" w:w="480"/>
            <w:tcBorders>
              <w:top w:val="single" w:color="BDC3C7" w:sz="1"/>
              <w:left w:val="single" w:color="BDC3C7" w:sz="1"/>
              <w:bottom w:val="single" w:color="BDC3C7" w:sz="1"/>
              <w:right w:val="single" w:color="BDC3C7" w:sz="1"/>
            </w:tcBorders>
            <w:shd w:fill="FADBD8" w:val="clear"/>
            <w:tcMar>
              <w:top w:type="dxa" w:w="80"/>
              <w:left w:type="dxa" w:w="100"/>
              <w:bottom w:type="dxa" w:w="80"/>
              <w:right w:type="dxa" w:w="80"/>
            </w:tcMar>
          </w:tcPr>
          <w:p>
            <w:pPr>
              <w:jc w:val="center"/>
            </w:pPr>
            <w:r>
              <w:rPr>
                <w:rFonts w:ascii="Arial" w:cs="Arial" w:eastAsia="Arial" w:hAnsi="Arial"/>
                <w:b/>
                <w:bCs/>
                <w:color w:val="C0392B"/>
                <w:sz w:val="18"/>
                <w:szCs w:val="18"/>
              </w:rPr>
              <w:t xml:space="preserve">06</w:t>
            </w:r>
          </w:p>
        </w:tc>
        <w:tc>
          <w:tcPr>
            <w:tcW w:type="dxa" w:w="3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tcPr>
          <w:p>
            <w:r>
              <w:rPr>
                <w:rFonts w:ascii="Arial" w:cs="Arial" w:eastAsia="Arial" w:hAnsi="Arial"/>
                <w:b/>
                <w:bCs/>
                <w:color w:val="1B2631"/>
                <w:sz w:val="18"/>
                <w:szCs w:val="18"/>
              </w:rPr>
              <w:t xml:space="preserve">Champs obsolètes dans rdvService (type_rdv, type_intervention)</w:t>
            </w:r>
          </w:p>
          <w:p>
            <w:r>
              <w:rPr>
                <w:rFonts w:ascii="Courier New" w:cs="Courier New" w:eastAsia="Courier New" w:hAnsi="Courier New"/>
                <w:color w:val="7F8C8D"/>
                <w:sz w:val="15"/>
                <w:szCs w:val="15"/>
              </w:rPr>
              <w:t xml:space="preserve">frontend/src/pages/RendezVous/rdvService.js — lignes 77-88, 178-188</w:t>
            </w:r>
          </w:p>
        </w:tc>
        <w:tc>
          <w:tcPr>
            <w:tcW w:type="dxa" w:w="760"/>
            <w:tcBorders>
              <w:top w:val="single" w:color="BDC3C7" w:sz="1"/>
              <w:left w:val="single" w:color="BDC3C7" w:sz="1"/>
              <w:bottom w:val="single" w:color="BDC3C7" w:sz="1"/>
              <w:right w:val="single" w:color="BDC3C7"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5"/>
                <w:szCs w:val="15"/>
              </w:rPr>
              <w:t xml:space="preserve">🔴 BUG</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Les fonctions searchRdvs() et formatEventsForCalendar() utilisent intervention.type_rdv et type_intervention qui n'existent plus (remplacés par departement). La recherche de RDV ne retourne jamais rien sur ces critères. Le titre du calendrier affichera 'nom - undefined'.</w:t>
            </w:r>
            <w:r>
              <w:br/>
            </w:r>
            <w:r>
              <w:rPr>
                <w:rFonts w:ascii="Courier New" w:cs="Courier New" w:eastAsia="Courier New" w:hAnsi="Courier New"/>
                <w:color w:val="8B0000"/>
                <w:sz w:val="15"/>
                <w:szCs w:val="15"/>
              </w:rPr>
              <w:t xml:space="preserve">title: `${intervention.client_nom} - ${intervention.type_rdv}`  // undefined !
r.type_rdv?.toLowerCase().includes(q)  // champ inexistant dans l'API</w:t>
            </w:r>
            <w:r>
              <w:br/>
            </w:r>
            <w:r>
              <w:rPr>
                <w:rFonts w:ascii="Arial" w:cs="Arial" w:eastAsia="Arial" w:hAnsi="Arial"/>
                <w:b/>
                <w:bCs/>
                <w:color w:val="1E8449"/>
                <w:sz w:val="18"/>
                <w:szCs w:val="18"/>
              </w:rPr>
              <w:t xml:space="preserve">→ Remplacer type_rdv par departement?.nom et type_intervention par le champ réel de l'API</w:t>
            </w:r>
          </w:p>
        </w:tc>
      </w:tr>
    </w:tbl>
    <w:p>
      <w:pPr>
        <w:spacing w:after="0" w:before="60"/>
      </w:pPr>
      <w:r>
        <w:t xml:space="preserve"/>
      </w:r>
    </w:p>
    <w:p>
      <w:pPr>
        <w:pStyle w:val="Heading1"/>
        <w:pBdr>
          <w:bottom w:val="single" w:color="D35400" w:sz="6" w:space="1"/>
        </w:pBdr>
        <w:spacing w:after="160" w:before="400"/>
      </w:pPr>
      <w:r>
        <w:rPr>
          <w:rFonts w:ascii="Arial" w:cs="Arial" w:eastAsia="Arial" w:hAnsi="Arial"/>
          <w:b/>
          <w:bCs/>
          <w:color w:val="D35400"/>
          <w:sz w:val="30"/>
          <w:szCs w:val="30"/>
        </w:rPr>
        <w:t xml:space="preserve">5. Incohérences &amp; risques logiques</w:t>
      </w:r>
    </w:p>
    <w:p>
      <w:pPr>
        <w:spacing w:after="60" w:before="60"/>
      </w:pPr>
      <w:r>
        <w:rPr>
          <w:rFonts w:ascii="Arial" w:cs="Arial" w:eastAsia="Arial" w:hAnsi="Arial"/>
          <w:sz w:val="20"/>
          <w:szCs w:val="20"/>
        </w:rPr>
        <w:t xml:space="preserve">Ces problèmes ne bloquent pas immédiatement mais créent de la confusion, des risques de régression ou des comportements inattendus à terme.</w:t>
      </w:r>
    </w:p>
    <w:p>
      <w:pPr>
        <w:spacing w:after="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760"/>
        <w:gridCol w:w="4860"/>
      </w:tblGrid>
      <w:tr>
        <w:trPr>
          <w:tblHeader/>
        </w:trPr>
        <w:tc>
          <w:tcPr>
            <w:tcW w:type="dxa" w:w="48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w:t>
            </w:r>
          </w:p>
        </w:tc>
        <w:tc>
          <w:tcPr>
            <w:tcW w:type="dxa" w:w="30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Problème / Fichier</w:t>
            </w:r>
          </w:p>
        </w:tc>
        <w:tc>
          <w:tcPr>
            <w:tcW w:type="dxa" w:w="7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Sévérité</w:t>
            </w:r>
          </w:p>
        </w:tc>
        <w:tc>
          <w:tcPr>
            <w:tcW w:type="dxa" w:w="48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Détail &amp; Conseil</w:t>
            </w:r>
          </w:p>
        </w:tc>
      </w:tr>
      <w:tr>
        <w:tc>
          <w:tcPr>
            <w:tcW w:type="dxa" w:w="480"/>
            <w:tcBorders>
              <w:top w:val="single" w:color="BDC3C7" w:sz="1"/>
              <w:left w:val="single" w:color="BDC3C7" w:sz="1"/>
              <w:bottom w:val="single" w:color="BDC3C7" w:sz="1"/>
              <w:right w:val="single" w:color="BDC3C7" w:sz="1"/>
            </w:tcBorders>
            <w:shd w:fill="FDEBD0" w:val="clear"/>
            <w:tcMar>
              <w:top w:type="dxa" w:w="80"/>
              <w:left w:type="dxa" w:w="100"/>
              <w:bottom w:type="dxa" w:w="80"/>
              <w:right w:type="dxa" w:w="80"/>
            </w:tcMar>
          </w:tcPr>
          <w:p>
            <w:pPr>
              <w:jc w:val="center"/>
            </w:pPr>
            <w:r>
              <w:rPr>
                <w:rFonts w:ascii="Arial" w:cs="Arial" w:eastAsia="Arial" w:hAnsi="Arial"/>
                <w:b/>
                <w:bCs/>
                <w:color w:val="D35400"/>
                <w:sz w:val="18"/>
                <w:szCs w:val="18"/>
              </w:rPr>
              <w:t xml:space="preserve">07</w:t>
            </w:r>
          </w:p>
        </w:tc>
        <w:tc>
          <w:tcPr>
            <w:tcW w:type="dxa" w:w="3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80"/>
            </w:tcMar>
          </w:tcPr>
          <w:p>
            <w:r>
              <w:rPr>
                <w:rFonts w:ascii="Arial" w:cs="Arial" w:eastAsia="Arial" w:hAnsi="Arial"/>
                <w:b/>
                <w:bCs/>
                <w:color w:val="1B2631"/>
                <w:sz w:val="18"/>
                <w:szCs w:val="18"/>
              </w:rPr>
              <w:t xml:space="preserve">5 instances axios dupliquées (violation règle architecture)</w:t>
            </w:r>
          </w:p>
          <w:p>
            <w:r>
              <w:rPr>
                <w:rFonts w:ascii="Courier New" w:cs="Courier New" w:eastAsia="Courier New" w:hAnsi="Courier New"/>
                <w:color w:val="7F8C8D"/>
                <w:sz w:val="15"/>
                <w:szCs w:val="15"/>
              </w:rPr>
              <w:t xml:space="preserve">devisService.js / factureService.js / fournisseurService.js / parametresService.js / api.js</w:t>
            </w:r>
          </w:p>
        </w:tc>
        <w:tc>
          <w:tcPr>
            <w:tcW w:type="dxa" w:w="76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vAlign w:val="center"/>
          </w:tcPr>
          <w:p>
            <w:pPr>
              <w:jc w:val="center"/>
            </w:pPr>
            <w:r>
              <w:rPr>
                <w:rFonts w:ascii="Arial" w:cs="Arial" w:eastAsia="Arial" w:hAnsi="Arial"/>
                <w:b/>
                <w:bCs/>
                <w:color w:val="D35400"/>
                <w:sz w:val="15"/>
                <w:szCs w:val="15"/>
              </w:rPr>
              <w:t xml:space="preserve">🟡 WARN</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La convention du projet impose : Component → Service → api.js → Django. Mais devisService, factureService, fournisseurService et parametresService créent chacun leur propre axios.create() identique à api.js. Si tu dois ajouter un header global, tu le fais dans 5 endroits.</w:t>
            </w:r>
            <w:r>
              <w:br/>
            </w:r>
            <w:r>
              <w:rPr>
                <w:rFonts w:ascii="Courier New" w:cs="Courier New" w:eastAsia="Courier New" w:hAnsi="Courier New"/>
                <w:color w:val="8B0000"/>
                <w:sz w:val="15"/>
                <w:szCs w:val="15"/>
              </w:rPr>
              <w:t xml:space="preserve">// Répété dans chaque service :
const api = axios.create({ baseURL: ..., headers: {...} });</w:t>
            </w:r>
            <w:r>
              <w:br/>
            </w:r>
            <w:r>
              <w:rPr>
                <w:rFonts w:ascii="Arial" w:cs="Arial" w:eastAsia="Arial" w:hAnsi="Arial"/>
                <w:b/>
                <w:bCs/>
                <w:color w:val="1E8449"/>
                <w:sz w:val="18"/>
                <w:szCs w:val="18"/>
              </w:rPr>
              <w:t xml:space="preserve">→ Exporter l'instance axios de services/api.js et l'importer dans les autres services</w:t>
            </w:r>
          </w:p>
        </w:tc>
      </w:tr>
      <w:tr>
        <w:tc>
          <w:tcPr>
            <w:tcW w:type="dxa" w:w="480"/>
            <w:tcBorders>
              <w:top w:val="single" w:color="BDC3C7" w:sz="1"/>
              <w:left w:val="single" w:color="BDC3C7" w:sz="1"/>
              <w:bottom w:val="single" w:color="BDC3C7" w:sz="1"/>
              <w:right w:val="single" w:color="BDC3C7" w:sz="1"/>
            </w:tcBorders>
            <w:shd w:fill="FDEBD0" w:val="clear"/>
            <w:tcMar>
              <w:top w:type="dxa" w:w="80"/>
              <w:left w:type="dxa" w:w="100"/>
              <w:bottom w:type="dxa" w:w="80"/>
              <w:right w:type="dxa" w:w="80"/>
            </w:tcMar>
          </w:tcPr>
          <w:p>
            <w:pPr>
              <w:jc w:val="center"/>
            </w:pPr>
            <w:r>
              <w:rPr>
                <w:rFonts w:ascii="Arial" w:cs="Arial" w:eastAsia="Arial" w:hAnsi="Arial"/>
                <w:b/>
                <w:bCs/>
                <w:color w:val="D35400"/>
                <w:sz w:val="18"/>
                <w:szCs w:val="18"/>
              </w:rPr>
              <w:t xml:space="preserve">08</w:t>
            </w:r>
          </w:p>
        </w:tc>
        <w:tc>
          <w:tcPr>
            <w:tcW w:type="dxa" w:w="3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80"/>
            </w:tcMar>
          </w:tcPr>
          <w:p>
            <w:r>
              <w:rPr>
                <w:rFonts w:ascii="Arial" w:cs="Arial" w:eastAsia="Arial" w:hAnsi="Arial"/>
                <w:b/>
                <w:bCs/>
                <w:color w:val="1B2631"/>
                <w:sz w:val="18"/>
                <w:szCs w:val="18"/>
              </w:rPr>
              <w:t xml:space="preserve">FactureForm / FactureDetail non encore connectées à Modal.jsx</w:t>
            </w:r>
          </w:p>
          <w:p>
            <w:r>
              <w:rPr>
                <w:rFonts w:ascii="Courier New" w:cs="Courier New" w:eastAsia="Courier New" w:hAnsi="Courier New"/>
                <w:color w:val="7F8C8D"/>
                <w:sz w:val="15"/>
                <w:szCs w:val="15"/>
              </w:rPr>
              <w:t xml:space="preserve">frontend/src/pages/Factures/Factures/FactureForm.jsx</w:t>
            </w:r>
          </w:p>
        </w:tc>
        <w:tc>
          <w:tcPr>
            <w:tcW w:type="dxa" w:w="76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vAlign w:val="center"/>
          </w:tcPr>
          <w:p>
            <w:pPr>
              <w:jc w:val="center"/>
            </w:pPr>
            <w:r>
              <w:rPr>
                <w:rFonts w:ascii="Arial" w:cs="Arial" w:eastAsia="Arial" w:hAnsi="Arial"/>
                <w:b/>
                <w:bCs/>
                <w:color w:val="D35400"/>
                <w:sz w:val="15"/>
                <w:szCs w:val="15"/>
              </w:rPr>
              <w:t xml:space="preserve">🟡 WARN</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La convention du projet stipule 'Toute modale passe par Modal.jsx'. Or les modales de factures n'utilisent pas encore Modal.jsx (noté comme TODO dans la fiche de suivi). C'est une incohérence visuelle avec les 10 autres modales.</w:t>
            </w:r>
            <w:r>
              <w:br/>
            </w:r>
            <w:r>
              <w:rPr>
                <w:rFonts w:ascii="Courier New" w:cs="Courier New" w:eastAsia="Courier New" w:hAnsi="Courier New"/>
                <w:color w:val="8B0000"/>
                <w:sz w:val="15"/>
                <w:szCs w:val="15"/>
              </w:rPr>
              <w:t xml:space="preserve">// Toutes les autres modales utilisent Modal.jsx
// FactureForm reste à connecter</w:t>
            </w:r>
            <w:r>
              <w:br/>
            </w:r>
            <w:r>
              <w:rPr>
                <w:rFonts w:ascii="Arial" w:cs="Arial" w:eastAsia="Arial" w:hAnsi="Arial"/>
                <w:b/>
                <w:bCs/>
                <w:color w:val="1E8449"/>
                <w:sz w:val="18"/>
                <w:szCs w:val="18"/>
              </w:rPr>
              <w:t xml:space="preserve">→ Adapter FactureForm.jsx et FactureDetail.jsx pour utiliser Modal.jsx comme coquille</w:t>
            </w:r>
          </w:p>
        </w:tc>
      </w:tr>
      <w:tr>
        <w:tc>
          <w:tcPr>
            <w:tcW w:type="dxa" w:w="480"/>
            <w:tcBorders>
              <w:top w:val="single" w:color="BDC3C7" w:sz="1"/>
              <w:left w:val="single" w:color="BDC3C7" w:sz="1"/>
              <w:bottom w:val="single" w:color="BDC3C7" w:sz="1"/>
              <w:right w:val="single" w:color="BDC3C7" w:sz="1"/>
            </w:tcBorders>
            <w:shd w:fill="FDEBD0" w:val="clear"/>
            <w:tcMar>
              <w:top w:type="dxa" w:w="80"/>
              <w:left w:type="dxa" w:w="100"/>
              <w:bottom w:type="dxa" w:w="80"/>
              <w:right w:type="dxa" w:w="80"/>
            </w:tcMar>
          </w:tcPr>
          <w:p>
            <w:pPr>
              <w:jc w:val="center"/>
            </w:pPr>
            <w:r>
              <w:rPr>
                <w:rFonts w:ascii="Arial" w:cs="Arial" w:eastAsia="Arial" w:hAnsi="Arial"/>
                <w:b/>
                <w:bCs/>
                <w:color w:val="D35400"/>
                <w:sz w:val="18"/>
                <w:szCs w:val="18"/>
              </w:rPr>
              <w:t xml:space="preserve">09</w:t>
            </w:r>
          </w:p>
        </w:tc>
        <w:tc>
          <w:tcPr>
            <w:tcW w:type="dxa" w:w="3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80"/>
            </w:tcMar>
          </w:tcPr>
          <w:p>
            <w:r>
              <w:rPr>
                <w:rFonts w:ascii="Arial" w:cs="Arial" w:eastAsia="Arial" w:hAnsi="Arial"/>
                <w:b/>
                <w:bCs/>
                <w:color w:val="1B2631"/>
                <w:sz w:val="18"/>
                <w:szCs w:val="18"/>
              </w:rPr>
              <w:t xml:space="preserve">Suppression client/véhicule en CASCADE sur les documents métier</w:t>
            </w:r>
          </w:p>
          <w:p>
            <w:r>
              <w:rPr>
                <w:rFonts w:ascii="Courier New" w:cs="Courier New" w:eastAsia="Courier New" w:hAnsi="Courier New"/>
                <w:color w:val="7F8C8D"/>
                <w:sz w:val="15"/>
                <w:szCs w:val="15"/>
              </w:rPr>
              <w:t xml:space="preserve">backend/factures/models.py + backend/planning/models.py</w:t>
            </w:r>
          </w:p>
        </w:tc>
        <w:tc>
          <w:tcPr>
            <w:tcW w:type="dxa" w:w="76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vAlign w:val="center"/>
          </w:tcPr>
          <w:p>
            <w:pPr>
              <w:jc w:val="center"/>
            </w:pPr>
            <w:r>
              <w:rPr>
                <w:rFonts w:ascii="Arial" w:cs="Arial" w:eastAsia="Arial" w:hAnsi="Arial"/>
                <w:b/>
                <w:bCs/>
                <w:color w:val="D35400"/>
                <w:sz w:val="15"/>
                <w:szCs w:val="15"/>
              </w:rPr>
              <w:t xml:space="preserve">🟡 WARN</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Supprimer un client efface toutes ses factures et devis (CASCADE). Supprimer un véhicule efface toutes ses interventions (CASCADE). L'historique comptable et atelier disparaît sans récupération possible.</w:t>
            </w:r>
            <w:r>
              <w:br/>
            </w:r>
            <w:r>
              <w:rPr>
                <w:rFonts w:ascii="Courier New" w:cs="Courier New" w:eastAsia="Courier New" w:hAnsi="Courier New"/>
                <w:color w:val="8B0000"/>
                <w:sz w:val="15"/>
                <w:szCs w:val="15"/>
              </w:rPr>
              <w:t xml:space="preserve"># Facture.client et Devis.client : on_delete=CASCADE
# Intervention.vehicule : on_delete=CASCADE</w:t>
            </w:r>
            <w:r>
              <w:br/>
            </w:r>
            <w:r>
              <w:rPr>
                <w:rFonts w:ascii="Arial" w:cs="Arial" w:eastAsia="Arial" w:hAnsi="Arial"/>
                <w:b/>
                <w:bCs/>
                <w:color w:val="1E8449"/>
                <w:sz w:val="18"/>
                <w:szCs w:val="18"/>
              </w:rPr>
              <w:t xml:space="preserve">→ Utiliser PROTECT sur les factures/devis (bloquer la suppression), SET_NULL sur les interventions (garder l'historique sans le véhicule)</w:t>
            </w:r>
          </w:p>
        </w:tc>
      </w:tr>
      <w:tr>
        <w:tc>
          <w:tcPr>
            <w:tcW w:type="dxa" w:w="480"/>
            <w:tcBorders>
              <w:top w:val="single" w:color="BDC3C7" w:sz="1"/>
              <w:left w:val="single" w:color="BDC3C7" w:sz="1"/>
              <w:bottom w:val="single" w:color="BDC3C7" w:sz="1"/>
              <w:right w:val="single" w:color="BDC3C7" w:sz="1"/>
            </w:tcBorders>
            <w:shd w:fill="FDEBD0" w:val="clear"/>
            <w:tcMar>
              <w:top w:type="dxa" w:w="80"/>
              <w:left w:type="dxa" w:w="100"/>
              <w:bottom w:type="dxa" w:w="80"/>
              <w:right w:type="dxa" w:w="80"/>
            </w:tcMar>
          </w:tcPr>
          <w:p>
            <w:pPr>
              <w:jc w:val="center"/>
            </w:pPr>
            <w:r>
              <w:rPr>
                <w:rFonts w:ascii="Arial" w:cs="Arial" w:eastAsia="Arial" w:hAnsi="Arial"/>
                <w:b/>
                <w:bCs/>
                <w:color w:val="D35400"/>
                <w:sz w:val="18"/>
                <w:szCs w:val="18"/>
              </w:rPr>
              <w:t xml:space="preserve">10</w:t>
            </w:r>
          </w:p>
        </w:tc>
        <w:tc>
          <w:tcPr>
            <w:tcW w:type="dxa" w:w="3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80"/>
            </w:tcMar>
          </w:tcPr>
          <w:p>
            <w:r>
              <w:rPr>
                <w:rFonts w:ascii="Arial" w:cs="Arial" w:eastAsia="Arial" w:hAnsi="Arial"/>
                <w:b/>
                <w:bCs/>
                <w:color w:val="1B2631"/>
                <w:sz w:val="18"/>
                <w:szCs w:val="18"/>
              </w:rPr>
              <w:t xml:space="preserve">Calcul de marge : comparaison prix TTC vs prix HT</w:t>
            </w:r>
          </w:p>
          <w:p>
            <w:r>
              <w:rPr>
                <w:rFonts w:ascii="Courier New" w:cs="Courier New" w:eastAsia="Courier New" w:hAnsi="Courier New"/>
                <w:color w:val="7F8C8D"/>
                <w:sz w:val="15"/>
                <w:szCs w:val="15"/>
              </w:rPr>
              <w:t xml:space="preserve">backend/stock/models.py — properties marge et marge_pourcentage</w:t>
            </w:r>
          </w:p>
        </w:tc>
        <w:tc>
          <w:tcPr>
            <w:tcW w:type="dxa" w:w="76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vAlign w:val="center"/>
          </w:tcPr>
          <w:p>
            <w:pPr>
              <w:jc w:val="center"/>
            </w:pPr>
            <w:r>
              <w:rPr>
                <w:rFonts w:ascii="Arial" w:cs="Arial" w:eastAsia="Arial" w:hAnsi="Arial"/>
                <w:b/>
                <w:bCs/>
                <w:color w:val="D35400"/>
                <w:sz w:val="15"/>
                <w:szCs w:val="15"/>
              </w:rPr>
              <w:t xml:space="preserve">🟡 WARN</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prix_vente est décrit TTC, prix_achat est HT. La propriété marge = prix_vente - prix_achat compare deux bases différentes. Les marges affichées sont incorrectes.</w:t>
            </w:r>
            <w:r>
              <w:br/>
            </w:r>
            <w:r>
              <w:rPr>
                <w:rFonts w:ascii="Courier New" w:cs="Courier New" w:eastAsia="Courier New" w:hAnsi="Courier New"/>
                <w:color w:val="8B0000"/>
                <w:sz w:val="15"/>
                <w:szCs w:val="15"/>
              </w:rPr>
              <w:t xml:space="preserve">prix_achat = 'Prix d achat HT chez le fournisseur'
prix_vente = 'Prix de vente TTC au client'
marge = prix_vente - prix_achat  # TTC - HT = résultat faux</w:t>
            </w:r>
            <w:r>
              <w:br/>
            </w:r>
            <w:r>
              <w:rPr>
                <w:rFonts w:ascii="Arial" w:cs="Arial" w:eastAsia="Arial" w:hAnsi="Arial"/>
                <w:b/>
                <w:bCs/>
                <w:color w:val="1E8449"/>
                <w:sz w:val="18"/>
                <w:szCs w:val="18"/>
              </w:rPr>
              <w:t xml:space="preserve">→ Harmoniser : tout en HT (recommandé). Afficher TTC uniquement en lecture dans l'UI</w:t>
            </w:r>
          </w:p>
        </w:tc>
      </w:tr>
      <w:tr>
        <w:tc>
          <w:tcPr>
            <w:tcW w:type="dxa" w:w="480"/>
            <w:tcBorders>
              <w:top w:val="single" w:color="BDC3C7" w:sz="1"/>
              <w:left w:val="single" w:color="BDC3C7" w:sz="1"/>
              <w:bottom w:val="single" w:color="BDC3C7" w:sz="1"/>
              <w:right w:val="single" w:color="BDC3C7" w:sz="1"/>
            </w:tcBorders>
            <w:shd w:fill="FDEBD0" w:val="clear"/>
            <w:tcMar>
              <w:top w:type="dxa" w:w="80"/>
              <w:left w:type="dxa" w:w="100"/>
              <w:bottom w:type="dxa" w:w="80"/>
              <w:right w:type="dxa" w:w="80"/>
            </w:tcMar>
          </w:tcPr>
          <w:p>
            <w:pPr>
              <w:jc w:val="center"/>
            </w:pPr>
            <w:r>
              <w:rPr>
                <w:rFonts w:ascii="Arial" w:cs="Arial" w:eastAsia="Arial" w:hAnsi="Arial"/>
                <w:b/>
                <w:bCs/>
                <w:color w:val="D35400"/>
                <w:sz w:val="18"/>
                <w:szCs w:val="18"/>
              </w:rPr>
              <w:t xml:space="preserve">11</w:t>
            </w:r>
          </w:p>
        </w:tc>
        <w:tc>
          <w:tcPr>
            <w:tcW w:type="dxa" w:w="3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80"/>
            </w:tcMar>
          </w:tcPr>
          <w:p>
            <w:r>
              <w:rPr>
                <w:rFonts w:ascii="Arial" w:cs="Arial" w:eastAsia="Arial" w:hAnsi="Arial"/>
                <w:b/>
                <w:bCs/>
                <w:color w:val="1B2631"/>
                <w:sz w:val="18"/>
                <w:szCs w:val="18"/>
              </w:rPr>
              <w:t xml:space="preserve">Nomenclature FR/EN mélangée sur les véhicules</w:t>
            </w:r>
          </w:p>
          <w:p>
            <w:r>
              <w:rPr>
                <w:rFonts w:ascii="Courier New" w:cs="Courier New" w:eastAsia="Courier New" w:hAnsi="Courier New"/>
                <w:color w:val="7F8C8D"/>
                <w:sz w:val="15"/>
                <w:szCs w:val="15"/>
              </w:rPr>
              <w:t xml:space="preserve">frontend/src/pages/Vehicles/ + services/api.js</w:t>
            </w:r>
          </w:p>
        </w:tc>
        <w:tc>
          <w:tcPr>
            <w:tcW w:type="dxa" w:w="76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vAlign w:val="center"/>
          </w:tcPr>
          <w:p>
            <w:pPr>
              <w:jc w:val="center"/>
            </w:pPr>
            <w:r>
              <w:rPr>
                <w:rFonts w:ascii="Arial" w:cs="Arial" w:eastAsia="Arial" w:hAnsi="Arial"/>
                <w:b/>
                <w:bCs/>
                <w:color w:val="D35400"/>
                <w:sz w:val="15"/>
                <w:szCs w:val="15"/>
              </w:rPr>
              <w:t xml:space="preserve">🟡 WARN</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Le dossier s'appelle 'Vehicles' et le service 'vehicleService' (anglais), mais les fonctions api.js utilisent fetchVehicules/createVehicule (français), et le backend est entièrement en français.</w:t>
            </w:r>
            <w:r>
              <w:br/>
            </w:r>
            <w:r>
              <w:rPr>
                <w:rFonts w:ascii="Courier New" w:cs="Courier New" w:eastAsia="Courier New" w:hAnsi="Courier New"/>
                <w:color w:val="8B0000"/>
                <w:sz w:val="15"/>
                <w:szCs w:val="15"/>
              </w:rPr>
              <w:t xml:space="preserve">Dossier : Vehicles/ | Service : vehicleService.js  ← anglais
API : fetchVehicules(), createVehicule()  ← français</w:t>
            </w:r>
            <w:r>
              <w:br/>
            </w:r>
            <w:r>
              <w:rPr>
                <w:rFonts w:ascii="Arial" w:cs="Arial" w:eastAsia="Arial" w:hAnsi="Arial"/>
                <w:b/>
                <w:bCs/>
                <w:color w:val="1E8449"/>
                <w:sz w:val="18"/>
                <w:szCs w:val="18"/>
              </w:rPr>
              <w:t xml:space="preserve">→ Uniformiser en français : renommer Vehicles/ → Vehicules/ et vehicleService.js → vehiculeService.js</w:t>
            </w:r>
          </w:p>
        </w:tc>
      </w:tr>
      <w:tr>
        <w:tc>
          <w:tcPr>
            <w:tcW w:type="dxa" w:w="480"/>
            <w:tcBorders>
              <w:top w:val="single" w:color="BDC3C7" w:sz="1"/>
              <w:left w:val="single" w:color="BDC3C7" w:sz="1"/>
              <w:bottom w:val="single" w:color="BDC3C7" w:sz="1"/>
              <w:right w:val="single" w:color="BDC3C7" w:sz="1"/>
            </w:tcBorders>
            <w:shd w:fill="FDEBD0" w:val="clear"/>
            <w:tcMar>
              <w:top w:type="dxa" w:w="80"/>
              <w:left w:type="dxa" w:w="100"/>
              <w:bottom w:type="dxa" w:w="80"/>
              <w:right w:type="dxa" w:w="80"/>
            </w:tcMar>
          </w:tcPr>
          <w:p>
            <w:pPr>
              <w:jc w:val="center"/>
            </w:pPr>
            <w:r>
              <w:rPr>
                <w:rFonts w:ascii="Arial" w:cs="Arial" w:eastAsia="Arial" w:hAnsi="Arial"/>
                <w:b/>
                <w:bCs/>
                <w:color w:val="D35400"/>
                <w:sz w:val="18"/>
                <w:szCs w:val="18"/>
              </w:rPr>
              <w:t xml:space="preserve">12</w:t>
            </w:r>
          </w:p>
        </w:tc>
        <w:tc>
          <w:tcPr>
            <w:tcW w:type="dxa" w:w="3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80"/>
            </w:tcMar>
          </w:tcPr>
          <w:p>
            <w:r>
              <w:rPr>
                <w:rFonts w:ascii="Arial" w:cs="Arial" w:eastAsia="Arial" w:hAnsi="Arial"/>
                <w:b/>
                <w:bCs/>
                <w:color w:val="1B2631"/>
                <w:sz w:val="18"/>
                <w:szCs w:val="18"/>
              </w:rPr>
              <w:t xml:space="preserve">Route planning sans préfixe API (incohérence avec les autres routes)</w:t>
            </w:r>
          </w:p>
          <w:p>
            <w:r>
              <w:rPr>
                <w:rFonts w:ascii="Courier New" w:cs="Courier New" w:eastAsia="Courier New" w:hAnsi="Courier New"/>
                <w:color w:val="7F8C8D"/>
                <w:sz w:val="15"/>
                <w:szCs w:val="15"/>
              </w:rPr>
              <w:t xml:space="preserve">backend/damxscorp/urls.py — ligne 18</w:t>
            </w:r>
          </w:p>
        </w:tc>
        <w:tc>
          <w:tcPr>
            <w:tcW w:type="dxa" w:w="76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vAlign w:val="center"/>
          </w:tcPr>
          <w:p>
            <w:pPr>
              <w:jc w:val="center"/>
            </w:pPr>
            <w:r>
              <w:rPr>
                <w:rFonts w:ascii="Arial" w:cs="Arial" w:eastAsia="Arial" w:hAnsi="Arial"/>
                <w:b/>
                <w:bCs/>
                <w:color w:val="D35400"/>
                <w:sz w:val="15"/>
                <w:szCs w:val="15"/>
              </w:rPr>
              <w:t xml:space="preserve">🟡 WARN</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Toutes les apps ont un préfixe (/api/clients/, /api/vehicules/...) sauf le planning monté sur /api/ directement. Les endpoints /api/interventions/, /api/departements/ etc. n'ont pas de namespacing planning/.</w:t>
            </w:r>
            <w:r>
              <w:br/>
            </w:r>
            <w:r>
              <w:rPr>
                <w:rFonts w:ascii="Courier New" w:cs="Courier New" w:eastAsia="Courier New" w:hAnsi="Courier New"/>
                <w:color w:val="8B0000"/>
                <w:sz w:val="15"/>
                <w:szCs w:val="15"/>
              </w:rPr>
              <w:t xml:space="preserve">path('api/', include('planning.urls'))  # pas de planning/
path('api/clients/', include('clients.urls'))  # avec préfixe</w:t>
            </w:r>
            <w:r>
              <w:br/>
            </w:r>
            <w:r>
              <w:rPr>
                <w:rFonts w:ascii="Arial" w:cs="Arial" w:eastAsia="Arial" w:hAnsi="Arial"/>
                <w:b/>
                <w:bCs/>
                <w:color w:val="1E8449"/>
                <w:sz w:val="18"/>
                <w:szCs w:val="18"/>
              </w:rPr>
              <w:t xml:space="preserve">→ Ajouter /api/planning/ comme préfixe pour la cohérence. Mettre à jour api.js en conséquence</w:t>
            </w:r>
          </w:p>
        </w:tc>
      </w:tr>
      <w:tr>
        <w:tc>
          <w:tcPr>
            <w:tcW w:type="dxa" w:w="480"/>
            <w:tcBorders>
              <w:top w:val="single" w:color="BDC3C7" w:sz="1"/>
              <w:left w:val="single" w:color="BDC3C7" w:sz="1"/>
              <w:bottom w:val="single" w:color="BDC3C7" w:sz="1"/>
              <w:right w:val="single" w:color="BDC3C7" w:sz="1"/>
            </w:tcBorders>
            <w:shd w:fill="FDEBD0" w:val="clear"/>
            <w:tcMar>
              <w:top w:type="dxa" w:w="80"/>
              <w:left w:type="dxa" w:w="100"/>
              <w:bottom w:type="dxa" w:w="80"/>
              <w:right w:type="dxa" w:w="80"/>
            </w:tcMar>
          </w:tcPr>
          <w:p>
            <w:pPr>
              <w:jc w:val="center"/>
            </w:pPr>
            <w:r>
              <w:rPr>
                <w:rFonts w:ascii="Arial" w:cs="Arial" w:eastAsia="Arial" w:hAnsi="Arial"/>
                <w:b/>
                <w:bCs/>
                <w:color w:val="D35400"/>
                <w:sz w:val="18"/>
                <w:szCs w:val="18"/>
              </w:rPr>
              <w:t xml:space="preserve">13</w:t>
            </w:r>
          </w:p>
        </w:tc>
        <w:tc>
          <w:tcPr>
            <w:tcW w:type="dxa" w:w="3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80"/>
            </w:tcMar>
          </w:tcPr>
          <w:p>
            <w:r>
              <w:rPr>
                <w:rFonts w:ascii="Arial" w:cs="Arial" w:eastAsia="Arial" w:hAnsi="Arial"/>
                <w:b/>
                <w:bCs/>
                <w:color w:val="1B2631"/>
                <w:sz w:val="18"/>
                <w:szCs w:val="18"/>
              </w:rPr>
              <w:t xml:space="preserve">Génération numéros devis/facture non thread-safe</w:t>
            </w:r>
          </w:p>
          <w:p>
            <w:r>
              <w:rPr>
                <w:rFonts w:ascii="Courier New" w:cs="Courier New" w:eastAsia="Courier New" w:hAnsi="Courier New"/>
                <w:color w:val="7F8C8D"/>
                <w:sz w:val="15"/>
                <w:szCs w:val="15"/>
              </w:rPr>
              <w:t xml:space="preserve">backend/factures/models.py — generer_numero_devis() et generer_numero_facture()</w:t>
            </w:r>
          </w:p>
        </w:tc>
        <w:tc>
          <w:tcPr>
            <w:tcW w:type="dxa" w:w="76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vAlign w:val="center"/>
          </w:tcPr>
          <w:p>
            <w:pPr>
              <w:jc w:val="center"/>
            </w:pPr>
            <w:r>
              <w:rPr>
                <w:rFonts w:ascii="Arial" w:cs="Arial" w:eastAsia="Arial" w:hAnsi="Arial"/>
                <w:b/>
                <w:bCs/>
                <w:color w:val="D35400"/>
                <w:sz w:val="15"/>
                <w:szCs w:val="15"/>
              </w:rPr>
              <w:t xml:space="preserve">🟡 WARN</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Le compteur est incrémenté avec get_or_create + save sans select_for_update ni transaction atomique. En cas de deux requêtes simultanées, deux documents pourraient recevoir le même numéro.</w:t>
            </w:r>
            <w:r>
              <w:br/>
            </w:r>
            <w:r>
              <w:rPr>
                <w:rFonts w:ascii="Courier New" w:cs="Courier New" w:eastAsia="Courier New" w:hAnsi="Courier New"/>
                <w:color w:val="8B0000"/>
                <w:sz w:val="15"/>
                <w:szCs w:val="15"/>
              </w:rPr>
              <w:t xml:space="preserve">params.numero_devis_actuel += 1
params.save()  # Pas de select_for_update ni transaction</w:t>
            </w:r>
            <w:r>
              <w:br/>
            </w:r>
            <w:r>
              <w:rPr>
                <w:rFonts w:ascii="Arial" w:cs="Arial" w:eastAsia="Arial" w:hAnsi="Arial"/>
                <w:b/>
                <w:bCs/>
                <w:color w:val="1E8449"/>
                <w:sz w:val="18"/>
                <w:szCs w:val="18"/>
              </w:rPr>
              <w:t xml:space="preserve">→ Entourer de transaction.atomic() + ajouter select_for_update() sur la récupération de params</w:t>
            </w:r>
          </w:p>
        </w:tc>
      </w:tr>
      <w:tr>
        <w:tc>
          <w:tcPr>
            <w:tcW w:type="dxa" w:w="480"/>
            <w:tcBorders>
              <w:top w:val="single" w:color="BDC3C7" w:sz="1"/>
              <w:left w:val="single" w:color="BDC3C7" w:sz="1"/>
              <w:bottom w:val="single" w:color="BDC3C7" w:sz="1"/>
              <w:right w:val="single" w:color="BDC3C7" w:sz="1"/>
            </w:tcBorders>
            <w:shd w:fill="FDEBD0" w:val="clear"/>
            <w:tcMar>
              <w:top w:type="dxa" w:w="80"/>
              <w:left w:type="dxa" w:w="100"/>
              <w:bottom w:type="dxa" w:w="80"/>
              <w:right w:type="dxa" w:w="80"/>
            </w:tcMar>
          </w:tcPr>
          <w:p>
            <w:pPr>
              <w:jc w:val="center"/>
            </w:pPr>
            <w:r>
              <w:rPr>
                <w:rFonts w:ascii="Arial" w:cs="Arial" w:eastAsia="Arial" w:hAnsi="Arial"/>
                <w:b/>
                <w:bCs/>
                <w:color w:val="D35400"/>
                <w:sz w:val="18"/>
                <w:szCs w:val="18"/>
              </w:rPr>
              <w:t xml:space="preserve">14</w:t>
            </w:r>
          </w:p>
        </w:tc>
        <w:tc>
          <w:tcPr>
            <w:tcW w:type="dxa" w:w="3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80"/>
            </w:tcMar>
          </w:tcPr>
          <w:p>
            <w:r>
              <w:rPr>
                <w:rFonts w:ascii="Arial" w:cs="Arial" w:eastAsia="Arial" w:hAnsi="Arial"/>
                <w:b/>
                <w:bCs/>
                <w:color w:val="1B2631"/>
                <w:sz w:val="18"/>
                <w:szCs w:val="18"/>
              </w:rPr>
              <w:t xml:space="preserve">Aucune pagination sur les endpoints</w:t>
            </w:r>
          </w:p>
          <w:p>
            <w:r>
              <w:rPr>
                <w:rFonts w:ascii="Courier New" w:cs="Courier New" w:eastAsia="Courier New" w:hAnsi="Courier New"/>
                <w:color w:val="7F8C8D"/>
                <w:sz w:val="15"/>
                <w:szCs w:val="15"/>
              </w:rPr>
              <w:t xml:space="preserve">backend — tous les views.py</w:t>
            </w:r>
          </w:p>
        </w:tc>
        <w:tc>
          <w:tcPr>
            <w:tcW w:type="dxa" w:w="76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vAlign w:val="center"/>
          </w:tcPr>
          <w:p>
            <w:pPr>
              <w:jc w:val="center"/>
            </w:pPr>
            <w:r>
              <w:rPr>
                <w:rFonts w:ascii="Arial" w:cs="Arial" w:eastAsia="Arial" w:hAnsi="Arial"/>
                <w:b/>
                <w:bCs/>
                <w:color w:val="D35400"/>
                <w:sz w:val="15"/>
                <w:szCs w:val="15"/>
              </w:rPr>
              <w:t xml:space="preserve">🟡 WARN</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Tous les endpoints retournent la totalité des données sans pagination. /api/stock/pieces/, /api/clients/, /api/vehicules/ peuvent retourner des milliers d'entrées. Risque de lenteur réelle à terme.</w:t>
            </w:r>
            <w:r>
              <w:br/>
            </w:r>
            <w:r>
              <w:rPr>
                <w:rFonts w:ascii="Courier New" w:cs="Courier New" w:eastAsia="Courier New" w:hAnsi="Courier New"/>
                <w:color w:val="8B0000"/>
                <w:sz w:val="15"/>
                <w:szCs w:val="15"/>
              </w:rPr>
              <w:t xml:space="preserve">pieces = Piece.objects.all()  # Tout sans limite</w:t>
            </w:r>
            <w:r>
              <w:br/>
            </w:r>
            <w:r>
              <w:rPr>
                <w:rFonts w:ascii="Arial" w:cs="Arial" w:eastAsia="Arial" w:hAnsi="Arial"/>
                <w:b/>
                <w:bCs/>
                <w:color w:val="1E8449"/>
                <w:sz w:val="18"/>
                <w:szCs w:val="18"/>
              </w:rPr>
              <w:t xml:space="preserve">→ Activer PageNumberPagination dans REST_FRAMEWORK settings quand le volume augmente</w:t>
            </w:r>
          </w:p>
        </w:tc>
      </w:tr>
      <w:tr>
        <w:tc>
          <w:tcPr>
            <w:tcW w:type="dxa" w:w="480"/>
            <w:tcBorders>
              <w:top w:val="single" w:color="BDC3C7" w:sz="1"/>
              <w:left w:val="single" w:color="BDC3C7" w:sz="1"/>
              <w:bottom w:val="single" w:color="BDC3C7" w:sz="1"/>
              <w:right w:val="single" w:color="BDC3C7" w:sz="1"/>
            </w:tcBorders>
            <w:shd w:fill="FDEBD0" w:val="clear"/>
            <w:tcMar>
              <w:top w:type="dxa" w:w="80"/>
              <w:left w:type="dxa" w:w="100"/>
              <w:bottom w:type="dxa" w:w="80"/>
              <w:right w:type="dxa" w:w="80"/>
            </w:tcMar>
          </w:tcPr>
          <w:p>
            <w:pPr>
              <w:jc w:val="center"/>
            </w:pPr>
            <w:r>
              <w:rPr>
                <w:rFonts w:ascii="Arial" w:cs="Arial" w:eastAsia="Arial" w:hAnsi="Arial"/>
                <w:b/>
                <w:bCs/>
                <w:color w:val="D35400"/>
                <w:sz w:val="18"/>
                <w:szCs w:val="18"/>
              </w:rPr>
              <w:t xml:space="preserve">15</w:t>
            </w:r>
          </w:p>
        </w:tc>
        <w:tc>
          <w:tcPr>
            <w:tcW w:type="dxa" w:w="3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80"/>
            </w:tcMar>
          </w:tcPr>
          <w:p>
            <w:r>
              <w:rPr>
                <w:rFonts w:ascii="Arial" w:cs="Arial" w:eastAsia="Arial" w:hAnsi="Arial"/>
                <w:b/>
                <w:bCs/>
                <w:color w:val="1B2631"/>
                <w:sz w:val="18"/>
                <w:szCs w:val="18"/>
              </w:rPr>
              <w:t xml:space="preserve">Migrations app factures à appliquer</w:t>
            </w:r>
          </w:p>
          <w:p>
            <w:r>
              <w:rPr>
                <w:rFonts w:ascii="Courier New" w:cs="Courier New" w:eastAsia="Courier New" w:hAnsi="Courier New"/>
                <w:color w:val="7F8C8D"/>
                <w:sz w:val="15"/>
                <w:szCs w:val="15"/>
              </w:rPr>
              <w:t xml:space="preserve">backend/factures/migrations/</w:t>
            </w:r>
          </w:p>
        </w:tc>
        <w:tc>
          <w:tcPr>
            <w:tcW w:type="dxa" w:w="76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vAlign w:val="center"/>
          </w:tcPr>
          <w:p>
            <w:pPr>
              <w:jc w:val="center"/>
            </w:pPr>
            <w:r>
              <w:rPr>
                <w:rFonts w:ascii="Arial" w:cs="Arial" w:eastAsia="Arial" w:hAnsi="Arial"/>
                <w:b/>
                <w:bCs/>
                <w:color w:val="D35400"/>
                <w:sz w:val="15"/>
                <w:szCs w:val="15"/>
              </w:rPr>
              <w:t xml:space="preserve">🟡 WARN</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La fiche de suivi indique que les migrations de l'app factures doivent être vérifiées/appliquées. Sans ça, les tables factures n'existent pas en base et toutes les API factures retournent des erreurs 500.</w:t>
            </w:r>
            <w:r>
              <w:br/>
            </w:r>
            <w:r>
              <w:rPr>
                <w:rFonts w:ascii="Courier New" w:cs="Courier New" w:eastAsia="Courier New" w:hAnsi="Courier New"/>
                <w:color w:val="8B0000"/>
                <w:sz w:val="15"/>
                <w:szCs w:val="15"/>
              </w:rPr>
              <w:t xml:space="preserve"># À exécuter :
python manage.py makemigrations factures
python manage.py migrate</w:t>
            </w:r>
            <w:r>
              <w:br/>
            </w:r>
            <w:r>
              <w:rPr>
                <w:rFonts w:ascii="Arial" w:cs="Arial" w:eastAsia="Arial" w:hAnsi="Arial"/>
                <w:b/>
                <w:bCs/>
                <w:color w:val="1E8449"/>
                <w:sz w:val="18"/>
                <w:szCs w:val="18"/>
              </w:rPr>
              <w:t xml:space="preserve">→ Exécuter makemigrations + migrate pour l'app factures avant tout test du module</w:t>
            </w:r>
          </w:p>
        </w:tc>
      </w:tr>
      <w:tr>
        <w:tc>
          <w:tcPr>
            <w:tcW w:type="dxa" w:w="480"/>
            <w:tcBorders>
              <w:top w:val="single" w:color="BDC3C7" w:sz="1"/>
              <w:left w:val="single" w:color="BDC3C7" w:sz="1"/>
              <w:bottom w:val="single" w:color="BDC3C7" w:sz="1"/>
              <w:right w:val="single" w:color="BDC3C7" w:sz="1"/>
            </w:tcBorders>
            <w:shd w:fill="FDEBD0" w:val="clear"/>
            <w:tcMar>
              <w:top w:type="dxa" w:w="80"/>
              <w:left w:type="dxa" w:w="100"/>
              <w:bottom w:type="dxa" w:w="80"/>
              <w:right w:type="dxa" w:w="80"/>
            </w:tcMar>
          </w:tcPr>
          <w:p>
            <w:pPr>
              <w:jc w:val="center"/>
            </w:pPr>
            <w:r>
              <w:rPr>
                <w:rFonts w:ascii="Arial" w:cs="Arial" w:eastAsia="Arial" w:hAnsi="Arial"/>
                <w:b/>
                <w:bCs/>
                <w:color w:val="D35400"/>
                <w:sz w:val="18"/>
                <w:szCs w:val="18"/>
              </w:rPr>
              <w:t xml:space="preserve">16</w:t>
            </w:r>
          </w:p>
        </w:tc>
        <w:tc>
          <w:tcPr>
            <w:tcW w:type="dxa" w:w="3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80"/>
            </w:tcMar>
          </w:tcPr>
          <w:p>
            <w:r>
              <w:rPr>
                <w:rFonts w:ascii="Arial" w:cs="Arial" w:eastAsia="Arial" w:hAnsi="Arial"/>
                <w:b/>
                <w:bCs/>
                <w:color w:val="1B2631"/>
                <w:sz w:val="18"/>
                <w:szCs w:val="18"/>
              </w:rPr>
              <w:t xml:space="preserve">Dossier Migration_vers_Matorn dans le source backend</w:t>
            </w:r>
          </w:p>
          <w:p>
            <w:r>
              <w:rPr>
                <w:rFonts w:ascii="Courier New" w:cs="Courier New" w:eastAsia="Courier New" w:hAnsi="Courier New"/>
                <w:color w:val="7F8C8D"/>
                <w:sz w:val="15"/>
                <w:szCs w:val="15"/>
              </w:rPr>
              <w:t xml:space="preserve">backend/Migration_vers_Matorn/</w:t>
            </w:r>
          </w:p>
        </w:tc>
        <w:tc>
          <w:tcPr>
            <w:tcW w:type="dxa" w:w="76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vAlign w:val="center"/>
          </w:tcPr>
          <w:p>
            <w:pPr>
              <w:jc w:val="center"/>
            </w:pPr>
            <w:r>
              <w:rPr>
                <w:rFonts w:ascii="Arial" w:cs="Arial" w:eastAsia="Arial" w:hAnsi="Arial"/>
                <w:b/>
                <w:bCs/>
                <w:color w:val="D35400"/>
                <w:sz w:val="15"/>
                <w:szCs w:val="15"/>
              </w:rPr>
              <w:t xml:space="preserve">🟡 WARN</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4 scripts de migration de l'ancien logiciel Matorn traînent dans le dossier source. Ce ne sont pas des migrations Django, juste des outils one-shot qui n'ont plus leur place ici.</w:t>
            </w:r>
            <w:r>
              <w:br/>
            </w:r>
            <w:r>
              <w:rPr>
                <w:rFonts w:ascii="Courier New" w:cs="Courier New" w:eastAsia="Courier New" w:hAnsi="Courier New"/>
                <w:color w:val="8B0000"/>
                <w:sz w:val="15"/>
                <w:szCs w:val="15"/>
              </w:rPr>
              <w:t xml:space="preserve">backend/Migration_vers_Matorn/migration_clients.py
backend/Migration_vers_Matorn/migration_fournisseurs.py
...</w:t>
            </w:r>
            <w:r>
              <w:br/>
            </w:r>
            <w:r>
              <w:rPr>
                <w:rFonts w:ascii="Arial" w:cs="Arial" w:eastAsia="Arial" w:hAnsi="Arial"/>
                <w:b/>
                <w:bCs/>
                <w:color w:val="1E8449"/>
                <w:sz w:val="18"/>
                <w:szCs w:val="18"/>
              </w:rPr>
              <w:t xml:space="preserve">→ Déplacer dans scripts/ à la racine ou supprimer si la migration est terminée</w:t>
            </w:r>
          </w:p>
        </w:tc>
      </w:tr>
    </w:tbl>
    <w:p>
      <w:pPr>
        <w:spacing w:after="0" w:before="60"/>
      </w:pPr>
      <w:r>
        <w:t xml:space="preserve"/>
      </w:r>
    </w:p>
    <w:p>
      <w:r>
        <w:br w:type="page"/>
      </w:r>
    </w:p>
    <w:p>
      <w:pPr>
        <w:pStyle w:val="Heading1"/>
        <w:pBdr>
          <w:bottom w:val="single" w:color="555555" w:sz="6" w:space="1"/>
        </w:pBdr>
        <w:spacing w:after="160" w:before="400"/>
      </w:pPr>
      <w:r>
        <w:rPr>
          <w:rFonts w:ascii="Arial" w:cs="Arial" w:eastAsia="Arial" w:hAnsi="Arial"/>
          <w:b/>
          <w:bCs/>
          <w:color w:val="555555"/>
          <w:sz w:val="30"/>
          <w:szCs w:val="30"/>
        </w:rPr>
        <w:t xml:space="preserve">6. Points d'attention</w:t>
      </w:r>
    </w:p>
    <w:p>
      <w:pPr>
        <w:spacing w:after="60" w:before="60"/>
      </w:pPr>
      <w:r>
        <w:rPr>
          <w:rFonts w:ascii="Arial" w:cs="Arial" w:eastAsia="Arial" w:hAnsi="Arial"/>
          <w:sz w:val="20"/>
          <w:szCs w:val="20"/>
        </w:rPr>
        <w:t xml:space="preserve">Ces éléments ne sont pas bloquants mais méritent attention pour garder le projet propre et éviter de futures complications.</w:t>
      </w:r>
    </w:p>
    <w:p>
      <w:pPr>
        <w:spacing w:after="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760"/>
        <w:gridCol w:w="4860"/>
      </w:tblGrid>
      <w:tr>
        <w:trPr>
          <w:tblHeader/>
        </w:trPr>
        <w:tc>
          <w:tcPr>
            <w:tcW w:type="dxa" w:w="48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w:t>
            </w:r>
          </w:p>
        </w:tc>
        <w:tc>
          <w:tcPr>
            <w:tcW w:type="dxa" w:w="30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Problème / Fichier</w:t>
            </w:r>
          </w:p>
        </w:tc>
        <w:tc>
          <w:tcPr>
            <w:tcW w:type="dxa" w:w="7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Sévérité</w:t>
            </w:r>
          </w:p>
        </w:tc>
        <w:tc>
          <w:tcPr>
            <w:tcW w:type="dxa" w:w="48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Détail &amp; Conseil</w:t>
            </w:r>
          </w:p>
        </w:tc>
      </w:tr>
      <w:tr>
        <w:tc>
          <w:tcPr>
            <w:tcW w:type="dxa" w:w="48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80"/>
            </w:tcMar>
          </w:tcPr>
          <w:p>
            <w:pPr>
              <w:jc w:val="center"/>
            </w:pPr>
            <w:r>
              <w:rPr>
                <w:rFonts w:ascii="Arial" w:cs="Arial" w:eastAsia="Arial" w:hAnsi="Arial"/>
                <w:b/>
                <w:bCs/>
                <w:color w:val="555555"/>
                <w:sz w:val="18"/>
                <w:szCs w:val="18"/>
              </w:rPr>
              <w:t xml:space="preserve">17</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b/>
                <w:bCs/>
                <w:color w:val="1B2631"/>
                <w:sz w:val="18"/>
                <w:szCs w:val="18"/>
              </w:rPr>
              <w:t xml:space="preserve">.env avec la clé secrète Django dans le workspace</w:t>
            </w:r>
          </w:p>
          <w:p>
            <w:r>
              <w:rPr>
                <w:rFonts w:ascii="Courier New" w:cs="Courier New" w:eastAsia="Courier New" w:hAnsi="Courier New"/>
                <w:color w:val="7F8C8D"/>
                <w:sz w:val="15"/>
                <w:szCs w:val="15"/>
              </w:rPr>
              <w:t xml:space="preserve">backend/damxscorp/backend/.env</w:t>
            </w:r>
          </w:p>
        </w:tc>
        <w:tc>
          <w:tcPr>
            <w:tcW w:type="dxa" w:w="760"/>
            <w:tcBorders>
              <w:top w:val="single" w:color="BDC3C7" w:sz="1"/>
              <w:left w:val="single" w:color="BDC3C7" w:sz="1"/>
              <w:bottom w:val="single" w:color="BDC3C7" w:sz="1"/>
              <w:right w:val="single" w:color="BDC3C7" w:sz="1"/>
            </w:tcBorders>
            <w:shd w:fill="F2F3F4" w:val="clear"/>
            <w:tcMar>
              <w:top w:type="dxa" w:w="80"/>
              <w:left w:type="dxa" w:w="80"/>
              <w:bottom w:type="dxa" w:w="80"/>
              <w:right w:type="dxa" w:w="80"/>
            </w:tcMar>
            <w:vAlign w:val="center"/>
          </w:tcPr>
          <w:p>
            <w:pPr>
              <w:jc w:val="center"/>
            </w:pPr>
            <w:r>
              <w:rPr>
                <w:rFonts w:ascii="Arial" w:cs="Arial" w:eastAsia="Arial" w:hAnsi="Arial"/>
                <w:b/>
                <w:bCs/>
                <w:color w:val="555555"/>
                <w:sz w:val="15"/>
                <w:szCs w:val="15"/>
              </w:rPr>
              <w:t xml:space="preserve">ℹ️ INFO</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Le .env contenant DJANGO_SECRET_KEY est présent. Le .gitignore l'exclut, mais si ce fichier a déjà été commité accidentellement, la clé est compromise dans l'historique Git.</w:t>
            </w:r>
            <w:r>
              <w:br/>
            </w:r>
            <w:r>
              <w:rPr>
                <w:rFonts w:ascii="Courier New" w:cs="Courier New" w:eastAsia="Courier New" w:hAnsi="Courier New"/>
                <w:color w:val="8B0000"/>
                <w:sz w:val="15"/>
                <w:szCs w:val="15"/>
              </w:rPr>
              <w:t xml:space="preserve">DJANGO_SECRET_KEY=UTeRcaZBXTijEJj_ayeX...</w:t>
            </w:r>
            <w:r>
              <w:br/>
            </w:r>
            <w:r>
              <w:rPr>
                <w:rFonts w:ascii="Arial" w:cs="Arial" w:eastAsia="Arial" w:hAnsi="Arial"/>
                <w:b/>
                <w:bCs/>
                <w:color w:val="1E8449"/>
                <w:sz w:val="18"/>
                <w:szCs w:val="18"/>
              </w:rPr>
              <w:t xml:space="preserve">→ Vérifier dans git log que ce fichier n'a jamais été commité. Si oui, regénérer la clé et utiliser git-filter-repo pour purger l'historique</w:t>
            </w:r>
          </w:p>
        </w:tc>
      </w:tr>
      <w:tr>
        <w:tc>
          <w:tcPr>
            <w:tcW w:type="dxa" w:w="48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80"/>
            </w:tcMar>
          </w:tcPr>
          <w:p>
            <w:pPr>
              <w:jc w:val="center"/>
            </w:pPr>
            <w:r>
              <w:rPr>
                <w:rFonts w:ascii="Arial" w:cs="Arial" w:eastAsia="Arial" w:hAnsi="Arial"/>
                <w:b/>
                <w:bCs/>
                <w:color w:val="555555"/>
                <w:sz w:val="18"/>
                <w:szCs w:val="18"/>
              </w:rPr>
              <w:t xml:space="preserve">18</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b/>
                <w:bCs/>
                <w:color w:val="1B2631"/>
                <w:sz w:val="18"/>
                <w:szCs w:val="18"/>
              </w:rPr>
              <w:t xml:space="preserve">archives/.env avec URL hardcodée traîne dans le repo</w:t>
            </w:r>
          </w:p>
          <w:p>
            <w:r>
              <w:rPr>
                <w:rFonts w:ascii="Courier New" w:cs="Courier New" w:eastAsia="Courier New" w:hAnsi="Courier New"/>
                <w:color w:val="7F8C8D"/>
                <w:sz w:val="15"/>
                <w:szCs w:val="15"/>
              </w:rPr>
              <w:t xml:space="preserve">archives/.env</w:t>
            </w:r>
          </w:p>
        </w:tc>
        <w:tc>
          <w:tcPr>
            <w:tcW w:type="dxa" w:w="760"/>
            <w:tcBorders>
              <w:top w:val="single" w:color="BDC3C7" w:sz="1"/>
              <w:left w:val="single" w:color="BDC3C7" w:sz="1"/>
              <w:bottom w:val="single" w:color="BDC3C7" w:sz="1"/>
              <w:right w:val="single" w:color="BDC3C7" w:sz="1"/>
            </w:tcBorders>
            <w:shd w:fill="F2F3F4" w:val="clear"/>
            <w:tcMar>
              <w:top w:type="dxa" w:w="80"/>
              <w:left w:type="dxa" w:w="80"/>
              <w:bottom w:type="dxa" w:w="80"/>
              <w:right w:type="dxa" w:w="80"/>
            </w:tcMar>
            <w:vAlign w:val="center"/>
          </w:tcPr>
          <w:p>
            <w:pPr>
              <w:jc w:val="center"/>
            </w:pPr>
            <w:r>
              <w:rPr>
                <w:rFonts w:ascii="Arial" w:cs="Arial" w:eastAsia="Arial" w:hAnsi="Arial"/>
                <w:b/>
                <w:bCs/>
                <w:color w:val="555555"/>
                <w:sz w:val="15"/>
                <w:szCs w:val="15"/>
              </w:rPr>
              <w:t xml:space="preserve">ℹ️ INFO</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Ce fichier contient REACT_APP_API_URL=http://127.0.0.1:8000/api/interventions/ — une URL pointant sur un endpoint spécifique au lieu de la base URL. C'est une ancienne version qui n'a plus de sens.</w:t>
            </w:r>
            <w:r>
              <w:br/>
            </w:r>
            <w:r>
              <w:rPr>
                <w:rFonts w:ascii="Courier New" w:cs="Courier New" w:eastAsia="Courier New" w:hAnsi="Courier New"/>
                <w:color w:val="8B0000"/>
                <w:sz w:val="15"/>
                <w:szCs w:val="15"/>
              </w:rPr>
              <w:t xml:space="preserve">REACT_APP_API_URL=http://127.0.0.1:8000/api/interventions/</w:t>
            </w:r>
            <w:r>
              <w:br/>
            </w:r>
            <w:r>
              <w:rPr>
                <w:rFonts w:ascii="Arial" w:cs="Arial" w:eastAsia="Arial" w:hAnsi="Arial"/>
                <w:b/>
                <w:bCs/>
                <w:color w:val="1E8449"/>
                <w:sz w:val="18"/>
                <w:szCs w:val="18"/>
              </w:rPr>
              <w:t xml:space="preserve">→ Supprimer le dossier archives/ du dépôt ou l'ajouter au .gitignore</w:t>
            </w:r>
          </w:p>
        </w:tc>
      </w:tr>
      <w:tr>
        <w:tc>
          <w:tcPr>
            <w:tcW w:type="dxa" w:w="48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80"/>
            </w:tcMar>
          </w:tcPr>
          <w:p>
            <w:pPr>
              <w:jc w:val="center"/>
            </w:pPr>
            <w:r>
              <w:rPr>
                <w:rFonts w:ascii="Arial" w:cs="Arial" w:eastAsia="Arial" w:hAnsi="Arial"/>
                <w:b/>
                <w:bCs/>
                <w:color w:val="555555"/>
                <w:sz w:val="18"/>
                <w:szCs w:val="18"/>
              </w:rPr>
              <w:t xml:space="preserve">19</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b/>
                <w:bCs/>
                <w:color w:val="1B2631"/>
                <w:sz w:val="18"/>
                <w:szCs w:val="18"/>
              </w:rPr>
              <w:t xml:space="preserve">Dossier Chose_utiles dans le repo (avec faute de pluriel)</w:t>
            </w:r>
          </w:p>
          <w:p>
            <w:r>
              <w:rPr>
                <w:rFonts w:ascii="Courier New" w:cs="Courier New" w:eastAsia="Courier New" w:hAnsi="Courier New"/>
                <w:color w:val="7F8C8D"/>
                <w:sz w:val="15"/>
                <w:szCs w:val="15"/>
              </w:rPr>
              <w:t xml:space="preserve">Chose_utiles/ (racine workspace)</w:t>
            </w:r>
          </w:p>
        </w:tc>
        <w:tc>
          <w:tcPr>
            <w:tcW w:type="dxa" w:w="760"/>
            <w:tcBorders>
              <w:top w:val="single" w:color="BDC3C7" w:sz="1"/>
              <w:left w:val="single" w:color="BDC3C7" w:sz="1"/>
              <w:bottom w:val="single" w:color="BDC3C7" w:sz="1"/>
              <w:right w:val="single" w:color="BDC3C7" w:sz="1"/>
            </w:tcBorders>
            <w:shd w:fill="F2F3F4" w:val="clear"/>
            <w:tcMar>
              <w:top w:type="dxa" w:w="80"/>
              <w:left w:type="dxa" w:w="80"/>
              <w:bottom w:type="dxa" w:w="80"/>
              <w:right w:type="dxa" w:w="80"/>
            </w:tcMar>
            <w:vAlign w:val="center"/>
          </w:tcPr>
          <w:p>
            <w:pPr>
              <w:jc w:val="center"/>
            </w:pPr>
            <w:r>
              <w:rPr>
                <w:rFonts w:ascii="Arial" w:cs="Arial" w:eastAsia="Arial" w:hAnsi="Arial"/>
                <w:b/>
                <w:bCs/>
                <w:color w:val="555555"/>
                <w:sz w:val="15"/>
                <w:szCs w:val="15"/>
              </w:rPr>
              <w:t xml:space="preserve">ℹ️ INFO</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Des fichiers de notes personnelles (.txt, .html) se trouvent dans le dépôt. Pas de code, juste de la documentation informelle. Le nom a aussi une faute : 'Chose' au lieu de 'Choses'.</w:t>
            </w:r>
            <w:r>
              <w:br/>
            </w:r>
            <w:r>
              <w:rPr>
                <w:rFonts w:ascii="Courier New" w:cs="Courier New" w:eastAsia="Courier New" w:hAnsi="Courier New"/>
                <w:color w:val="8B0000"/>
                <w:sz w:val="15"/>
                <w:szCs w:val="15"/>
              </w:rPr>
              <w:t xml:space="preserve">Chose_utiles/Commandes.txt
Chose_utiles/matorn_suivi.html
...</w:t>
            </w:r>
            <w:r>
              <w:br/>
            </w:r>
            <w:r>
              <w:rPr>
                <w:rFonts w:ascii="Arial" w:cs="Arial" w:eastAsia="Arial" w:hAnsi="Arial"/>
                <w:b/>
                <w:bCs/>
                <w:color w:val="1E8449"/>
                <w:sz w:val="18"/>
                <w:szCs w:val="18"/>
              </w:rPr>
              <w:t xml:space="preserve">→ Déplacer dans un wiki GitHub ou supprimer du dépôt. Utiliser .gitignore pour éviter que ça remonte</w:t>
            </w:r>
          </w:p>
        </w:tc>
      </w:tr>
      <w:tr>
        <w:tc>
          <w:tcPr>
            <w:tcW w:type="dxa" w:w="48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80"/>
            </w:tcMar>
          </w:tcPr>
          <w:p>
            <w:pPr>
              <w:jc w:val="center"/>
            </w:pPr>
            <w:r>
              <w:rPr>
                <w:rFonts w:ascii="Arial" w:cs="Arial" w:eastAsia="Arial" w:hAnsi="Arial"/>
                <w:b/>
                <w:bCs/>
                <w:color w:val="555555"/>
                <w:sz w:val="18"/>
                <w:szCs w:val="18"/>
              </w:rPr>
              <w:t xml:space="preserve">20</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b/>
                <w:bCs/>
                <w:color w:val="1B2631"/>
                <w:sz w:val="18"/>
                <w:szCs w:val="18"/>
              </w:rPr>
              <w:t xml:space="preserve">OldFrenchPlateInput / PlateInput toggle — intégration non testée</w:t>
            </w:r>
          </w:p>
          <w:p>
            <w:r>
              <w:rPr>
                <w:rFonts w:ascii="Courier New" w:cs="Courier New" w:eastAsia="Courier New" w:hAnsi="Courier New"/>
                <w:color w:val="7F8C8D"/>
                <w:sz w:val="15"/>
                <w:szCs w:val="15"/>
              </w:rPr>
              <w:t xml:space="preserve">frontend/src/components/shared/Frenchplate/</w:t>
            </w:r>
          </w:p>
        </w:tc>
        <w:tc>
          <w:tcPr>
            <w:tcW w:type="dxa" w:w="760"/>
            <w:tcBorders>
              <w:top w:val="single" w:color="BDC3C7" w:sz="1"/>
              <w:left w:val="single" w:color="BDC3C7" w:sz="1"/>
              <w:bottom w:val="single" w:color="BDC3C7" w:sz="1"/>
              <w:right w:val="single" w:color="BDC3C7" w:sz="1"/>
            </w:tcBorders>
            <w:shd w:fill="F2F3F4" w:val="clear"/>
            <w:tcMar>
              <w:top w:type="dxa" w:w="80"/>
              <w:left w:type="dxa" w:w="80"/>
              <w:bottom w:type="dxa" w:w="80"/>
              <w:right w:type="dxa" w:w="80"/>
            </w:tcMar>
            <w:vAlign w:val="center"/>
          </w:tcPr>
          <w:p>
            <w:pPr>
              <w:jc w:val="center"/>
            </w:pPr>
            <w:r>
              <w:rPr>
                <w:rFonts w:ascii="Arial" w:cs="Arial" w:eastAsia="Arial" w:hAnsi="Arial"/>
                <w:b/>
                <w:bCs/>
                <w:color w:val="555555"/>
                <w:sz w:val="15"/>
                <w:szCs w:val="15"/>
              </w:rPr>
              <w:t xml:space="preserve">ℹ️ INFO</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Les composants OldFrenchPlateInput.jsx et PlateInput.jsx (toggle ancien/nouveau format plaque) sont créés mais les tests d'intégration sont en attente (noté WIP dans la fiche de suivi).</w:t>
            </w:r>
            <w:r>
              <w:br/>
            </w:r>
            <w:r>
              <w:rPr>
                <w:rFonts w:ascii="Courier New" w:cs="Courier New" w:eastAsia="Courier New" w:hAnsi="Courier New"/>
                <w:color w:val="8B0000"/>
                <w:sz w:val="15"/>
                <w:szCs w:val="15"/>
              </w:rPr>
              <w:t xml:space="preserve">— Oldfrenchplateinput.jsx : créé
— Plateinput.jsx : créé
— Tests d intégration : en attente</w:t>
            </w:r>
            <w:r>
              <w:br/>
            </w:r>
            <w:r>
              <w:rPr>
                <w:rFonts w:ascii="Arial" w:cs="Arial" w:eastAsia="Arial" w:hAnsi="Arial"/>
                <w:b/>
                <w:bCs/>
                <w:color w:val="1E8449"/>
                <w:sz w:val="18"/>
                <w:szCs w:val="18"/>
              </w:rPr>
              <w:t xml:space="preserve">→ Tester dans VehicleForm que les deux modes de saisie immatriculation fonctionnent correctement</w:t>
            </w:r>
          </w:p>
        </w:tc>
      </w:tr>
      <w:tr>
        <w:tc>
          <w:tcPr>
            <w:tcW w:type="dxa" w:w="48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80"/>
            </w:tcMar>
          </w:tcPr>
          <w:p>
            <w:pPr>
              <w:jc w:val="center"/>
            </w:pPr>
            <w:r>
              <w:rPr>
                <w:rFonts w:ascii="Arial" w:cs="Arial" w:eastAsia="Arial" w:hAnsi="Arial"/>
                <w:b/>
                <w:bCs/>
                <w:color w:val="555555"/>
                <w:sz w:val="18"/>
                <w:szCs w:val="18"/>
              </w:rPr>
              <w:t xml:space="preserve">21</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b/>
                <w:bCs/>
                <w:color w:val="1B2631"/>
                <w:sz w:val="18"/>
                <w:szCs w:val="18"/>
              </w:rPr>
              <w:t xml:space="preserve">Détection de conflits RDV non implémentée</w:t>
            </w:r>
          </w:p>
          <w:p>
            <w:r>
              <w:rPr>
                <w:rFonts w:ascii="Courier New" w:cs="Courier New" w:eastAsia="Courier New" w:hAnsi="Courier New"/>
                <w:color w:val="7F8C8D"/>
                <w:sz w:val="15"/>
                <w:szCs w:val="15"/>
              </w:rPr>
              <w:t xml:space="preserve">frontend/src/pages/Planning/</w:t>
            </w:r>
          </w:p>
        </w:tc>
        <w:tc>
          <w:tcPr>
            <w:tcW w:type="dxa" w:w="760"/>
            <w:tcBorders>
              <w:top w:val="single" w:color="BDC3C7" w:sz="1"/>
              <w:left w:val="single" w:color="BDC3C7" w:sz="1"/>
              <w:bottom w:val="single" w:color="BDC3C7" w:sz="1"/>
              <w:right w:val="single" w:color="BDC3C7" w:sz="1"/>
            </w:tcBorders>
            <w:shd w:fill="F2F3F4" w:val="clear"/>
            <w:tcMar>
              <w:top w:type="dxa" w:w="80"/>
              <w:left w:type="dxa" w:w="80"/>
              <w:bottom w:type="dxa" w:w="80"/>
              <w:right w:type="dxa" w:w="80"/>
            </w:tcMar>
            <w:vAlign w:val="center"/>
          </w:tcPr>
          <w:p>
            <w:pPr>
              <w:jc w:val="center"/>
            </w:pPr>
            <w:r>
              <w:rPr>
                <w:rFonts w:ascii="Arial" w:cs="Arial" w:eastAsia="Arial" w:hAnsi="Arial"/>
                <w:b/>
                <w:bCs/>
                <w:color w:val="555555"/>
                <w:sz w:val="15"/>
                <w:szCs w:val="15"/>
              </w:rPr>
              <w:t xml:space="preserve">ℹ️ INFO</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sz w:val="18"/>
                <w:szCs w:val="18"/>
              </w:rPr>
              <w:t xml:space="preserve">La fiche de suivi indique que le design est prêt mais 2 questions ouvertes bloquent l'implémentation. En l'état, il est possible de créer plusieurs RDV en conflit pour le même collaborateur.</w:t>
            </w:r>
            <w:r>
              <w:br/>
            </w:r>
            <w:r>
              <w:rPr>
                <w:rFonts w:ascii="Courier New" w:cs="Courier New" w:eastAsia="Courier New" w:hAnsi="Courier New"/>
                <w:color w:val="8B0000"/>
                <w:sz w:val="15"/>
                <w:szCs w:val="15"/>
              </w:rPr>
              <w:t xml:space="preserve">— Design prêt
— 2 questions ouvertes avant implémentation
— Pas de contrôle de chevauchement côté backend</w:t>
            </w:r>
            <w:r>
              <w:br/>
            </w:r>
            <w:r>
              <w:rPr>
                <w:rFonts w:ascii="Arial" w:cs="Arial" w:eastAsia="Arial" w:hAnsi="Arial"/>
                <w:b/>
                <w:bCs/>
                <w:color w:val="1E8449"/>
                <w:sz w:val="18"/>
                <w:szCs w:val="18"/>
              </w:rPr>
              <w:t xml:space="preserve">→ Définir les règles métier (même créneau = erreur ? warning ?) puis implémenter côté Django (validation dans le serializer) et côté React (alerte visuelle)</w:t>
            </w:r>
          </w:p>
        </w:tc>
      </w:tr>
    </w:tbl>
    <w:p>
      <w:pPr>
        <w:spacing w:after="0" w:before="60"/>
      </w:pPr>
      <w:r>
        <w:t xml:space="preserve"/>
      </w:r>
    </w:p>
    <w:p>
      <w:pPr>
        <w:pStyle w:val="Heading1"/>
        <w:pBdr>
          <w:bottom w:val="single" w:color="1A5276" w:sz="6" w:space="1"/>
        </w:pBdr>
        <w:spacing w:after="160" w:before="400"/>
      </w:pPr>
      <w:r>
        <w:rPr>
          <w:rFonts w:ascii="Arial" w:cs="Arial" w:eastAsia="Arial" w:hAnsi="Arial"/>
          <w:b/>
          <w:bCs/>
          <w:color w:val="1A5276"/>
          <w:sz w:val="30"/>
          <w:szCs w:val="30"/>
        </w:rPr>
        <w:t xml:space="preserve">7. Modules à venir &amp; nouvelles idées</w:t>
      </w:r>
    </w:p>
    <w:p>
      <w:pPr>
        <w:spacing w:after="0" w:before="60"/>
      </w:pPr>
      <w:r>
        <w:t xml:space="preserve"/>
      </w:r>
    </w:p>
    <w:p>
      <w:pPr>
        <w:pStyle w:val="Heading2"/>
        <w:spacing w:after="100" w:before="260"/>
      </w:pPr>
      <w:r>
        <w:rPr>
          <w:rFonts w:ascii="Arial" w:cs="Arial" w:eastAsia="Arial" w:hAnsi="Arial"/>
          <w:b/>
          <w:bCs/>
          <w:color w:val="1B2631"/>
          <w:sz w:val="24"/>
          <w:szCs w:val="24"/>
        </w:rPr>
        <w:t xml:space="preserve">7.1 — Ordres de réparation (10% — à démarrer)</w:t>
      </w:r>
    </w:p>
    <w:p>
      <w:pPr>
        <w:spacing w:after="60" w:before="60"/>
      </w:pPr>
      <w:r>
        <w:rPr>
          <w:rFonts w:ascii="Arial" w:cs="Arial" w:eastAsia="Arial" w:hAnsi="Arial"/>
          <w:sz w:val="20"/>
          <w:szCs w:val="20"/>
        </w:rPr>
        <w:t xml:space="preserve">Les modèles sont conçus sur papier (OrdreReparation, LignePiece, LigneMainOeuvre). Le backend Django n'est pas encore codé. À prévoir :</w:t>
      </w:r>
    </w:p>
    <w:p>
      <w:pPr>
        <w:pStyle w:val="ListParagraph"/>
        <w:numPr>
          <w:ilvl w:val="0"/>
          <w:numId w:val="2"/>
        </w:numPr>
        <w:spacing w:after="40" w:before="40"/>
      </w:pPr>
      <w:r>
        <w:rPr>
          <w:rFonts w:ascii="Arial" w:cs="Arial" w:eastAsia="Arial" w:hAnsi="Arial"/>
          <w:sz w:val="20"/>
          <w:szCs w:val="20"/>
        </w:rPr>
        <w:t xml:space="preserve">Créer l'app Django ordres_reparation avec modèles + serializers + views + urls</w:t>
      </w:r>
    </w:p>
    <w:p>
      <w:pPr>
        <w:pStyle w:val="ListParagraph"/>
        <w:numPr>
          <w:ilvl w:val="0"/>
          <w:numId w:val="2"/>
        </w:numPr>
        <w:spacing w:after="40" w:before="40"/>
      </w:pPr>
      <w:r>
        <w:rPr>
          <w:rFonts w:ascii="Arial" w:cs="Arial" w:eastAsia="Arial" w:hAnsi="Arial"/>
          <w:sz w:val="20"/>
          <w:szCs w:val="20"/>
        </w:rPr>
        <w:t xml:space="preserve">Workflow : OUVERT → EN_COURS → TERMINÉ</w:t>
      </w:r>
    </w:p>
    <w:p>
      <w:pPr>
        <w:pStyle w:val="ListParagraph"/>
        <w:numPr>
          <w:ilvl w:val="0"/>
          <w:numId w:val="2"/>
        </w:numPr>
        <w:spacing w:after="40" w:before="40"/>
      </w:pPr>
      <w:r>
        <w:rPr>
          <w:rFonts w:ascii="Arial" w:cs="Arial" w:eastAsia="Arial" w:hAnsi="Arial"/>
          <w:sz w:val="20"/>
          <w:szCs w:val="20"/>
        </w:rPr>
        <w:t xml:space="preserve">Déduction automatique du stock à la validation d'un ordre</w:t>
      </w:r>
    </w:p>
    <w:p>
      <w:pPr>
        <w:pStyle w:val="ListParagraph"/>
        <w:numPr>
          <w:ilvl w:val="0"/>
          <w:numId w:val="2"/>
        </w:numPr>
        <w:spacing w:after="40" w:before="40"/>
      </w:pPr>
      <w:r>
        <w:rPr>
          <w:rFonts w:ascii="Arial" w:cs="Arial" w:eastAsia="Arial" w:hAnsi="Arial"/>
          <w:sz w:val="20"/>
          <w:szCs w:val="20"/>
        </w:rPr>
        <w:t xml:space="preserve">Interface React complète</w:t>
      </w:r>
    </w:p>
    <w:p>
      <w:pPr>
        <w:spacing w:after="0" w:before="60"/>
      </w:pPr>
      <w:r>
        <w:t xml:space="preserve"/>
      </w:r>
    </w:p>
    <w:p>
      <w:pPr>
        <w:pStyle w:val="Heading2"/>
        <w:spacing w:after="100" w:before="260"/>
      </w:pPr>
      <w:r>
        <w:rPr>
          <w:rFonts w:ascii="Arial" w:cs="Arial" w:eastAsia="Arial" w:hAnsi="Arial"/>
          <w:b/>
          <w:bCs/>
          <w:color w:val="1B2631"/>
          <w:sz w:val="24"/>
          <w:szCs w:val="24"/>
        </w:rPr>
        <w:t xml:space="preserve">7.2 — Corbeille temporaire (8 jours)</w:t>
      </w:r>
    </w:p>
    <w:p>
      <w:pPr>
        <w:spacing w:after="60" w:before="60"/>
      </w:pPr>
      <w:r>
        <w:rPr>
          <w:rFonts w:ascii="Arial" w:cs="Arial" w:eastAsia="Arial" w:hAnsi="Arial"/>
          <w:sz w:val="20"/>
          <w:szCs w:val="20"/>
        </w:rPr>
        <w:t xml:space="preserve">Idée solide notée dans la fiche de suivi. Implémentation recommandée via soft delete Django :</w:t>
      </w:r>
    </w:p>
    <w:p>
      <w:pPr>
        <w:pStyle w:val="ListParagraph"/>
        <w:numPr>
          <w:ilvl w:val="0"/>
          <w:numId w:val="2"/>
        </w:numPr>
        <w:spacing w:after="40" w:before="40"/>
      </w:pPr>
      <w:r>
        <w:rPr>
          <w:rFonts w:ascii="Arial" w:cs="Arial" w:eastAsia="Arial" w:hAnsi="Arial"/>
          <w:sz w:val="20"/>
          <w:szCs w:val="20"/>
        </w:rPr>
        <w:t xml:space="preserve">Ajouter deleted_at (DateTimeField) et is_deleted (BooleanField, default=False) sur les modèles Client, Vehicule, Intervention, Piece, Fournisseur</w:t>
      </w:r>
    </w:p>
    <w:p>
      <w:pPr>
        <w:pStyle w:val="ListParagraph"/>
        <w:numPr>
          <w:ilvl w:val="0"/>
          <w:numId w:val="2"/>
        </w:numPr>
        <w:spacing w:after="40" w:before="40"/>
      </w:pPr>
      <w:r>
        <w:rPr>
          <w:rFonts w:ascii="Arial" w:cs="Arial" w:eastAsia="Arial" w:hAnsi="Arial"/>
          <w:sz w:val="20"/>
          <w:szCs w:val="20"/>
        </w:rPr>
        <w:t xml:space="preserve">Override du queryset par défaut pour filtrer is_deleted=False automatiquement (CustomManager)</w:t>
      </w:r>
    </w:p>
    <w:p>
      <w:pPr>
        <w:pStyle w:val="ListParagraph"/>
        <w:numPr>
          <w:ilvl w:val="0"/>
          <w:numId w:val="2"/>
        </w:numPr>
        <w:spacing w:after="40" w:before="40"/>
      </w:pPr>
      <w:r>
        <w:rPr>
          <w:rFonts w:ascii="Arial" w:cs="Arial" w:eastAsia="Arial" w:hAnsi="Arial"/>
          <w:sz w:val="20"/>
          <w:szCs w:val="20"/>
        </w:rPr>
        <w:t xml:space="preserve">Management command Django pour purger après 8 jours</w:t>
      </w:r>
    </w:p>
    <w:p>
      <w:pPr>
        <w:pStyle w:val="ListParagraph"/>
        <w:numPr>
          <w:ilvl w:val="0"/>
          <w:numId w:val="2"/>
        </w:numPr>
        <w:spacing w:after="40" w:before="40"/>
      </w:pPr>
      <w:r>
        <w:rPr>
          <w:rFonts w:ascii="Arial" w:cs="Arial" w:eastAsia="Arial" w:hAnsi="Arial"/>
          <w:sz w:val="20"/>
          <w:szCs w:val="20"/>
        </w:rPr>
        <w:t xml:space="preserve">Vue 'Corbeille' dans la sidebar avec bouton Restaurer</w:t>
      </w:r>
    </w:p>
    <w:p>
      <w:pPr>
        <w:spacing w:after="0" w:before="60"/>
      </w:pPr>
      <w:r>
        <w:t xml:space="preserve"/>
      </w:r>
    </w:p>
    <w:p>
      <w:pPr>
        <w:pStyle w:val="Heading2"/>
        <w:spacing w:after="100" w:before="260"/>
      </w:pPr>
      <w:r>
        <w:rPr>
          <w:rFonts w:ascii="Arial" w:cs="Arial" w:eastAsia="Arial" w:hAnsi="Arial"/>
          <w:b/>
          <w:bCs/>
          <w:color w:val="1B2631"/>
          <w:sz w:val="24"/>
          <w:szCs w:val="24"/>
        </w:rPr>
        <w:t xml:space="preserve">7.3 — Archives automatiques (+1 an)</w:t>
      </w:r>
    </w:p>
    <w:p>
      <w:pPr>
        <w:spacing w:after="60" w:before="60"/>
      </w:pPr>
      <w:r>
        <w:rPr>
          <w:rFonts w:ascii="Arial" w:cs="Arial" w:eastAsia="Arial" w:hAnsi="Arial"/>
          <w:sz w:val="20"/>
          <w:szCs w:val="20"/>
        </w:rPr>
        <w:t xml:space="preserve">Complémentaire à la corbeille — ne pas confondre archivage et suppression :</w:t>
      </w:r>
    </w:p>
    <w:p>
      <w:pPr>
        <w:pStyle w:val="ListParagraph"/>
        <w:numPr>
          <w:ilvl w:val="0"/>
          <w:numId w:val="2"/>
        </w:numPr>
        <w:spacing w:after="40" w:before="40"/>
      </w:pPr>
      <w:r>
        <w:rPr>
          <w:rFonts w:ascii="Arial" w:cs="Arial" w:eastAsia="Arial" w:hAnsi="Arial"/>
          <w:sz w:val="20"/>
          <w:szCs w:val="20"/>
        </w:rPr>
        <w:t xml:space="preserve">Champs archived_at + is_archived sur les modèles concernés (Interventions, Factures)</w:t>
      </w:r>
    </w:p>
    <w:p>
      <w:pPr>
        <w:pStyle w:val="ListParagraph"/>
        <w:numPr>
          <w:ilvl w:val="0"/>
          <w:numId w:val="2"/>
        </w:numPr>
        <w:spacing w:after="40" w:before="40"/>
      </w:pPr>
      <w:r>
        <w:rPr>
          <w:rFonts w:ascii="Arial" w:cs="Arial" w:eastAsia="Arial" w:hAnsi="Arial"/>
          <w:sz w:val="20"/>
          <w:szCs w:val="20"/>
        </w:rPr>
        <w:t xml:space="preserve">Management command périodique (Celery ou cron Django) pour archiver les éléments &gt; 1 an</w:t>
      </w:r>
    </w:p>
    <w:p>
      <w:pPr>
        <w:pStyle w:val="ListParagraph"/>
        <w:numPr>
          <w:ilvl w:val="0"/>
          <w:numId w:val="2"/>
        </w:numPr>
        <w:spacing w:after="40" w:before="40"/>
      </w:pPr>
      <w:r>
        <w:rPr>
          <w:rFonts w:ascii="Arial" w:cs="Arial" w:eastAsia="Arial" w:hAnsi="Arial"/>
          <w:sz w:val="20"/>
          <w:szCs w:val="20"/>
        </w:rPr>
        <w:t xml:space="preserve">Vue Archives en lecture seule dans la sidebar</w:t>
      </w:r>
    </w:p>
    <w:p>
      <w:pPr>
        <w:spacing w:after="0" w:before="60"/>
      </w:pPr>
      <w:r>
        <w:t xml:space="preserve"/>
      </w:r>
    </w:p>
    <w:p>
      <w:pPr>
        <w:pStyle w:val="Heading2"/>
        <w:spacing w:after="100" w:before="260"/>
      </w:pPr>
      <w:r>
        <w:rPr>
          <w:rFonts w:ascii="Arial" w:cs="Arial" w:eastAsia="Arial" w:hAnsi="Arial"/>
          <w:b/>
          <w:bCs/>
          <w:color w:val="1B2631"/>
          <w:sz w:val="24"/>
          <w:szCs w:val="24"/>
        </w:rPr>
        <w:t xml:space="preserve">7.4 — Idées futures (backlog)</w:t>
      </w:r>
    </w:p>
    <w:p>
      <w:pPr>
        <w:pStyle w:val="ListParagraph"/>
        <w:numPr>
          <w:ilvl w:val="0"/>
          <w:numId w:val="2"/>
        </w:numPr>
        <w:spacing w:after="40" w:before="40"/>
      </w:pPr>
      <w:r>
        <w:rPr>
          <w:rFonts w:ascii="Arial" w:cs="Arial" w:eastAsia="Arial" w:hAnsi="Arial"/>
          <w:sz w:val="20"/>
          <w:szCs w:val="20"/>
        </w:rPr>
        <w:t xml:space="preserve">API SIV pour pré-remplir les fiches véhicule depuis la plaque d'immatriculation</w:t>
      </w:r>
    </w:p>
    <w:p>
      <w:pPr>
        <w:pStyle w:val="ListParagraph"/>
        <w:numPr>
          <w:ilvl w:val="0"/>
          <w:numId w:val="2"/>
        </w:numPr>
        <w:spacing w:after="40" w:before="40"/>
      </w:pPr>
      <w:r>
        <w:rPr>
          <w:rFonts w:ascii="Arial" w:cs="Arial" w:eastAsia="Arial" w:hAnsi="Arial"/>
          <w:sz w:val="20"/>
          <w:szCs w:val="20"/>
        </w:rPr>
        <w:t xml:space="preserve">Tableau de bord KPIs (CA mensuel, RDV par technicien, stock critique...)</w:t>
      </w:r>
    </w:p>
    <w:p>
      <w:pPr>
        <w:pStyle w:val="ListParagraph"/>
        <w:numPr>
          <w:ilvl w:val="0"/>
          <w:numId w:val="2"/>
        </w:numPr>
        <w:spacing w:after="40" w:before="40"/>
      </w:pPr>
      <w:r>
        <w:rPr>
          <w:rFonts w:ascii="Arial" w:cs="Arial" w:eastAsia="Arial" w:hAnsi="Arial"/>
          <w:sz w:val="20"/>
          <w:szCs w:val="20"/>
        </w:rPr>
        <w:t xml:space="preserve">Détection de conflits : même collaborateur double-booké → alerte ou blocage</w:t>
      </w:r>
    </w:p>
    <w:p>
      <w:pPr>
        <w:pStyle w:val="ListParagraph"/>
        <w:numPr>
          <w:ilvl w:val="0"/>
          <w:numId w:val="2"/>
        </w:numPr>
        <w:spacing w:after="40" w:before="40"/>
      </w:pPr>
      <w:r>
        <w:rPr>
          <w:rFonts w:ascii="Arial" w:cs="Arial" w:eastAsia="Arial" w:hAnsi="Arial"/>
          <w:sz w:val="20"/>
          <w:szCs w:val="20"/>
        </w:rPr>
        <w:t xml:space="preserve">Relances automatiques factures impayées (email auto J+7, J+30...)</w:t>
      </w:r>
    </w:p>
    <w:p>
      <w:pPr>
        <w:pStyle w:val="ListParagraph"/>
        <w:numPr>
          <w:ilvl w:val="0"/>
          <w:numId w:val="2"/>
        </w:numPr>
        <w:spacing w:after="40" w:before="40"/>
      </w:pPr>
      <w:r>
        <w:rPr>
          <w:rFonts w:ascii="Arial" w:cs="Arial" w:eastAsia="Arial" w:hAnsi="Arial"/>
          <w:sz w:val="20"/>
          <w:szCs w:val="20"/>
        </w:rPr>
        <w:t xml:space="preserve">Intégration Twilio (SMS / email / téléphone)</w:t>
      </w:r>
    </w:p>
    <w:p>
      <w:pPr>
        <w:pStyle w:val="ListParagraph"/>
        <w:numPr>
          <w:ilvl w:val="0"/>
          <w:numId w:val="2"/>
        </w:numPr>
        <w:spacing w:after="40" w:before="40"/>
      </w:pPr>
      <w:r>
        <w:rPr>
          <w:rFonts w:ascii="Arial" w:cs="Arial" w:eastAsia="Arial" w:hAnsi="Arial"/>
          <w:sz w:val="20"/>
          <w:szCs w:val="20"/>
        </w:rPr>
        <w:t xml:space="preserve">IA qui propose des créneaux de RDV → validation humaine obligatoire</w:t>
      </w:r>
    </w:p>
    <w:p>
      <w:pPr>
        <w:spacing w:after="0" w:before="60"/>
      </w:pPr>
      <w:r>
        <w:t xml:space="preserve"/>
      </w:r>
    </w:p>
    <w:p>
      <w:pPr>
        <w:pStyle w:val="Heading1"/>
        <w:pBdr>
          <w:bottom w:val="single" w:color="1A5276" w:sz="6" w:space="1"/>
        </w:pBdr>
        <w:spacing w:after="160" w:before="400"/>
      </w:pPr>
      <w:r>
        <w:rPr>
          <w:rFonts w:ascii="Arial" w:cs="Arial" w:eastAsia="Arial" w:hAnsi="Arial"/>
          <w:b/>
          <w:bCs/>
          <w:color w:val="1A5276"/>
          <w:sz w:val="30"/>
          <w:szCs w:val="30"/>
        </w:rPr>
        <w:t xml:space="preserve">8. Plan d'action recommandé</w:t>
      </w:r>
    </w:p>
    <w:p>
      <w:pPr>
        <w:spacing w:after="0" w:before="60"/>
      </w:pPr>
      <w:r>
        <w:t xml:space="preserve"/>
      </w:r>
    </w:p>
    <w:p>
      <w:pPr>
        <w:pStyle w:val="Heading2"/>
        <w:spacing w:after="100" w:before="260"/>
      </w:pPr>
      <w:r>
        <w:rPr>
          <w:rFonts w:ascii="Arial" w:cs="Arial" w:eastAsia="Arial" w:hAnsi="Arial"/>
          <w:b/>
          <w:bCs/>
          <w:color w:val="1B2631"/>
          <w:sz w:val="24"/>
          <w:szCs w:val="24"/>
        </w:rPr>
        <w:t xml:space="preserve">🔴 Semaine 1 — Corrections urgentes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500"/>
      </w:tblGrid>
      <w:tr>
        <w:trPr>
          <w:tblHeader/>
        </w:trPr>
        <w:tc>
          <w:tcPr>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w:t>
            </w:r>
          </w:p>
        </w:tc>
        <w:tc>
          <w:tcPr>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Fichier</w:t>
            </w:r>
          </w:p>
        </w:tc>
        <w:tc>
          <w:tcPr>
            <w:tcBorders>
              <w:top w:val="single" w:color="BDC3C7" w:sz="1"/>
              <w:left w:val="single" w:color="BDC3C7" w:sz="1"/>
              <w:bottom w:val="single" w:color="BDC3C7" w:sz="1"/>
              <w:right w:val="single" w:color="BDC3C7"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Action</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Courier New" w:cs="Courier New" w:eastAsia="Courier New" w:hAnsi="Courier New"/>
                <w:b/>
                <w:bCs/>
                <w:color w:val="C0392B"/>
                <w:sz w:val="16"/>
                <w:szCs w:val="16"/>
              </w:rPr>
              <w:t xml:space="preserve">02</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Sidebar.css + Header.css</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Ajouter media queries mobile → sidebar et header visibles en portrait/paysage</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Courier New" w:cs="Courier New" w:eastAsia="Courier New" w:hAnsi="Courier New"/>
                <w:b/>
                <w:bCs/>
                <w:color w:val="C0392B"/>
                <w:sz w:val="16"/>
                <w:szCs w:val="16"/>
              </w:rPr>
              <w:t xml:space="preserve">03</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settings.py</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Supprimer l'espace dans ALLOWED_HOSTS devant le domaine Codespaces</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Courier New" w:cs="Courier New" w:eastAsia="Courier New" w:hAnsi="Courier New"/>
                <w:b/>
                <w:bCs/>
                <w:color w:val="C0392B"/>
                <w:sz w:val="16"/>
                <w:szCs w:val="16"/>
              </w:rPr>
              <w:t xml:space="preserve">06</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rdvService.js</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Remplacer type_rdv/type_intervention par departement?.nom</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Courier New" w:cs="Courier New" w:eastAsia="Courier New" w:hAnsi="Courier New"/>
                <w:b/>
                <w:bCs/>
                <w:color w:val="C0392B"/>
                <w:sz w:val="16"/>
                <w:szCs w:val="16"/>
              </w:rPr>
              <w:t xml:space="preserve">01</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stock/views.py</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Corriger fournisseur__icontains → fournisseur_ref__nom__icontains</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Courier New" w:cs="Courier New" w:eastAsia="Courier New" w:hAnsi="Courier New"/>
                <w:b/>
                <w:bCs/>
                <w:color w:val="C0392B"/>
                <w:sz w:val="16"/>
                <w:szCs w:val="16"/>
              </w:rPr>
              <w:t xml:space="preserve">15</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terminal Django</w:t>
            </w:r>
          </w:p>
        </w:tc>
        <w:tc>
          <w:tcPr>
            <w:tcBorders>
              <w:top w:val="single" w:color="BDC3C7" w:sz="1"/>
              <w:left w:val="single" w:color="BDC3C7" w:sz="1"/>
              <w:bottom w:val="single" w:color="BDC3C7" w:sz="1"/>
              <w:right w:val="single" w:color="BDC3C7" w:sz="1"/>
            </w:tcBorders>
            <w:tcMar>
              <w:top w:type="dxa" w:w="80"/>
              <w:left w:type="dxa" w:w="120"/>
              <w:bottom w:type="dxa" w:w="80"/>
              <w:right w:type="dxa" w:w="80"/>
            </w:tcMar>
          </w:tcPr>
          <w:p>
            <w:r>
              <w:rPr>
                <w:rFonts w:ascii="Arial" w:cs="Arial" w:eastAsia="Arial" w:hAnsi="Arial"/>
                <w:b w:val="false"/>
                <w:bCs w:val="false"/>
                <w:color w:val="1B2631"/>
                <w:sz w:val="18"/>
                <w:szCs w:val="18"/>
              </w:rPr>
              <w:t xml:space="preserve">Exécuter makemigrations factures + migrate</w:t>
            </w:r>
          </w:p>
        </w:tc>
      </w:tr>
    </w:tbl>
    <w:p>
      <w:pPr>
        <w:spacing w:after="0" w:before="60"/>
      </w:pPr>
      <w:r>
        <w:t xml:space="preserve"/>
      </w:r>
    </w:p>
    <w:p>
      <w:pPr>
        <w:pStyle w:val="Heading2"/>
        <w:spacing w:after="100" w:before="260"/>
      </w:pPr>
      <w:r>
        <w:rPr>
          <w:rFonts w:ascii="Arial" w:cs="Arial" w:eastAsia="Arial" w:hAnsi="Arial"/>
          <w:b/>
          <w:bCs/>
          <w:color w:val="1B2631"/>
          <w:sz w:val="24"/>
          <w:szCs w:val="24"/>
        </w:rPr>
        <w:t xml:space="preserve">🟡 Moyen terme — Dans les prochaines sessions</w:t>
      </w:r>
    </w:p>
    <w:p>
      <w:pPr>
        <w:pStyle w:val="ListParagraph"/>
        <w:numPr>
          <w:ilvl w:val="0"/>
          <w:numId w:val="2"/>
        </w:numPr>
        <w:spacing w:after="40" w:before="40"/>
      </w:pPr>
      <w:r>
        <w:rPr>
          <w:rFonts w:ascii="Arial" w:cs="Arial" w:eastAsia="Arial" w:hAnsi="Arial"/>
          <w:sz w:val="20"/>
          <w:szCs w:val="20"/>
        </w:rPr>
        <w:t xml:space="preserve">Unifier les 5 instances axios dans api.js (issue #07)</w:t>
      </w:r>
    </w:p>
    <w:p>
      <w:pPr>
        <w:pStyle w:val="ListParagraph"/>
        <w:numPr>
          <w:ilvl w:val="0"/>
          <w:numId w:val="2"/>
        </w:numPr>
        <w:spacing w:after="40" w:before="40"/>
      </w:pPr>
      <w:r>
        <w:rPr>
          <w:rFonts w:ascii="Arial" w:cs="Arial" w:eastAsia="Arial" w:hAnsi="Arial"/>
          <w:sz w:val="20"/>
          <w:szCs w:val="20"/>
        </w:rPr>
        <w:t xml:space="preserve">Connecter FactureForm/FactureDetail à Modal.jsx (issue #08)</w:t>
      </w:r>
    </w:p>
    <w:p>
      <w:pPr>
        <w:pStyle w:val="ListParagraph"/>
        <w:numPr>
          <w:ilvl w:val="0"/>
          <w:numId w:val="2"/>
        </w:numPr>
        <w:spacing w:after="40" w:before="40"/>
      </w:pPr>
      <w:r>
        <w:rPr>
          <w:rFonts w:ascii="Arial" w:cs="Arial" w:eastAsia="Arial" w:hAnsi="Arial"/>
          <w:sz w:val="20"/>
          <w:szCs w:val="20"/>
        </w:rPr>
        <w:t xml:space="preserve">Changer CASCADE → PROTECT sur Facture.client + Devis.client (issue #09)</w:t>
      </w:r>
    </w:p>
    <w:p>
      <w:pPr>
        <w:pStyle w:val="ListParagraph"/>
        <w:numPr>
          <w:ilvl w:val="0"/>
          <w:numId w:val="2"/>
        </w:numPr>
        <w:spacing w:after="40" w:before="40"/>
      </w:pPr>
      <w:r>
        <w:rPr>
          <w:rFonts w:ascii="Arial" w:cs="Arial" w:eastAsia="Arial" w:hAnsi="Arial"/>
          <w:sz w:val="20"/>
          <w:szCs w:val="20"/>
        </w:rPr>
        <w:t xml:space="preserve">Corriger la confusion HT/TTC sur Piece.prix_vente (issues #04 et #10)</w:t>
      </w:r>
    </w:p>
    <w:p>
      <w:pPr>
        <w:pStyle w:val="ListParagraph"/>
        <w:numPr>
          <w:ilvl w:val="0"/>
          <w:numId w:val="2"/>
        </w:numPr>
        <w:spacing w:after="40" w:before="40"/>
      </w:pPr>
      <w:r>
        <w:rPr>
          <w:rFonts w:ascii="Arial" w:cs="Arial" w:eastAsia="Arial" w:hAnsi="Arial"/>
          <w:sz w:val="20"/>
          <w:szCs w:val="20"/>
        </w:rPr>
        <w:t xml:space="preserve">Clarifier la logique d'accumulation du paiement (issue #05)</w:t>
      </w:r>
    </w:p>
    <w:p>
      <w:pPr>
        <w:pStyle w:val="ListParagraph"/>
        <w:numPr>
          <w:ilvl w:val="0"/>
          <w:numId w:val="2"/>
        </w:numPr>
        <w:spacing w:after="40" w:before="40"/>
      </w:pPr>
      <w:r>
        <w:rPr>
          <w:rFonts w:ascii="Arial" w:cs="Arial" w:eastAsia="Arial" w:hAnsi="Arial"/>
          <w:sz w:val="20"/>
          <w:szCs w:val="20"/>
        </w:rPr>
        <w:t xml:space="preserve">Démarrer l'app ordres_reparation Django</w:t>
      </w:r>
    </w:p>
    <w:p>
      <w:pPr>
        <w:spacing w:after="0" w:before="60"/>
      </w:pPr>
      <w:r>
        <w:t xml:space="preserve"/>
      </w:r>
    </w:p>
    <w:p>
      <w:pPr>
        <w:pStyle w:val="Heading2"/>
        <w:spacing w:after="100" w:before="260"/>
      </w:pPr>
      <w:r>
        <w:rPr>
          <w:rFonts w:ascii="Arial" w:cs="Arial" w:eastAsia="Arial" w:hAnsi="Arial"/>
          <w:b/>
          <w:bCs/>
          <w:color w:val="1B2631"/>
          <w:sz w:val="24"/>
          <w:szCs w:val="24"/>
        </w:rPr>
        <w:t xml:space="preserve">ℹ️ Quand le projet avance</w:t>
      </w:r>
    </w:p>
    <w:p>
      <w:pPr>
        <w:pStyle w:val="ListParagraph"/>
        <w:numPr>
          <w:ilvl w:val="0"/>
          <w:numId w:val="2"/>
        </w:numPr>
        <w:spacing w:after="40" w:before="40"/>
      </w:pPr>
      <w:r>
        <w:rPr>
          <w:rFonts w:ascii="Arial" w:cs="Arial" w:eastAsia="Arial" w:hAnsi="Arial"/>
          <w:sz w:val="20"/>
          <w:szCs w:val="20"/>
        </w:rPr>
        <w:t xml:space="preserve">Vérifier l'historique Git pour s'assurer que .env n'a jamais été commité (issue #17)</w:t>
      </w:r>
    </w:p>
    <w:p>
      <w:pPr>
        <w:pStyle w:val="ListParagraph"/>
        <w:numPr>
          <w:ilvl w:val="0"/>
          <w:numId w:val="2"/>
        </w:numPr>
        <w:spacing w:after="40" w:before="40"/>
      </w:pPr>
      <w:r>
        <w:rPr>
          <w:rFonts w:ascii="Arial" w:cs="Arial" w:eastAsia="Arial" w:hAnsi="Arial"/>
          <w:sz w:val="20"/>
          <w:szCs w:val="20"/>
        </w:rPr>
        <w:t xml:space="preserve">Supprimer archives/ et Chose_utiles/ du dépôt (issues #18, #19)</w:t>
      </w:r>
    </w:p>
    <w:p>
      <w:pPr>
        <w:pStyle w:val="ListParagraph"/>
        <w:numPr>
          <w:ilvl w:val="0"/>
          <w:numId w:val="2"/>
        </w:numPr>
        <w:spacing w:after="40" w:before="40"/>
      </w:pPr>
      <w:r>
        <w:rPr>
          <w:rFonts w:ascii="Arial" w:cs="Arial" w:eastAsia="Arial" w:hAnsi="Arial"/>
          <w:sz w:val="20"/>
          <w:szCs w:val="20"/>
        </w:rPr>
        <w:t xml:space="preserve">Ajouter la pagination sur les endpoints (issue #14)</w:t>
      </w:r>
    </w:p>
    <w:p>
      <w:pPr>
        <w:pStyle w:val="ListParagraph"/>
        <w:numPr>
          <w:ilvl w:val="0"/>
          <w:numId w:val="2"/>
        </w:numPr>
        <w:spacing w:after="40" w:before="40"/>
      </w:pPr>
      <w:r>
        <w:rPr>
          <w:rFonts w:ascii="Arial" w:cs="Arial" w:eastAsia="Arial" w:hAnsi="Arial"/>
          <w:sz w:val="20"/>
          <w:szCs w:val="20"/>
        </w:rPr>
        <w:t xml:space="preserve">Protéger generer_numero_devis/facture avec select_for_update (issue #13)</w:t>
      </w:r>
    </w:p>
    <w:p>
      <w:pPr>
        <w:pStyle w:val="ListParagraph"/>
        <w:numPr>
          <w:ilvl w:val="0"/>
          <w:numId w:val="2"/>
        </w:numPr>
        <w:spacing w:after="40" w:before="40"/>
      </w:pPr>
      <w:r>
        <w:rPr>
          <w:rFonts w:ascii="Arial" w:cs="Arial" w:eastAsia="Arial" w:hAnsi="Arial"/>
          <w:sz w:val="20"/>
          <w:szCs w:val="20"/>
        </w:rPr>
        <w:t xml:space="preserve">Fixer la nomenclature FR/EN sur les véhicules (issue #11)</w:t>
      </w:r>
    </w:p>
    <w:p>
      <w:pPr>
        <w:pStyle w:val="ListParagraph"/>
        <w:numPr>
          <w:ilvl w:val="0"/>
          <w:numId w:val="2"/>
        </w:numPr>
        <w:spacing w:after="40" w:before="40"/>
      </w:pPr>
      <w:r>
        <w:rPr>
          <w:rFonts w:ascii="Arial" w:cs="Arial" w:eastAsia="Arial" w:hAnsi="Arial"/>
          <w:sz w:val="20"/>
          <w:szCs w:val="20"/>
        </w:rPr>
        <w:t xml:space="preserve">Ajouter le préfixe /api/planning/ (issue #12)</w:t>
      </w:r>
    </w:p>
    <w:p>
      <w:pPr>
        <w:pStyle w:val="ListParagraph"/>
        <w:numPr>
          <w:ilvl w:val="0"/>
          <w:numId w:val="2"/>
        </w:numPr>
        <w:spacing w:after="40" w:before="40"/>
      </w:pPr>
      <w:r>
        <w:rPr>
          <w:rFonts w:ascii="Arial" w:cs="Arial" w:eastAsia="Arial" w:hAnsi="Arial"/>
          <w:sz w:val="20"/>
          <w:szCs w:val="20"/>
        </w:rPr>
        <w:t xml:space="preserve">Implémenter la détection de conflits RDV (issue #21)</w:t>
      </w:r>
    </w:p>
    <w:p>
      <w:pPr>
        <w:spacing w:after="0" w:before="60"/>
      </w:pPr>
      <w:r>
        <w:t xml:space="preserve"/>
      </w:r>
    </w:p>
    <w:p>
      <w:pPr>
        <w:pStyle w:val="Heading1"/>
        <w:pBdr>
          <w:bottom w:val="single" w:color="1A5276" w:sz="6" w:space="1"/>
        </w:pBdr>
        <w:spacing w:after="160" w:before="400"/>
      </w:pPr>
      <w:r>
        <w:rPr>
          <w:rFonts w:ascii="Arial" w:cs="Arial" w:eastAsia="Arial" w:hAnsi="Arial"/>
          <w:b/>
          <w:bCs/>
          <w:color w:val="1A5276"/>
          <w:sz w:val="30"/>
          <w:szCs w:val="30"/>
        </w:rPr>
        <w:t xml:space="preserve">9. Conclusion</w:t>
      </w:r>
    </w:p>
    <w:p>
      <w:pPr>
        <w:spacing w:after="60" w:before="60"/>
      </w:pPr>
      <w:r>
        <w:rPr>
          <w:rFonts w:ascii="Arial" w:cs="Arial" w:eastAsia="Arial" w:hAnsi="Arial"/>
          <w:sz w:val="20"/>
          <w:szCs w:val="20"/>
        </w:rPr>
        <w:t xml:space="preserve">Ce projet montre un niveau de structure et de réflexion très sérieux pour un développeur en apprentissage. La fiche de suivi Matorn révèle un avancement réel bien supérieur à ce que le code seul laissait deviner : le module factures est à 75%, l'infrastructure à 97%, et les conventions sont clairement définies et (globalement) respectées.</w:t>
      </w:r>
    </w:p>
    <w:p>
      <w:pPr>
        <w:spacing w:after="0" w:before="60"/>
      </w:pPr>
      <w:r>
        <w:t xml:space="preserve"/>
      </w:r>
    </w:p>
    <w:p>
      <w:pPr>
        <w:spacing w:after="60" w:before="60"/>
      </w:pPr>
      <w:r>
        <w:rPr>
          <w:rFonts w:ascii="Arial" w:cs="Arial" w:eastAsia="Arial" w:hAnsi="Arial"/>
          <w:sz w:val="20"/>
          <w:szCs w:val="20"/>
        </w:rPr>
        <w:t xml:space="preserve">Les corrections les plus importantes à prioriser sont les bugs mobiles (#02 — sidebar/header invisibles) et les champs obsolètes dans rdvService (#06). Ces deux problèmes sont visibles et impactent directement l'expérience utilisateur dès aujourd'hui.</w:t>
      </w:r>
    </w:p>
    <w:p>
      <w:pPr>
        <w:spacing w:after="0" w:before="60"/>
      </w:pPr>
      <w:r>
        <w:t xml:space="preserve"/>
      </w:r>
    </w:p>
    <w:p>
      <w:pPr>
        <w:spacing w:after="60" w:before="60"/>
      </w:pPr>
      <w:r>
        <w:rPr>
          <w:rFonts w:ascii="Arial" w:cs="Arial" w:eastAsia="Arial" w:hAnsi="Arial"/>
          <w:sz w:val="20"/>
          <w:szCs w:val="20"/>
        </w:rPr>
        <w:t xml:space="preserve">La question HT/TTC (#04 + #10) est la plus risquée sur le fond : une erreur de TVA dans les factures peut passer inaperçue longtemps avant d'être détectée, avec des conséquences comptables réelles.</w:t>
      </w:r>
    </w:p>
    <w:p>
      <w:pPr>
        <w:spacing w:after="0" w:before="60"/>
      </w:pPr>
      <w:r>
        <w:t xml:space="preserve"/>
      </w:r>
    </w:p>
    <w:p>
      <w:pPr>
        <w:spacing w:after="240" w:before="240"/>
        <w:jc w:val="center"/>
      </w:pPr>
      <w:r>
        <w:rPr>
          <w:rFonts w:ascii="Arial" w:cs="Arial" w:eastAsia="Arial" w:hAnsi="Arial"/>
          <w:b/>
          <w:bCs/>
          <w:color w:val="1A5276"/>
          <w:sz w:val="22"/>
          <w:szCs w:val="22"/>
        </w:rPr>
        <w:t xml:space="preserve">Continue comme ça — le projet est sur la bonne voie. 💪</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tabs>
        <w:tab w:val="right" w:pos="8906"/>
      </w:tabs>
    </w:pPr>
    <w:r>
      <w:rPr>
        <w:rFonts w:ascii="Arial" w:cs="Arial" w:eastAsia="Arial" w:hAnsi="Arial"/>
        <w:color w:val="7F8C8D"/>
        <w:sz w:val="15"/>
        <w:szCs w:val="15"/>
      </w:rPr>
      <w:t xml:space="preserve">Usage interne — Confidentiel</w:t>
    </w:r>
    <w:r>
      <w:rPr>
        <w:rFonts w:ascii="Arial" w:cs="Arial" w:eastAsia="Arial" w:hAnsi="Arial"/>
        <w:color w:val="7F8C8D"/>
        <w:sz w:val="15"/>
        <w:szCs w:val="15"/>
      </w:rPr>
      <w:t xml:space="preserve">	Page </w:t>
    </w:r>
    <w:r>
      <w:rPr>
        <w:rFonts w:ascii="Arial" w:cs="Arial" w:eastAsia="Arial" w:hAnsi="Arial"/>
        <w:color w:val="7F8C8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8906"/>
      </w:tabs>
    </w:pPr>
    <w:r>
      <w:rPr>
        <w:rFonts w:ascii="Arial" w:cs="Arial" w:eastAsia="Arial" w:hAnsi="Arial"/>
        <w:b/>
        <w:bCs/>
        <w:color w:val="1A5276"/>
        <w:sz w:val="17"/>
        <w:szCs w:val="17"/>
      </w:rPr>
      <w:t xml:space="preserve">MATORN — Audit Projet Gestion Garage — v2.0</w:t>
    </w:r>
    <w:r>
      <w:rPr>
        <w:rFonts w:ascii="Arial" w:cs="Arial" w:eastAsia="Arial" w:hAnsi="Arial"/>
        <w:color w:val="7F8C8D"/>
        <w:sz w:val="17"/>
        <w:szCs w:val="17"/>
      </w:rPr>
      <w:t xml:space="preserve">	16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0"/>
      <w:szCs w:val="30"/>
    </w:rPr>
  </w:style>
  <w:style w:type="paragraph" w:styleId="Heading2">
    <w:name w:val="Heading 2"/>
    <w:basedOn w:val="Normal"/>
    <w:next w:val="Normal"/>
    <w:qFormat/>
    <w:pPr>
      <w:spacing w:after="100" w:before="2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2026-04-16T16:38:40.686Z</dcterms:created>
  <dcterms:modified xsi:type="dcterms:W3CDTF">2026-04-16T16:38:40.686Z</dcterms:modified>
</cp:coreProperties>
</file>

<file path=docProps/custom.xml><?xml version="1.0" encoding="utf-8"?>
<Properties xmlns="http://schemas.openxmlformats.org/officeDocument/2006/custom-properties" xmlns:vt="http://schemas.openxmlformats.org/officeDocument/2006/docPropsVTypes"/>
</file>