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Kestrel Hollow Expedition</w:t>
      </w:r>
    </w:p>
    <w:p>
      <w:pPr>
        <w:spacing w:after="60"/>
        <w:jc w:val="center"/>
      </w:pPr>
      <w:r>
        <w:rPr>
          <w:color w:val="555555"/>
          <w:sz w:val="28"/>
          <w:szCs w:val="28"/>
        </w:rPr>
        <w:t xml:space="preserve">Final Report to the Ardenmoor Heritage Trust</w:t>
      </w:r>
    </w:p>
    <w:p>
      <w:pPr>
        <w:spacing w:after="320"/>
        <w:jc w:val="center"/>
      </w:pPr>
      <w:r>
        <w:rPr>
          <w:color w:val="777777"/>
          <w:sz w:val="20"/>
          <w:szCs w:val="20"/>
        </w:rPr>
        <w:t xml:space="preserve">Grant AHT-2025-114  ·  Submitted 12 June 2025  ·  Dr. Elena Wren, Principal Investigator</w:t>
      </w:r>
    </w:p>
    <w:p>
      <w:pPr>
        <w:pStyle w:val="Heading1"/>
        <w:spacing w:after="140" w:before="280"/>
      </w:pPr>
      <w:r>
        <w:t xml:space="preserve">Executive Summary</w:t>
      </w:r>
    </w:p>
    <w:p>
      <w:pPr>
        <w:spacing w:after="160"/>
      </w:pPr>
      <w:r>
        <w:t xml:space="preserve">Between 2–9 June 2025, a three-person expedition led by Dr. Elena Wren (University of Caldbridge) conducted excavation at Kestrel Hollow, Ardenmoor Highlands, under Ministry permit MCA-0472-25. The expedition located and recovered the Thornecliff Manuscript, a 15th-century illuminated vellum text previously known only from a single 1487 ledger reference, along with three supporting artifacts. The manuscript was delivered under seal to the University of Caldbridge conservation laboratory on 9 June 2025. An unaffiliated third party was observed near the site on two occasions in the final days of fieldwork; this is documented in the incident section below.</w:t>
      </w:r>
    </w:p>
    <w:p>
      <w:pPr>
        <w:pStyle w:val="Heading1"/>
        <w:spacing w:after="140" w:before="280"/>
      </w:pPr>
      <w:r>
        <w:t xml:space="preserve">Background</w:t>
      </w:r>
    </w:p>
    <w:p>
      <w:pPr>
        <w:spacing w:after="160"/>
      </w:pPr>
      <w:r>
        <w:t xml:space="preserve">The Thornecliff Manuscript has been the subject of intermittent inquiry since Dr. Wren first identified the relevant ledger margin note during doctoral research approximately four years ago. The note, dated 1487, refers to “the last true book” being placed for safekeeping at the chapel above what is now called Kestrel Hollow. Local oral history, recorded from guide Tomas Reyes, independently preserves a version of the same account, describing the same site and a similar caution against removing the book without proper authority — corroboration the team considers significant despite its folkloric framing.</w:t>
      </w:r>
    </w:p>
    <w:p>
      <w:pPr>
        <w:pStyle w:val="Heading1"/>
        <w:spacing w:after="140" w:before="280"/>
      </w:pPr>
      <w:r>
        <w:t xml:space="preserve">Team and Permit</w:t>
      </w:r>
    </w:p>
    <w:p>
      <w:pPr>
        <w:spacing w:after="160"/>
      </w:pPr>
      <w:r>
        <w:t xml:space="preserve">Field team: Dr. Elena Wren (lead), Marcus Ilyas (field assistant, ledger-transcript specialist), Tomas Reyes (local guide and logistics). Excavation was conducted under Ministry of Culture and Antiquities permit MCA-0472-25, issued 20 May 2025 (copy attached to this submission as authorization_letter.pdf).</w:t>
      </w:r>
    </w:p>
    <w:p>
      <w:pPr>
        <w:pStyle w:val="Heading1"/>
        <w:spacing w:after="140" w:before="280"/>
      </w:pPr>
      <w:r>
        <w:t xml:space="preserve">Methodology</w:t>
      </w:r>
    </w:p>
    <w:p>
      <w:pPr>
        <w:spacing w:after="160"/>
      </w:pPr>
      <w:r>
        <w:t xml:space="preserve">Trench A was opened against the north wall of the collapsed chapel foundation on 3 June. A ground-penetrating radar survey of the surrounding slope on 5 June identified a second anomaly approximately six meters east, designated Site B, which was subsequently opened on 6–7 June. Full GPS coordinates, depths, and field conditions for each find are recorded in the accompanying field data log (field_data.csv).</w:t>
      </w:r>
    </w:p>
    <w:p>
      <w:pPr>
        <w:pStyle w:val="Heading1"/>
        <w:spacing w:after="140" w:before="280"/>
      </w:pPr>
      <w:r>
        <w:t xml:space="preserve">Findings</w:t>
      </w:r>
    </w:p>
    <w:p>
      <w:pPr>
        <w:spacing w:after="160"/>
      </w:pPr>
      <w:r>
        <w:t xml:space="preserve">Four principal artifacts were recovered, summarized below. Full descriptive notes are retained in the project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60"/>
        <w:gridCol w:w="1200"/>
        <w:gridCol w:w="1200"/>
      </w:tblGrid>
      <w:tr>
        <w:trPr>
          <w:tblHeader/>
        </w:trPr>
        <w:tc>
          <w:tcPr>
            <w:tcW w:type="dxa" w:w="1400"/>
            <w:shd w:fill="2F5233" w:val="clear"/>
          </w:tcPr>
          <w:p>
            <w:r>
              <w:rPr>
                <w:b/>
                <w:bCs/>
                <w:color w:val="FFFFFF"/>
              </w:rPr>
              <w:t xml:space="preserve">Date</w:t>
            </w:r>
          </w:p>
        </w:tc>
        <w:tc>
          <w:tcPr>
            <w:tcW w:type="dxa" w:w="1400"/>
            <w:shd w:fill="2F5233" w:val="clear"/>
          </w:tcPr>
          <w:p>
            <w:r>
              <w:rPr>
                <w:b/>
                <w:bCs/>
                <w:color w:val="FFFFFF"/>
              </w:rPr>
              <w:t xml:space="preserve">Artifact ID</w:t>
            </w:r>
          </w:p>
        </w:tc>
        <w:tc>
          <w:tcPr>
            <w:tcW w:type="dxa" w:w="4160"/>
            <w:shd w:fill="2F5233" w:val="clear"/>
          </w:tcPr>
          <w:p>
            <w:r>
              <w:rPr>
                <w:b/>
                <w:bCs/>
                <w:color w:val="FFFFFF"/>
              </w:rPr>
              <w:t xml:space="preserve">Description</w:t>
            </w:r>
          </w:p>
        </w:tc>
        <w:tc>
          <w:tcPr>
            <w:tcW w:type="dxa" w:w="1200"/>
            <w:shd w:fill="2F5233" w:val="clear"/>
          </w:tcPr>
          <w:p>
            <w:r>
              <w:rPr>
                <w:b/>
                <w:bCs/>
                <w:color w:val="FFFFFF"/>
              </w:rPr>
              <w:t xml:space="preserve">Depth (cm)</w:t>
            </w:r>
          </w:p>
        </w:tc>
        <w:tc>
          <w:tcPr>
            <w:tcW w:type="dxa" w:w="1200"/>
            <w:shd w:fill="2F5233" w:val="clear"/>
          </w:tcPr>
          <w:p>
            <w:r>
              <w:rPr>
                <w:b/>
                <w:bCs/>
                <w:color w:val="FFFFFF"/>
              </w:rPr>
              <w:t xml:space="preserve">Location</w:t>
            </w:r>
          </w:p>
        </w:tc>
      </w:tr>
      <w:tr>
        <w:tc>
          <w:tcPr>
            <w:tcW w:type="dxa" w:w="1400"/>
          </w:tcPr>
          <w:p>
            <w:r>
              <w:rPr>
                <w:b w:val="false"/>
                <w:bCs w:val="false"/>
              </w:rPr>
              <w:t xml:space="preserve">June 3</w:t>
            </w:r>
          </w:p>
        </w:tc>
        <w:tc>
          <w:tcPr>
            <w:tcW w:type="dxa" w:w="1400"/>
          </w:tcPr>
          <w:p>
            <w:r>
              <w:rPr>
                <w:b w:val="false"/>
                <w:bCs w:val="false"/>
              </w:rPr>
              <w:t xml:space="preserve">KH-01</w:t>
            </w:r>
          </w:p>
        </w:tc>
        <w:tc>
          <w:tcPr>
            <w:tcW w:type="dxa" w:w="4160"/>
          </w:tcPr>
          <w:p>
            <w:r>
              <w:rPr>
                <w:b w:val="false"/>
                <w:bCs w:val="false"/>
              </w:rPr>
              <w:t xml:space="preserve">Bronze seal, rearing hare motif with partial letter “T”</w:t>
            </w:r>
          </w:p>
        </w:tc>
        <w:tc>
          <w:tcPr>
            <w:tcW w:type="dxa" w:w="1200"/>
          </w:tcPr>
          <w:p>
            <w:r>
              <w:rPr>
                <w:b w:val="false"/>
                <w:bCs w:val="false"/>
              </w:rPr>
              <w:t xml:space="preserve">12</w:t>
            </w:r>
          </w:p>
        </w:tc>
        <w:tc>
          <w:tcPr>
            <w:tcW w:type="dxa" w:w="1200"/>
          </w:tcPr>
          <w:p>
            <w:r>
              <w:rPr>
                <w:b w:val="false"/>
                <w:bCs w:val="false"/>
              </w:rPr>
              <w:t xml:space="preserve">Trench A</w:t>
            </w:r>
          </w:p>
        </w:tc>
      </w:tr>
      <w:tr>
        <w:tc>
          <w:tcPr>
            <w:tcW w:type="dxa" w:w="1400"/>
          </w:tcPr>
          <w:p>
            <w:r>
              <w:rPr>
                <w:b w:val="false"/>
                <w:bCs w:val="false"/>
              </w:rPr>
              <w:t xml:space="preserve">June 4</w:t>
            </w:r>
          </w:p>
        </w:tc>
        <w:tc>
          <w:tcPr>
            <w:tcW w:type="dxa" w:w="1400"/>
          </w:tcPr>
          <w:p>
            <w:r>
              <w:rPr>
                <w:b w:val="false"/>
                <w:bCs w:val="false"/>
              </w:rPr>
              <w:t xml:space="preserve">KH-02</w:t>
            </w:r>
          </w:p>
        </w:tc>
        <w:tc>
          <w:tcPr>
            <w:tcW w:type="dxa" w:w="4160"/>
          </w:tcPr>
          <w:p>
            <w:r>
              <w:rPr>
                <w:b w:val="false"/>
                <w:bCs w:val="false"/>
              </w:rPr>
              <w:t xml:space="preserve">Red-glazed pottery shard, recovered under collapsed lintel stone</w:t>
            </w:r>
          </w:p>
        </w:tc>
        <w:tc>
          <w:tcPr>
            <w:tcW w:type="dxa" w:w="1200"/>
          </w:tcPr>
          <w:p>
            <w:r>
              <w:rPr>
                <w:b w:val="false"/>
                <w:bCs w:val="false"/>
              </w:rPr>
              <w:t xml:space="preserve">34</w:t>
            </w:r>
          </w:p>
        </w:tc>
        <w:tc>
          <w:tcPr>
            <w:tcW w:type="dxa" w:w="1200"/>
          </w:tcPr>
          <w:p>
            <w:r>
              <w:rPr>
                <w:b w:val="false"/>
                <w:bCs w:val="false"/>
              </w:rPr>
              <w:t xml:space="preserve">Trench A</w:t>
            </w:r>
          </w:p>
        </w:tc>
      </w:tr>
      <w:tr>
        <w:tc>
          <w:tcPr>
            <w:tcW w:type="dxa" w:w="1400"/>
          </w:tcPr>
          <w:p>
            <w:r>
              <w:rPr>
                <w:b w:val="false"/>
                <w:bCs w:val="false"/>
              </w:rPr>
              <w:t xml:space="preserve">June 6</w:t>
            </w:r>
          </w:p>
        </w:tc>
        <w:tc>
          <w:tcPr>
            <w:tcW w:type="dxa" w:w="1400"/>
          </w:tcPr>
          <w:p>
            <w:r>
              <w:rPr>
                <w:b w:val="false"/>
                <w:bCs w:val="false"/>
              </w:rPr>
              <w:t xml:space="preserve">KH-03</w:t>
            </w:r>
          </w:p>
        </w:tc>
        <w:tc>
          <w:tcPr>
            <w:tcW w:type="dxa" w:w="4160"/>
          </w:tcPr>
          <w:p>
            <w:r>
              <w:rPr>
                <w:b w:val="false"/>
                <w:bCs w:val="false"/>
              </w:rPr>
              <w:t xml:space="preserve">Stone chest, cracked lid, largely intact</w:t>
            </w:r>
          </w:p>
        </w:tc>
        <w:tc>
          <w:tcPr>
            <w:tcW w:type="dxa" w:w="1200"/>
          </w:tcPr>
          <w:p>
            <w:r>
              <w:rPr>
                <w:b w:val="false"/>
                <w:bCs w:val="false"/>
              </w:rPr>
              <w:t xml:space="preserve">78</w:t>
            </w:r>
          </w:p>
        </w:tc>
        <w:tc>
          <w:tcPr>
            <w:tcW w:type="dxa" w:w="1200"/>
          </w:tcPr>
          <w:p>
            <w:r>
              <w:rPr>
                <w:b w:val="false"/>
                <w:bCs w:val="false"/>
              </w:rPr>
              <w:t xml:space="preserve">Site B</w:t>
            </w:r>
          </w:p>
        </w:tc>
      </w:tr>
      <w:tr>
        <w:tc>
          <w:tcPr>
            <w:tcW w:type="dxa" w:w="1400"/>
          </w:tcPr>
          <w:p>
            <w:r>
              <w:rPr>
                <w:b w:val="false"/>
                <w:bCs w:val="false"/>
              </w:rPr>
              <w:t xml:space="preserve">June 7</w:t>
            </w:r>
          </w:p>
        </w:tc>
        <w:tc>
          <w:tcPr>
            <w:tcW w:type="dxa" w:w="1400"/>
          </w:tcPr>
          <w:p>
            <w:r>
              <w:rPr>
                <w:b w:val="false"/>
                <w:bCs w:val="false"/>
              </w:rPr>
              <w:t xml:space="preserve">KH-04</w:t>
            </w:r>
          </w:p>
        </w:tc>
        <w:tc>
          <w:tcPr>
            <w:tcW w:type="dxa" w:w="4160"/>
          </w:tcPr>
          <w:p>
            <w:r>
              <w:rPr>
                <w:b w:val="false"/>
                <w:bCs w:val="false"/>
              </w:rPr>
              <w:t xml:space="preserve">Thornecliff Manuscript — illuminated vellum, oilcloth-wrapped</w:t>
            </w:r>
          </w:p>
        </w:tc>
        <w:tc>
          <w:tcPr>
            <w:tcW w:type="dxa" w:w="1200"/>
          </w:tcPr>
          <w:p>
            <w:r>
              <w:rPr>
                <w:b w:val="false"/>
                <w:bCs w:val="false"/>
              </w:rPr>
              <w:t xml:space="preserve">82</w:t>
            </w:r>
          </w:p>
        </w:tc>
        <w:tc>
          <w:tcPr>
            <w:tcW w:type="dxa" w:w="1200"/>
          </w:tcPr>
          <w:p>
            <w:r>
              <w:rPr>
                <w:b w:val="false"/>
                <w:bCs w:val="false"/>
              </w:rPr>
              <w:t xml:space="preserve">Site B (inside KH-03)</w:t>
            </w:r>
          </w:p>
        </w:tc>
      </w:tr>
    </w:tbl>
    <w:p>
      <w:pPr>
        <w:spacing w:after="200"/>
      </w:pPr>
    </w:p>
    <w:p>
      <w:pPr>
        <w:spacing w:after="160"/>
      </w:pPr>
      <w:r>
        <w:t xml:space="preserve">The bronze seal (KH-01) bears a rearing hare and a partial letter “T,” which guide Tomas Reyes has tentatively identified as consistent with a boundary marker near the stream crossing attributed to the Thornecliff family. This identification has not yet been independently verified and is flagged for follow-up. The manuscript itself (KH-04) was found wrapped in oilcloth inside the stone chest (KH-03) and was in markedly better condition than the burial context would suggest likely, which the team attributes to the chest's near-complete seal.</w:t>
      </w:r>
    </w:p>
    <w:p>
      <w:pPr>
        <w:pStyle w:val="Heading1"/>
        <w:spacing w:after="140" w:before="280"/>
      </w:pPr>
      <w:r>
        <w:t xml:space="preserve">Incident: Unauthorized Observation, 6 and 8 June</w:t>
      </w:r>
    </w:p>
    <w:p>
      <w:pPr>
        <w:spacing w:after="160"/>
      </w:pPr>
      <w:r>
        <w:t xml:space="preserve">On the morning of 6 June, an unfamiliar vehicle was noted parked at the valley road turnoff by guide Tomas Reyes; its presence was not initially treated as significant. On 8 June, two individuals were observed at the tree line above camp with optical equipment directed at the site. One was identified by Dr. Wren as Dr. Priya Nandan, a collector consulting for Blackthorn Antiquities Ltd., who is not affiliated with this expedition or its permit. Dr. Nandan stated she was hiking in the area. Given the timing — immediately following recovery of the manuscript on 7 June — the team judged the explanation insufficiently reassuring and elected to move up the extraction date by approximately 24 hours. The Ministry contact (Director Y. Okafor's office) was notified by radio ahead of departure. No attempt at contact or interference occurred during the 9 June transport, and the manuscript was delivered to the Caldbridge conservation lab without incident.</w:t>
      </w:r>
    </w:p>
    <w:p>
      <w:pPr>
        <w:pStyle w:val="Heading1"/>
        <w:spacing w:after="140" w:before="280"/>
      </w:pPr>
      <w:r>
        <w:t xml:space="preserve">Conclusion and Recommendations</w:t>
      </w:r>
    </w:p>
    <w:p>
      <w:pPr>
        <w:spacing w:after="160"/>
      </w:pPr>
      <w:r>
        <w:t xml:space="preserve">This expedition successfully achieved its primary objective. The Trust is asked to note the following recommendations: (1) commission conservation and paleographic analysis of KH-04 as a priority, given the exposure risk documented above; (2) fund a short verification visit to confirm or rule out the Thornecliff crest identification on KH-01; and (3) consider whether the Nandan/Blackthorn interest in this site warrants a formal notice to the Ministry ahead of any future fieldwork at Kestrel Hollow, including the 2026 conservation work already planned for the chapel foundation.</w:t>
      </w:r>
    </w:p>
    <w:p>
      <w:pPr>
        <w:spacing w:after="300"/>
      </w:pPr>
    </w:p>
    <w:p>
      <w:pPr>
        <w:spacing w:after="160"/>
      </w:pPr>
      <w:r>
        <w:t xml:space="preserve">Respectfully submitted,</w:t>
      </w:r>
    </w:p>
    <w:p>
      <w:pPr>
        <w:spacing w:after="160"/>
      </w:pPr>
      <w:r>
        <w:t xml:space="preserve">Dr. Elena Wren
Principal Investigator, University of Caldbridge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2026-07-18T09:24:24.663Z</dcterms:created>
  <dcterms:modified xsi:type="dcterms:W3CDTF">2026-07-18T09:24:24.675Z</dcterms:modified>
</cp:coreProperties>
</file>

<file path=docProps/custom.xml><?xml version="1.0" encoding="utf-8"?>
<Properties xmlns="http://schemas.openxmlformats.org/officeDocument/2006/custom-properties" xmlns:vt="http://schemas.openxmlformats.org/officeDocument/2006/docPropsVTypes"/>
</file>