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993333"/>
          <w:sz w:val="22"/>
          <w:szCs w:val="22"/>
        </w:rPr>
        <w:t xml:space="preserve">Privileged &amp; Confidential</w:t>
      </w:r>
    </w:p>
    <w:p>
      <w:pPr>
        <w:spacing w:after="60"/>
        <w:jc w:val="center"/>
      </w:pPr>
      <w:r>
        <w:rPr>
          <w:b/>
          <w:bCs/>
          <w:sz w:val="40"/>
          <w:szCs w:val="40"/>
        </w:rPr>
        <w:t xml:space="preserve">Legal Risk Memorandum</w:t>
      </w:r>
    </w:p>
    <w:p>
      <w:pPr>
        <w:spacing w:after="60"/>
        <w:jc w:val="center"/>
      </w:pPr>
      <w:r>
        <w:rPr>
          <w:color w:val="555555"/>
          <w:sz w:val="24"/>
          <w:szCs w:val="24"/>
        </w:rPr>
        <w:t xml:space="preserve">Re: Undisclosed IP Litigation — Vantage Systems Acquisition</w:t>
      </w:r>
    </w:p>
    <w:p>
      <w:pPr>
        <w:spacing w:after="320"/>
        <w:jc w:val="center"/>
      </w:pPr>
      <w:r>
        <w:rPr>
          <w:color w:val="777777"/>
          <w:sz w:val="20"/>
          <w:szCs w:val="20"/>
        </w:rPr>
        <w:t xml:space="preserve">15 April 2026  ·  Prepared by Aaron Whitfield for the Silverline Robotics deal team</w:t>
      </w:r>
    </w:p>
    <w:p>
      <w:pPr>
        <w:pStyle w:val="Heading1"/>
        <w:spacing w:after="140" w:before="280"/>
      </w:pPr>
      <w:r>
        <w:t xml:space="preserve">Summary</w:t>
      </w:r>
    </w:p>
    <w:p>
      <w:pPr>
        <w:spacing w:after="160"/>
      </w:pPr>
      <w:r>
        <w:t xml:space="preserve">On 13 April 2026, Silverline Robotics' deal team learned that Vantage Systems is subject to an active patent infringement demand from Meridian Dynamics concerning Vantage's industrial-sensor product line — the same product line identified during financial diligence as the target's primary revenue driver. Vantage CFO Derek Voss was directly asked about undisclosed IP litigation on 8 April 2026 and denied any such matter. Evidence indicates Vantage received an earlier version of this demand in January 2026, predating both the start of diligence and the direct question posed on April 8. This memo assesses the exposure and recommends deal-structure adjustments.</w:t>
      </w:r>
    </w:p>
    <w:p>
      <w:pPr>
        <w:pStyle w:val="Heading1"/>
        <w:spacing w:after="140" w:before="280"/>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3B57" w:val="clear"/>
          </w:tcPr>
          <w:p>
            <w:r>
              <w:rPr>
                <w:b/>
                <w:bCs/>
                <w:color w:val="FFFFFF"/>
              </w:rPr>
              <w:t xml:space="preserve">Date</w:t>
            </w:r>
          </w:p>
        </w:tc>
        <w:tc>
          <w:tcPr>
            <w:tcW w:type="dxa" w:w="7560"/>
            <w:shd w:fill="1F3B57" w:val="clear"/>
          </w:tcPr>
          <w:p>
            <w:r>
              <w:rPr>
                <w:b/>
                <w:bCs/>
                <w:color w:val="FFFFFF"/>
              </w:rPr>
              <w:t xml:space="preserve">Event</w:t>
            </w:r>
          </w:p>
        </w:tc>
      </w:tr>
      <w:tr>
        <w:tc>
          <w:tcPr>
            <w:tcW w:type="dxa" w:w="1800"/>
          </w:tcPr>
          <w:p>
            <w:r>
              <w:rPr>
                <w:b w:val="false"/>
                <w:bCs w:val="false"/>
              </w:rPr>
              <w:t xml:space="preserve">Jan 2026</w:t>
            </w:r>
          </w:p>
        </w:tc>
        <w:tc>
          <w:tcPr>
            <w:tcW w:type="dxa" w:w="7560"/>
          </w:tcPr>
          <w:p>
            <w:r>
              <w:rPr>
                <w:b w:val="false"/>
                <w:bCs w:val="false"/>
              </w:rPr>
              <w:t xml:space="preserve">Vantage Systems receives initial demand letter from Meridian Dynamics (per Meridian's own account); not disclosed to Silverline at any point in diligence.</w:t>
            </w:r>
          </w:p>
        </w:tc>
      </w:tr>
      <w:tr>
        <w:tc>
          <w:tcPr>
            <w:tcW w:type="dxa" w:w="1800"/>
          </w:tcPr>
          <w:p>
            <w:r>
              <w:rPr>
                <w:b w:val="false"/>
                <w:bCs w:val="false"/>
              </w:rPr>
              <w:t xml:space="preserve">Apr 8, 2026</w:t>
            </w:r>
          </w:p>
        </w:tc>
        <w:tc>
          <w:tcPr>
            <w:tcW w:type="dxa" w:w="7560"/>
          </w:tcPr>
          <w:p>
            <w:r>
              <w:rPr>
                <w:b w:val="false"/>
                <w:bCs w:val="false"/>
              </w:rPr>
              <w:t xml:space="preserve">Silverline counsel directly asks Vantage CFO Derek Voss whether any IP litigation, active or threatened, exists beyond the disclosure schedule. Answer given: no.</w:t>
            </w:r>
          </w:p>
        </w:tc>
      </w:tr>
      <w:tr>
        <w:tc>
          <w:tcPr>
            <w:tcW w:type="dxa" w:w="1800"/>
          </w:tcPr>
          <w:p>
            <w:r>
              <w:rPr>
                <w:b w:val="false"/>
                <w:bCs w:val="false"/>
              </w:rPr>
              <w:t xml:space="preserve">Apr 13, 2026</w:t>
            </w:r>
          </w:p>
        </w:tc>
        <w:tc>
          <w:tcPr>
            <w:tcW w:type="dxa" w:w="7560"/>
          </w:tcPr>
          <w:p>
            <w:r>
              <w:rPr>
                <w:b w:val="false"/>
                <w:bCs w:val="false"/>
              </w:rPr>
              <w:t xml:space="preserve">Opposing counsel discloses an active demand letter from Meridian Dynamics alleging patent infringement on the industrial-sensor product line.</w:t>
            </w:r>
          </w:p>
        </w:tc>
      </w:tr>
      <w:tr>
        <w:tc>
          <w:tcPr>
            <w:tcW w:type="dxa" w:w="1800"/>
          </w:tcPr>
          <w:p>
            <w:r>
              <w:rPr>
                <w:b w:val="false"/>
                <w:bCs w:val="false"/>
              </w:rPr>
              <w:t xml:space="preserve">Apr 14, 2026</w:t>
            </w:r>
          </w:p>
        </w:tc>
        <w:tc>
          <w:tcPr>
            <w:tcW w:type="dxa" w:w="7560"/>
          </w:tcPr>
          <w:p>
            <w:r>
              <w:rPr>
                <w:b w:val="false"/>
                <w:bCs w:val="false"/>
              </w:rPr>
              <w:t xml:space="preserve">Silverline deal team convenes; matter assessed as a material misrepresentation, not merely an omission.</w:t>
            </w:r>
          </w:p>
        </w:tc>
      </w:tr>
    </w:tbl>
    <w:p>
      <w:pPr>
        <w:spacing w:after="200"/>
      </w:pPr>
    </w:p>
    <w:p>
      <w:pPr>
        <w:pStyle w:val="Heading1"/>
        <w:spacing w:after="140" w:before="280"/>
      </w:pPr>
      <w:r>
        <w:t xml:space="preserve">Nature of the Exposure</w:t>
      </w:r>
    </w:p>
    <w:p>
      <w:pPr>
        <w:spacing w:after="160"/>
      </w:pPr>
      <w:r>
        <w:t xml:space="preserve">The financial statements reviewed during diligence (see financials_summary.csv) show no litigation reserve booked against the industrial-sensor line in any of the four quarters reviewed, despite Vantage's own apparent awareness of the Meridian claim since January 2026. The industrial-sensor line represents approximately 63% of Vantage's total revenue in the most recent quarter reviewed, meaning an adverse outcome or injunction related to this litigation would affect the core of the business being acquired, not a peripheral product.</w:t>
      </w:r>
    </w:p>
    <w:p>
      <w:pPr>
        <w:pStyle w:val="Heading1"/>
        <w:spacing w:after="140" w:before="280"/>
      </w:pPr>
      <w:r>
        <w:t xml:space="preserve">Assessment</w:t>
      </w:r>
    </w:p>
    <w:p>
      <w:pPr>
        <w:spacing w:after="160"/>
      </w:pPr>
      <w:r>
        <w:t xml:space="preserve">This is treated as a material misrepresentation rather than a simple disclosure gap, given the direct question asked and directly negative answer given on April 8. This materially affects both the valuation basis used in preliminary deal terms and the reliability of Vantage's representations generally, which raises diligence questions beyond the IP workstream specifically.</w:t>
      </w:r>
    </w:p>
    <w:p>
      <w:pPr>
        <w:pStyle w:val="Heading1"/>
        <w:spacing w:after="140" w:before="280"/>
      </w:pPr>
      <w:r>
        <w:t xml:space="preserve">Recommendations</w:t>
      </w:r>
    </w:p>
    <w:p>
      <w:pPr>
        <w:pStyle w:val="ListParagraph"/>
        <w:numPr>
          <w:ilvl w:val="0"/>
          <w:numId w:val="1"/>
        </w:numPr>
        <w:spacing w:after="80"/>
      </w:pPr>
      <w:r>
        <w:t xml:space="preserve">Purchase price holdback (recommend 15–20% of headline value) pending resolution or quantification of the Meridian claim.</w:t>
      </w:r>
    </w:p>
    <w:p>
      <w:pPr>
        <w:pStyle w:val="ListParagraph"/>
        <w:numPr>
          <w:ilvl w:val="0"/>
          <w:numId w:val="1"/>
        </w:numPr>
        <w:spacing w:after="80"/>
      </w:pPr>
      <w:r>
        <w:t xml:space="preserve">Revised representations and warranties explicitly covering IP litigation disclosure, with specific carve-out and indemnification language for the Meridian matter.</w:t>
      </w:r>
    </w:p>
    <w:p>
      <w:pPr>
        <w:pStyle w:val="ListParagraph"/>
        <w:numPr>
          <w:ilvl w:val="0"/>
          <w:numId w:val="1"/>
        </w:numPr>
        <w:spacing w:after="80"/>
      </w:pPr>
      <w:r>
        <w:t xml:space="preserve">Independent counsel review of the Meridian demand letter and any prior related correspondence, including the January 2026 communication, before the deal proceeds further.</w:t>
      </w:r>
    </w:p>
    <w:p>
      <w:pPr>
        <w:pStyle w:val="ListParagraph"/>
        <w:numPr>
          <w:ilvl w:val="0"/>
          <w:numId w:val="1"/>
        </w:numPr>
        <w:spacing w:after="80"/>
      </w:pPr>
      <w:r>
        <w:t xml:space="preserve">Re-open the IP workstream in full; do not treat other portions of Vantage's disclosure schedule as reliable without independent verification given this finding.</w:t>
      </w:r>
    </w:p>
    <w:p>
      <w:pPr>
        <w:pStyle w:val="Heading1"/>
        <w:spacing w:after="140" w:before="280"/>
      </w:pPr>
      <w:r>
        <w:t xml:space="preserve">Next Steps</w:t>
      </w:r>
    </w:p>
    <w:p>
      <w:pPr>
        <w:spacing w:after="160"/>
      </w:pPr>
      <w:r>
        <w:t xml:space="preserve">The partner group will reconvene once independent counsel has reviewed the underlying Meridian correspondence. The Friday go/no-go call originally scheduled for April 10 is postponed; a revised timeline will add an estimated three weeks to the diligence period.</w:t>
      </w:r>
    </w:p>
    <w:p>
      <w:pPr>
        <w:spacing w:after="300"/>
      </w:pPr>
    </w:p>
    <w:p>
      <w:pPr>
        <w:spacing w:after="160"/>
      </w:pPr>
      <w:r>
        <w:t xml:space="preserve">Prepared by,</w:t>
      </w:r>
    </w:p>
    <w:p>
      <w:pPr>
        <w:spacing w:after="160"/>
      </w:pPr>
      <w:r>
        <w:t xml:space="preserve">Aaron Whitfield
Deal Partner, Silverline Robotics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2026-07-19T06:50:07.276Z</dcterms:created>
  <dcterms:modified xsi:type="dcterms:W3CDTF">2026-07-19T06:50:07.276Z</dcterms:modified>
</cp:coreProperties>
</file>

<file path=docProps/custom.xml><?xml version="1.0" encoding="utf-8"?>
<Properties xmlns="http://schemas.openxmlformats.org/officeDocument/2006/custom-properties" xmlns:vt="http://schemas.openxmlformats.org/officeDocument/2006/docPropsVTypes"/>
</file>