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Postmortem Report</w:t>
      </w:r>
    </w:p>
    <w:p>
      <w:pPr>
        <w:spacing w:after="60"/>
        <w:jc w:val="center"/>
      </w:pPr>
      <w:r>
        <w:rPr>
          <w:color w:val="555555"/>
          <w:sz w:val="26"/>
          <w:szCs w:val="26"/>
        </w:rPr>
        <w:t xml:space="preserve">Incident INC-2026-0614 — Unauthorized Access to Atlas Production Database</w:t>
      </w:r>
    </w:p>
    <w:p>
      <w:pPr>
        <w:spacing w:after="320"/>
        <w:jc w:val="center"/>
      </w:pPr>
      <w:r>
        <w:rPr>
          <w:color w:val="777777"/>
          <w:sz w:val="20"/>
          <w:szCs w:val="20"/>
        </w:rPr>
        <w:t xml:space="preserve">Northbridge Analytics  ·  Prepared 19 June 2026  ·  Lena Fitch, Interim CISO</w:t>
      </w:r>
    </w:p>
    <w:p>
      <w:pPr>
        <w:pStyle w:val="Heading1"/>
        <w:spacing w:after="140" w:before="280"/>
      </w:pPr>
      <w:r>
        <w:t xml:space="preserve">Executive Summary</w:t>
      </w:r>
    </w:p>
    <w:p>
      <w:pPr>
        <w:spacing w:after="160"/>
      </w:pPr>
      <w:r>
        <w:t xml:space="preserve">On 14 June 2026, Northbridge Analytics identified and contained an unauthorized access event affecting the Atlas production database. A contractor's single sign-on (SSO) session token, left valid after the contractor's laptop was stolen on 10 June and never reported, was used from an unrecognized device to export a partial copy of the customer accounts table (names, emails, account tiers). No evidence was found of access to payment or billing data, which sits behind a separate authorization boundary. The incident was contained within 33 minutes of detection. This report documents the timeline, root cause, impact, and remediation plan, and has been prepared for board review and for submission to the Continental Data Protection Authority (CDPA).</w:t>
      </w:r>
    </w:p>
    <w:p>
      <w:pPr>
        <w:pStyle w:val="Heading1"/>
        <w:spacing w:after="140" w:before="280"/>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26344A" w:val="clear"/>
          </w:tcPr>
          <w:p>
            <w:r>
              <w:rPr>
                <w:b/>
                <w:bCs/>
                <w:color w:val="FFFFFF"/>
              </w:rPr>
              <w:t xml:space="preserve">When</w:t>
            </w:r>
          </w:p>
        </w:tc>
        <w:tc>
          <w:tcPr>
            <w:tcW w:type="dxa" w:w="7560"/>
            <w:shd w:fill="26344A" w:val="clear"/>
          </w:tcPr>
          <w:p>
            <w:r>
              <w:rPr>
                <w:b/>
                <w:bCs/>
                <w:color w:val="FFFFFF"/>
              </w:rPr>
              <w:t xml:space="preserve">Event</w:t>
            </w:r>
          </w:p>
        </w:tc>
      </w:tr>
      <w:tr>
        <w:tc>
          <w:tcPr>
            <w:tcW w:type="dxa" w:w="1800"/>
          </w:tcPr>
          <w:p>
            <w:r>
              <w:rPr>
                <w:b w:val="false"/>
                <w:bCs w:val="false"/>
              </w:rPr>
              <w:t xml:space="preserve">Jun 10</w:t>
            </w:r>
          </w:p>
        </w:tc>
        <w:tc>
          <w:tcPr>
            <w:tcW w:type="dxa" w:w="7560"/>
          </w:tcPr>
          <w:p>
            <w:r>
              <w:rPr>
                <w:b w:val="false"/>
                <w:bCs w:val="false"/>
              </w:rPr>
              <w:t xml:space="preserve">Contractor laptop (Owen Bright) stolen from Cafe Luna; theft never reported to IT.</w:t>
            </w:r>
          </w:p>
        </w:tc>
      </w:tr>
      <w:tr>
        <w:tc>
          <w:tcPr>
            <w:tcW w:type="dxa" w:w="1800"/>
          </w:tcPr>
          <w:p>
            <w:r>
              <w:rPr>
                <w:b w:val="false"/>
                <w:bCs w:val="false"/>
              </w:rPr>
              <w:t xml:space="preserve">Jun 14, 02:14</w:t>
            </w:r>
          </w:p>
        </w:tc>
        <w:tc>
          <w:tcPr>
            <w:tcW w:type="dxa" w:w="7560"/>
          </w:tcPr>
          <w:p>
            <w:r>
              <w:rPr>
                <w:b w:val="false"/>
                <w:bCs w:val="false"/>
              </w:rPr>
              <w:t xml:space="preserve">Unauthorized session opens on Atlas production database using the cached, unrevoked SSO token.</w:t>
            </w:r>
          </w:p>
        </w:tc>
      </w:tr>
      <w:tr>
        <w:tc>
          <w:tcPr>
            <w:tcW w:type="dxa" w:w="1800"/>
          </w:tcPr>
          <w:p>
            <w:r>
              <w:rPr>
                <w:b w:val="false"/>
                <w:bCs w:val="false"/>
              </w:rPr>
              <w:t xml:space="preserve">Jun 14, 02:47</w:t>
            </w:r>
          </w:p>
        </w:tc>
        <w:tc>
          <w:tcPr>
            <w:tcW w:type="dxa" w:w="7560"/>
          </w:tcPr>
          <w:p>
            <w:r>
              <w:rPr>
                <w:b w:val="false"/>
                <w:bCs w:val="false"/>
              </w:rPr>
              <w:t xml:space="preserve">Sentinel monitoring pages on-call SRE; session terminated, credentials rotated.</w:t>
            </w:r>
          </w:p>
        </w:tc>
      </w:tr>
      <w:tr>
        <w:tc>
          <w:tcPr>
            <w:tcW w:type="dxa" w:w="1800"/>
          </w:tcPr>
          <w:p>
            <w:r>
              <w:rPr>
                <w:b w:val="false"/>
                <w:bCs w:val="false"/>
              </w:rPr>
              <w:t xml:space="preserve">Jun 14, 10:30</w:t>
            </w:r>
          </w:p>
        </w:tc>
        <w:tc>
          <w:tcPr>
            <w:tcW w:type="dxa" w:w="7560"/>
          </w:tcPr>
          <w:p>
            <w:r>
              <w:rPr>
                <w:b w:val="false"/>
                <w:bCs w:val="false"/>
              </w:rPr>
              <w:t xml:space="preserve">Formal incident declared (SEV-2); Priya Osei named Incident Commander; external forensics engaged.</w:t>
            </w:r>
          </w:p>
        </w:tc>
      </w:tr>
      <w:tr>
        <w:tc>
          <w:tcPr>
            <w:tcW w:type="dxa" w:w="1800"/>
          </w:tcPr>
          <w:p>
            <w:r>
              <w:rPr>
                <w:b w:val="false"/>
                <w:bCs w:val="false"/>
              </w:rPr>
              <w:t xml:space="preserve">Jun 15–19</w:t>
            </w:r>
          </w:p>
        </w:tc>
        <w:tc>
          <w:tcPr>
            <w:tcW w:type="dxa" w:w="7560"/>
          </w:tcPr>
          <w:p>
            <w:r>
              <w:rPr>
                <w:b w:val="false"/>
                <w:bCs w:val="false"/>
              </w:rPr>
              <w:t xml:space="preserve">Forensic review, scope confirmation, remediation planning, and regulator notification drafting.</w:t>
            </w:r>
          </w:p>
        </w:tc>
      </w:tr>
    </w:tbl>
    <w:p>
      <w:pPr>
        <w:spacing w:after="200"/>
      </w:pPr>
    </w:p>
    <w:p>
      <w:pPr>
        <w:pStyle w:val="Heading1"/>
        <w:spacing w:after="140" w:before="280"/>
      </w:pPr>
      <w:r>
        <w:t xml:space="preserve">Root Cause</w:t>
      </w:r>
    </w:p>
    <w:p>
      <w:pPr>
        <w:spacing w:after="160"/>
      </w:pPr>
      <w:r>
        <w:t xml:space="preserve">The root cause was twofold: (1) a physical theft — a contractor's laptop bag was stolen from a public cafe on 10 June — that was never reported to IT, and (2) an architectural gap in credential handling, whereby contractor SSO sessions were issued as long-lived, standing-access tokens rather than short-lived, scoped credentials. Had either condition not held — timely theft reporting, or a token design that expired quickly — the exposure window would have been eliminated or substantially reduced. Forensic review by Ashgrove Cyber confirmed the access originated from a device inconsistent with the contractor's known hardware, using a token that legitimately belonged to his account and had not been revoked.</w:t>
      </w:r>
    </w:p>
    <w:p>
      <w:pPr>
        <w:pStyle w:val="Heading1"/>
        <w:spacing w:after="140" w:before="280"/>
      </w:pPr>
      <w:r>
        <w:t xml:space="preserve">Impact Assessment</w:t>
      </w:r>
    </w:p>
    <w:p>
      <w:pPr>
        <w:pStyle w:val="ListParagraph"/>
        <w:numPr>
          <w:ilvl w:val="0"/>
          <w:numId w:val="1"/>
        </w:numPr>
        <w:spacing w:after="80"/>
      </w:pPr>
      <w:r>
        <w:t xml:space="preserve">Approximately 40 minutes of read access to the customer accounts table prior to session termination.</w:t>
      </w:r>
    </w:p>
    <w:p>
      <w:pPr>
        <w:pStyle w:val="ListParagraph"/>
        <w:numPr>
          <w:ilvl w:val="0"/>
          <w:numId w:val="1"/>
        </w:numPr>
        <w:spacing w:after="80"/>
      </w:pPr>
      <w:r>
        <w:t xml:space="preserve">Confirmed data categories at risk: customer names, email addresses, account tier.</w:t>
      </w:r>
    </w:p>
    <w:p>
      <w:pPr>
        <w:pStyle w:val="ListParagraph"/>
        <w:numPr>
          <w:ilvl w:val="0"/>
          <w:numId w:val="1"/>
        </w:numPr>
        <w:spacing w:after="80"/>
      </w:pPr>
      <w:r>
        <w:t xml:space="preserve">No evidence of access to billing, payment, or authentication-credential data, which are isolated behind a separate auth boundary the compromised token did not have rights to.</w:t>
      </w:r>
    </w:p>
    <w:p>
      <w:pPr>
        <w:pStyle w:val="ListParagraph"/>
        <w:numPr>
          <w:ilvl w:val="0"/>
          <w:numId w:val="1"/>
        </w:numPr>
        <w:spacing w:after="80"/>
      </w:pPr>
      <w:r>
        <w:t xml:space="preserve">No evidence of lateral movement beyond the single Atlas query session.</w:t>
      </w:r>
    </w:p>
    <w:p>
      <w:pPr>
        <w:pStyle w:val="Heading1"/>
        <w:spacing w:after="140" w:before="280"/>
      </w:pPr>
      <w:r>
        <w:t xml:space="preserve">Remediation</w:t>
      </w:r>
    </w:p>
    <w:p>
      <w:pPr>
        <w:pStyle w:val="ListParagraph"/>
        <w:numPr>
          <w:ilvl w:val="0"/>
          <w:numId w:val="1"/>
        </w:numPr>
        <w:spacing w:after="80"/>
      </w:pPr>
      <w:r>
        <w:t xml:space="preserve">Mandatory device-loss/theft reporting SLA for contractors and employees (24-hour reporting window) — drafted, pending board ratification.</w:t>
      </w:r>
    </w:p>
    <w:p>
      <w:pPr>
        <w:pStyle w:val="ListParagraph"/>
        <w:numPr>
          <w:ilvl w:val="0"/>
          <w:numId w:val="1"/>
        </w:numPr>
        <w:spacing w:after="80"/>
      </w:pPr>
      <w:r>
        <w:t xml:space="preserve">Replace standing contractor SSO access with scoped, short-TTL tokens issued per task.</w:t>
      </w:r>
    </w:p>
    <w:p>
      <w:pPr>
        <w:pStyle w:val="ListParagraph"/>
        <w:numPr>
          <w:ilvl w:val="0"/>
          <w:numId w:val="1"/>
        </w:numPr>
        <w:spacing w:after="80"/>
      </w:pPr>
      <w:r>
        <w:t xml:space="preserve">Add MFA step-up specifically for any query against the customer accounts table in Atlas, regardless of session validity.</w:t>
      </w:r>
    </w:p>
    <w:p>
      <w:pPr>
        <w:pStyle w:val="ListParagraph"/>
        <w:numPr>
          <w:ilvl w:val="0"/>
          <w:numId w:val="1"/>
        </w:numPr>
        <w:spacing w:after="80"/>
      </w:pPr>
      <w:r>
        <w:t xml:space="preserve">Offboard and review all contractor accounts with legacy standing access as part of a broader access audit.</w:t>
      </w:r>
    </w:p>
    <w:p>
      <w:pPr>
        <w:pStyle w:val="Heading1"/>
        <w:spacing w:after="140" w:before="280"/>
      </w:pPr>
      <w:r>
        <w:t xml:space="preserve">Regulatory Notification</w:t>
      </w:r>
    </w:p>
    <w:p>
      <w:pPr>
        <w:spacing w:after="160"/>
      </w:pPr>
      <w:r>
        <w:t xml:space="preserve">Because the exposure involved personal data of customers within scope of Continental Data Protection Authority (CDPA) jurisdiction, Compliance drafted and submitted formal notification within the required window regardless of the absence of confirmed payment-data exposure. The CDPA's acknowledgment of this submission is on file as a separate document (compliance_notice.pdf).</w:t>
      </w:r>
    </w:p>
    <w:p>
      <w:pPr>
        <w:pStyle w:val="Heading1"/>
        <w:spacing w:after="140" w:before="280"/>
      </w:pPr>
      <w:r>
        <w:t xml:space="preserve">Conclusion</w:t>
      </w:r>
    </w:p>
    <w:p>
      <w:pPr>
        <w:spacing w:after="160"/>
      </w:pPr>
      <w:r>
        <w:t xml:space="preserve">This incident is closed from an active-response standpoint as of 19 June 2026, with remediation items tracked separately. The board is asked to prioritize ratification of the contractor device-loss SLA and the scoped-token architecture change, as both were identified as necessary to prevent recurrence of this specific failure mode.</w:t>
      </w:r>
    </w:p>
    <w:p>
      <w:pPr>
        <w:spacing w:after="300"/>
      </w:pPr>
    </w:p>
    <w:p>
      <w:pPr>
        <w:spacing w:after="160"/>
      </w:pPr>
      <w:r>
        <w:t xml:space="preserve">Prepared by,</w:t>
      </w:r>
    </w:p>
    <w:p>
      <w:pPr>
        <w:spacing w:after="160"/>
      </w:pPr>
      <w:r>
        <w:t xml:space="preserve">Lena Fitch
Interim CISO, Northbridge Analytics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2026-07-19T06:04:30.390Z</dcterms:created>
  <dcterms:modified xsi:type="dcterms:W3CDTF">2026-07-19T06:04:30.405Z</dcterms:modified>
</cp:coreProperties>
</file>

<file path=docProps/custom.xml><?xml version="1.0" encoding="utf-8"?>
<Properties xmlns="http://schemas.openxmlformats.org/officeDocument/2006/custom-properties" xmlns:vt="http://schemas.openxmlformats.org/officeDocument/2006/docPropsVTypes"/>
</file>