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B3A6B"/>
          <w:sz w:val="38"/>
          <w:szCs w:val="38"/>
        </w:rPr>
        <w:t xml:space="preserve">Prioritisation Worksheet</w:t>
      </w:r>
    </w:p>
    <w:p>
      <w:pPr>
        <w:spacing w:after="200"/>
        <w:jc w:val="center"/>
      </w:pPr>
      <w:r>
        <w:rPr>
          <w:i/>
          <w:iCs/>
          <w:color w:val="595959"/>
        </w:rPr>
        <w:t xml:space="preserve">Plan &amp; Prioritise (P) — when everything is a priority, nothing is.</w:t>
      </w:r>
    </w:p>
    <w:p>
      <w:pPr>
        <w:pStyle w:val="Heading2"/>
      </w:pPr>
      <w:r>
        <w:t xml:space="preserve">1.  Value vs Effort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Place each task in a box. Do the quick wins first; plan the major projects; squeeze in fill-ins; avoid the thankless tasks.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13"/>
        <w:gridCol w:w="3513"/>
      </w:tblGrid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Value / Effort</w:t>
            </w:r>
          </w:p>
        </w:tc>
        <w:tc>
          <w:tcPr>
            <w:tcW w:type="dxa" w:w="3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Low Effort</w:t>
            </w:r>
          </w:p>
        </w:tc>
        <w:tc>
          <w:tcPr>
            <w:tcW w:type="dxa" w:w="3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High Effort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High Value</w:t>
            </w:r>
          </w:p>
        </w:tc>
        <w:tc>
          <w:tcPr>
            <w:tcW w:type="dxa" w:w="3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1B3A6B"/>
              </w:rPr>
              <w:t xml:space="preserve">Quick Wins — do first</w:t>
            </w:r>
          </w:p>
          <w:p>
            <w:pPr>
              <w:spacing w:after="80"/>
            </w:pPr>
            <w:r>
              <w:rPr>
                <w:i/>
                <w:iCs/>
                <w:sz w:val="18"/>
                <w:szCs w:val="18"/>
              </w:rPr>
              <w:t xml:space="preserve">High value, low effort. Your best return.</w:t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  <w:tc>
          <w:tcPr>
            <w:tcW w:type="dxa" w:w="3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1B3A6B"/>
              </w:rPr>
              <w:t xml:space="preserve">Major Projects — plan &amp; schedule</w:t>
            </w:r>
          </w:p>
          <w:p>
            <w:pPr>
              <w:spacing w:after="80"/>
            </w:pPr>
            <w:r>
              <w:rPr>
                <w:i/>
                <w:iCs/>
                <w:sz w:val="18"/>
                <w:szCs w:val="18"/>
              </w:rPr>
              <w:t xml:space="preserve">High value, high effort. Break down and sequence.</w:t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Low Value</w:t>
            </w:r>
          </w:p>
        </w:tc>
        <w:tc>
          <w:tcPr>
            <w:tcW w:type="dxa" w:w="3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1B3A6B"/>
              </w:rPr>
              <w:t xml:space="preserve">Fill-ins — if time allows</w:t>
            </w:r>
          </w:p>
          <w:p>
            <w:pPr>
              <w:spacing w:after="80"/>
            </w:pPr>
            <w:r>
              <w:rPr>
                <w:i/>
                <w:iCs/>
                <w:sz w:val="18"/>
                <w:szCs w:val="18"/>
              </w:rPr>
              <w:t xml:space="preserve">Low value, low effort. Batch or delegate.</w:t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  <w:tc>
          <w:tcPr>
            <w:tcW w:type="dxa" w:w="3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1B3A6B"/>
              </w:rPr>
              <w:t xml:space="preserve">Thankless Tasks — avoid / drop</w:t>
            </w:r>
          </w:p>
          <w:p>
            <w:pPr>
              <w:spacing w:after="80"/>
            </w:pPr>
            <w:r>
              <w:rPr>
                <w:i/>
                <w:iCs/>
                <w:sz w:val="18"/>
                <w:szCs w:val="18"/>
              </w:rPr>
              <w:t xml:space="preserve">Low value, high effort. Question whether to do at all.</w:t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pPr>
        <w:pStyle w:val="Heading2"/>
        <w:pageBreakBefore/>
      </w:pPr>
      <w:r>
        <w:t xml:space="preserve">2.  MoSCoW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Sort this week's (or this phase's) work into Must / Should / Could / Won't.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B3A6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Priority</w:t>
            </w:r>
          </w:p>
        </w:tc>
        <w:tc>
          <w:tcPr>
            <w:tcW w:type="dxa" w:w="68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B3A6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Items</w:t>
            </w:r>
          </w:p>
        </w:tc>
      </w:tr>
    </w:tbl>
    <w:p>
      <w:pPr>
        <w:pStyle w:val="Heading3"/>
      </w:pPr>
      <w:r>
        <w:t xml:space="preserve">MUST have — non-negotiable, it fails without these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50"/>
            </w:pPr>
            <w:r>
              <w:t xml:space="preserve"/>
            </w:r>
          </w:p>
          <w:p>
            <w:pPr>
              <w:spacing w:after="150"/>
            </w:pPr>
            <w:r>
              <w:t xml:space="preserve"/>
            </w:r>
          </w:p>
        </w:tc>
      </w:tr>
    </w:tbl>
    <w:p>
      <w:pPr>
        <w:pStyle w:val="Heading3"/>
      </w:pPr>
      <w:r>
        <w:t xml:space="preserve">SHOULD have — important but not vital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50"/>
            </w:pPr>
            <w:r>
              <w:t xml:space="preserve"/>
            </w:r>
          </w:p>
          <w:p>
            <w:pPr>
              <w:spacing w:after="150"/>
            </w:pPr>
            <w:r>
              <w:t xml:space="preserve"/>
            </w:r>
          </w:p>
        </w:tc>
      </w:tr>
    </w:tbl>
    <w:p>
      <w:pPr>
        <w:pStyle w:val="Heading3"/>
      </w:pPr>
      <w:r>
        <w:t xml:space="preserve">COULD have — nice to have if capacity allows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50"/>
            </w:pPr>
            <w:r>
              <w:t xml:space="preserve"/>
            </w:r>
          </w:p>
          <w:p>
            <w:pPr>
              <w:spacing w:after="150"/>
            </w:pPr>
            <w:r>
              <w:t xml:space="preserve"/>
            </w:r>
          </w:p>
        </w:tc>
      </w:tr>
    </w:tbl>
    <w:p>
      <w:pPr>
        <w:pStyle w:val="Heading3"/>
      </w:pPr>
      <w:r>
        <w:t xml:space="preserve">WON'T have (this time) — explicitly out of scope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50"/>
            </w:pPr>
            <w:r>
              <w:t xml:space="preserve"/>
            </w:r>
          </w:p>
          <w:p>
            <w:pPr>
              <w:spacing w:after="150"/>
            </w:pPr>
            <w:r>
              <w:t xml:space="preserve"/>
            </w:r>
          </w:p>
        </w:tc>
      </w:tr>
    </w:tbl>
    <w:p>
      <w:pPr>
        <w:pStyle w:val="Heading2"/>
      </w:pPr>
      <w:r>
        <w:t xml:space="preserve">3.  My 1–3 key outcomes this week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The few things that actually move the needle. Protect time for these.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50"/>
            </w:pPr>
            <w:r>
              <w:t xml:space="preserve"/>
            </w:r>
          </w:p>
          <w:p>
            <w:pPr>
              <w:spacing w:after="150"/>
            </w:pPr>
            <w:r>
              <w:t xml:space="preserve"/>
            </w:r>
          </w:p>
          <w:p>
            <w:pPr>
              <w:spacing w:after="150"/>
            </w:pPr>
            <w: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The OPERATE Framework™ — Master Your Career Path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EEBA2B" w:sz="8" w:space="4"/>
      </w:pBdr>
      <w:spacing w:after="140" w:before="240"/>
      <w:outlineLvl w:val="0"/>
    </w:pPr>
    <w:rPr>
      <w:rFonts w:ascii="Georgia" w:cs="Georgia" w:eastAsia="Georgia" w:hAnsi="Georgia"/>
      <w:b/>
      <w:bCs/>
      <w:color w:val="0D204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Georgia" w:cs="Georgia" w:eastAsia="Georgia" w:hAnsi="Georgia"/>
      <w:b/>
      <w:bCs/>
      <w:color w:val="1B3A6B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Calibri" w:cs="Calibri" w:eastAsia="Calibri" w:hAnsi="Calibri"/>
      <w:b/>
      <w:bCs/>
      <w:color w:val="EEBA2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2026-06-29T15:58:55.947Z</dcterms:created>
  <dcterms:modified xsi:type="dcterms:W3CDTF">2026-06-29T15:58:55.947Z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