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6B"/>
          <w:sz w:val="38"/>
          <w:szCs w:val="38"/>
        </w:rPr>
        <w:t xml:space="preserve">Recommendation One-Pager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Advise &amp; Act (A) — from doer to trusted advisor.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 (decision-maker)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Situation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The context and why this matters now — in two or three sentences.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Recommendation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Your headline recommendation, stated plainly up front.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Options considered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Pros</w:t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32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Why this option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The reasoning, trade-offs accepted, and expected impact (benefit, cost, effort, risk).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Decision &amp; next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needed by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 need from you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approved, first step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OPERATE Framework™ — Master Your Career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BA2B" w:sz="8" w:space="4"/>
      </w:pBdr>
      <w:spacing w:after="140" w:before="240"/>
      <w:outlineLvl w:val="0"/>
    </w:pPr>
    <w:rPr>
      <w:rFonts w:ascii="Georgia" w:cs="Georgia" w:eastAsia="Georgia" w:hAnsi="Georgia"/>
      <w:b/>
      <w:bCs/>
      <w:color w:val="0D2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EB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2026-06-29T15:58:56.116Z</dcterms:created>
  <dcterms:modified xsi:type="dcterms:W3CDTF">2026-06-29T15:58:56.116Z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