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B3A6B"/>
          <w:sz w:val="38"/>
        </w:rPr>
        <w:t>Stakeholder Map — Full</w:t>
      </w:r>
    </w:p>
    <w:p>
      <w:r>
        <w:rPr>
          <w:rFonts w:ascii="Calibri" w:hAnsi="Calibri"/>
          <w:b w:val="0"/>
          <w:i/>
          <w:color w:val="595959"/>
          <w:sz w:val="22"/>
        </w:rPr>
        <w:t>Engage Stakeholders (E) — the complete map of who matters, how much they matter, and how you’ll work with each one.</w:t>
      </w:r>
    </w:p>
    <w:p>
      <w:pPr>
        <w:spacing w:before="120" w:after="80"/>
      </w:pPr>
      <w:r>
        <w:rPr>
          <w:rFonts w:ascii="Calibri" w:hAnsi="Calibri"/>
          <w:b w:val="0"/>
          <w:i w:val="0"/>
          <w:color w:val="222222"/>
          <w:sz w:val="22"/>
        </w:rPr>
        <w:t>Map every stakeholder by how much power they hold over your assignment and how much interest they take in it. Power and interest — not job title — decide where your relationship time goes. Update this as the assignment evolves; people move quadrants.</w:t>
      </w:r>
    </w:p>
    <w:p>
      <w:pPr>
        <w:spacing w:before="240" w:after="80"/>
      </w:pPr>
      <w:r>
        <w:rPr>
          <w:rFonts w:ascii="Calibri" w:hAnsi="Calibri"/>
          <w:b/>
          <w:i w:val="0"/>
          <w:color w:val="1B3A6B"/>
          <w:sz w:val="26"/>
        </w:rPr>
        <w:t>How to use this map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1"/>
        </w:rPr>
        <w:t>Score influence, not seniority — a gatekeeper PA can hold more day-to-day power than a director.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1"/>
        </w:rPr>
        <w:t>Include the “invisible” stakeholders: admin, security, IT, procurement, the person who owns the system you need.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22222"/>
          <w:sz w:val="21"/>
        </w:rPr>
        <w:t>Place each person in a quadrant below, then write a deliberate engagement approach for the ones who matter most.</w:t>
      </w:r>
    </w:p>
    <w:p>
      <w:pPr>
        <w:spacing w:before="240" w:after="80"/>
      </w:pPr>
      <w:r>
        <w:rPr>
          <w:rFonts w:ascii="Calibri" w:hAnsi="Calibri"/>
          <w:b/>
          <w:i w:val="0"/>
          <w:color w:val="1B3A6B"/>
          <w:sz w:val="26"/>
        </w:rPr>
        <w:t>The power / interest grid — and what each quadrant means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3456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Quadrant</w:t>
            </w:r>
          </w:p>
        </w:tc>
        <w:tc>
          <w:tcPr>
            <w:tcW w:type="dxa" w:w="4896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Who sits here</w:t>
            </w:r>
          </w:p>
        </w:tc>
        <w:tc>
          <w:tcPr>
            <w:tcW w:type="dxa" w:w="617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Your strategy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High power · High interest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Sponsors, decision-makers, key clients</w:t>
            </w:r>
          </w:p>
        </w:tc>
        <w:tc>
          <w:tcPr>
            <w:tcW w:type="dxa" w:w="6178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Manage closely — engage often, involve in decisions, never surprise them.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High power · Low interest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Senior leaders, budget holders</w:t>
            </w:r>
          </w:p>
        </w:tc>
        <w:tc>
          <w:tcPr>
            <w:tcW w:type="dxa" w:w="6178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Keep satisfied — concise updates, no detail overload; keep them confident.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Low power · High interest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End users, delivery team, allies</w:t>
            </w:r>
          </w:p>
        </w:tc>
        <w:tc>
          <w:tcPr>
            <w:tcW w:type="dxa" w:w="6178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Keep informed — they help you; use them for feedback and momentum.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Low power · Low interest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Peripheral contacts</w:t>
            </w:r>
          </w:p>
        </w:tc>
        <w:tc>
          <w:tcPr>
            <w:tcW w:type="dxa" w:w="6178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Monitor — minimal effort; check periodically in case they move.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B3A6B"/>
          <w:sz w:val="26"/>
        </w:rPr>
        <w:t>Stakeholder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4"/>
        <w:gridCol w:w="1614"/>
        <w:gridCol w:w="1614"/>
        <w:gridCol w:w="1614"/>
        <w:gridCol w:w="1614"/>
        <w:gridCol w:w="1614"/>
        <w:gridCol w:w="1614"/>
        <w:gridCol w:w="1614"/>
        <w:gridCol w:w="1614"/>
      </w:tblGrid>
      <w:tr>
        <w:tc>
          <w:tcPr>
            <w:tcW w:type="dxa" w:w="180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Stakeholder</w:t>
            </w:r>
          </w:p>
        </w:tc>
        <w:tc>
          <w:tcPr>
            <w:tcW w:type="dxa" w:w="180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 / Title</w:t>
            </w:r>
          </w:p>
        </w:tc>
        <w:tc>
          <w:tcPr>
            <w:tcW w:type="dxa" w:w="893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Power (H/M/L)</w:t>
            </w:r>
          </w:p>
        </w:tc>
        <w:tc>
          <w:tcPr>
            <w:tcW w:type="dxa" w:w="100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Interest (H/M/L)</w:t>
            </w:r>
          </w:p>
        </w:tc>
        <w:tc>
          <w:tcPr>
            <w:tcW w:type="dxa" w:w="1512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Quadrant</w:t>
            </w:r>
          </w:p>
        </w:tc>
        <w:tc>
          <w:tcPr>
            <w:tcW w:type="dxa" w:w="2520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they care about</w:t>
            </w:r>
          </w:p>
        </w:tc>
        <w:tc>
          <w:tcPr>
            <w:tcW w:type="dxa" w:w="1944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Preferred comms &amp; style</w:t>
            </w:r>
          </w:p>
        </w:tc>
        <w:tc>
          <w:tcPr>
            <w:tcW w:type="dxa" w:w="2232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I’ll engage them</w:t>
            </w:r>
          </w:p>
        </w:tc>
        <w:tc>
          <w:tcPr>
            <w:tcW w:type="dxa" w:w="821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1800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Jane Doe</w:t>
            </w:r>
          </w:p>
        </w:tc>
        <w:tc>
          <w:tcPr>
            <w:tcW w:type="dxa" w:w="1800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Programme Sponsor</w:t>
            </w:r>
          </w:p>
        </w:tc>
        <w:tc>
          <w:tcPr>
            <w:tcW w:type="dxa" w:w="893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H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H</w:t>
            </w:r>
          </w:p>
        </w:tc>
        <w:tc>
          <w:tcPr>
            <w:tcW w:type="dxa" w:w="1512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Manage closely</w:t>
            </w:r>
          </w:p>
        </w:tc>
        <w:tc>
          <w:tcPr>
            <w:tcW w:type="dxa" w:w="2520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On-time delivery; board credibility</w:t>
            </w:r>
          </w:p>
        </w:tc>
        <w:tc>
          <w:tcPr>
            <w:tcW w:type="dxa" w:w="1944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Email + fortnightly 1:1; concise</w:t>
            </w:r>
          </w:p>
        </w:tc>
        <w:tc>
          <w:tcPr>
            <w:tcW w:type="dxa" w:w="2232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Proactive Friday summary; flag risks early</w:t>
            </w:r>
          </w:p>
        </w:tc>
        <w:tc>
          <w:tcPr>
            <w:tcW w:type="dxa" w:w="821"/>
            <w:shd w:val="clear" w:color="auto" w:fill="F2F5FA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Weekly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893"/>
          </w:tcPr>
          <w:p/>
        </w:tc>
        <w:tc>
          <w:tcPr>
            <w:tcW w:type="dxa" w:w="1008"/>
          </w:tcPr>
          <w:p/>
        </w:tc>
        <w:tc>
          <w:tcPr>
            <w:tcW w:type="dxa" w:w="1512"/>
          </w:tcPr>
          <w:p/>
        </w:tc>
        <w:tc>
          <w:tcPr>
            <w:tcW w:type="dxa" w:w="2520"/>
          </w:tcPr>
          <w:p/>
        </w:tc>
        <w:tc>
          <w:tcPr>
            <w:tcW w:type="dxa" w:w="1944"/>
          </w:tcPr>
          <w:p/>
        </w:tc>
        <w:tc>
          <w:tcPr>
            <w:tcW w:type="dxa" w:w="2232"/>
          </w:tcPr>
          <w:p/>
        </w:tc>
        <w:tc>
          <w:tcPr>
            <w:tcW w:type="dxa" w:w="821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999999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999999"/>
        <w:sz w:val="16"/>
      </w:rPr>
      <w:t>The OPERATE Framework™ — Master Your Career Path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