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B3A6B"/>
          <w:sz w:val="38"/>
          <w:szCs w:val="38"/>
        </w:rPr>
        <w:t xml:space="preserve">Stakeholder Power / Interest Grid</w:t>
      </w:r>
    </w:p>
    <w:p>
      <w:pPr>
        <w:spacing w:after="200"/>
        <w:jc w:val="center"/>
      </w:pPr>
      <w:r>
        <w:rPr>
          <w:i/>
          <w:iCs/>
          <w:color w:val="595959"/>
        </w:rPr>
        <w:t xml:space="preserve">Engage Stakeholders (E) — invest your relationship time where it counts.</w:t>
      </w:r>
    </w:p>
    <w:p>
      <w:pPr>
        <w:spacing w:after="120"/>
      </w:pPr>
      <w:r>
        <w:rPr>
          <w:b w:val="false"/>
          <w:bCs w:val="false"/>
          <w:i w:val="false"/>
          <w:iCs w:val="false"/>
        </w:rPr>
        <w:t xml:space="preserve">Map each stakeholder by how much power they hold over your assignment and how much interest they have in it. Where they land tells you how to engage them. Plot names into the boxes below.</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vAlign w:val="center"/>
          </w:tcPr>
          <w:p>
            <w:pPr>
              <w:jc w:val="center"/>
            </w:pPr>
            <w:r>
              <w:rPr>
                <w:b/>
                <w:bCs/>
                <w:color w:val="FFFFFF"/>
                <w:sz w:val="18"/>
                <w:szCs w:val="18"/>
              </w:rPr>
              <w:t xml:space="preserve">Power / Interest</w:t>
            </w:r>
          </w:p>
        </w:tc>
        <w:tc>
          <w:tcPr>
            <w:tcW w:type="dxa" w:w="3513"/>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vAlign w:val="center"/>
          </w:tcPr>
          <w:p>
            <w:pPr>
              <w:jc w:val="center"/>
            </w:pPr>
            <w:r>
              <w:rPr>
                <w:b/>
                <w:bCs/>
                <w:color w:val="FFFFFF"/>
                <w:sz w:val="18"/>
                <w:szCs w:val="18"/>
              </w:rPr>
              <w:t xml:space="preserve">Low Interest</w:t>
            </w:r>
          </w:p>
        </w:tc>
        <w:tc>
          <w:tcPr>
            <w:tcW w:type="dxa" w:w="3513"/>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vAlign w:val="center"/>
          </w:tcPr>
          <w:p>
            <w:pPr>
              <w:jc w:val="center"/>
            </w:pPr>
            <w:r>
              <w:rPr>
                <w:b/>
                <w:bCs/>
                <w:color w:val="FFFFFF"/>
                <w:sz w:val="18"/>
                <w:szCs w:val="18"/>
              </w:rPr>
              <w:t xml:space="preserve">High Interest</w:t>
            </w:r>
          </w:p>
        </w:tc>
      </w:tr>
      <w:tr>
        <w:tc>
          <w:tcPr>
            <w:tcW w:type="dxa" w:w="2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vAlign w:val="center"/>
          </w:tcPr>
          <w:p>
            <w:pPr>
              <w:jc w:val="center"/>
            </w:pPr>
            <w:r>
              <w:rPr>
                <w:b/>
                <w:bCs/>
                <w:color w:val="FFFFFF"/>
                <w:sz w:val="18"/>
                <w:szCs w:val="18"/>
              </w:rPr>
              <w:t xml:space="preserve">High Power</w:t>
            </w:r>
          </w:p>
        </w:tc>
        <w:tc>
          <w:tcPr>
            <w:tcW w:type="dxa" w:w="3513"/>
            <w:tcBorders>
              <w:top w:val="single" w:color="CCCCCC" w:sz="4"/>
              <w:left w:val="single" w:color="CCCCCC" w:sz="4"/>
              <w:bottom w:val="single" w:color="CCCCCC" w:sz="4"/>
              <w:right w:val="single" w:color="CCCCCC" w:sz="4"/>
            </w:tcBorders>
            <w:shd w:fill="F2F5FA" w:val="clear"/>
            <w:tcMar>
              <w:top w:type="dxa" w:w="80"/>
              <w:left w:type="dxa" w:w="120"/>
              <w:bottom w:type="dxa" w:w="80"/>
              <w:right w:type="dxa" w:w="120"/>
            </w:tcMar>
          </w:tcPr>
          <w:p>
            <w:pPr>
              <w:spacing w:after="40"/>
            </w:pPr>
            <w:r>
              <w:rPr>
                <w:b/>
                <w:bCs/>
                <w:color w:val="1B3A6B"/>
              </w:rPr>
              <w:t xml:space="preserve">Keep Satisfied</w:t>
            </w:r>
          </w:p>
          <w:p>
            <w:pPr>
              <w:spacing w:after="80"/>
            </w:pPr>
            <w:r>
              <w:rPr>
                <w:i/>
                <w:iCs/>
                <w:sz w:val="18"/>
                <w:szCs w:val="18"/>
              </w:rPr>
              <w:t xml:space="preserve">Meet their needs; keep them on side. Don't overload them.</w:t>
            </w:r>
          </w:p>
          <w:p>
            <w:r>
              <w:t xml:space="preserve"/>
            </w:r>
          </w:p>
          <w:p>
            <w:r>
              <w:t xml:space="preserve"/>
            </w:r>
          </w:p>
        </w:tc>
        <w:tc>
          <w:tcPr>
            <w:tcW w:type="dxa" w:w="3513"/>
            <w:tcBorders>
              <w:top w:val="single" w:color="CCCCCC" w:sz="4"/>
              <w:left w:val="single" w:color="CCCCCC" w:sz="4"/>
              <w:bottom w:val="single" w:color="CCCCCC" w:sz="4"/>
              <w:right w:val="single" w:color="CCCCCC" w:sz="4"/>
            </w:tcBorders>
            <w:shd w:fill="F2F5FA" w:val="clear"/>
            <w:tcMar>
              <w:top w:type="dxa" w:w="80"/>
              <w:left w:type="dxa" w:w="120"/>
              <w:bottom w:type="dxa" w:w="80"/>
              <w:right w:type="dxa" w:w="120"/>
            </w:tcMar>
          </w:tcPr>
          <w:p>
            <w:pPr>
              <w:spacing w:after="40"/>
            </w:pPr>
            <w:r>
              <w:rPr>
                <w:b/>
                <w:bCs/>
                <w:color w:val="1B3A6B"/>
              </w:rPr>
              <w:t xml:space="preserve">Manage Closely</w:t>
            </w:r>
          </w:p>
          <w:p>
            <w:pPr>
              <w:spacing w:after="80"/>
            </w:pPr>
            <w:r>
              <w:rPr>
                <w:i/>
                <w:iCs/>
                <w:sz w:val="18"/>
                <w:szCs w:val="18"/>
              </w:rPr>
              <w:t xml:space="preserve">Your key players. Engage fully, regularly, proactively.</w:t>
            </w:r>
          </w:p>
          <w:p>
            <w:r>
              <w:t xml:space="preserve"/>
            </w:r>
          </w:p>
          <w:p>
            <w:r>
              <w:t xml:space="preserve"/>
            </w:r>
          </w:p>
        </w:tc>
      </w:tr>
      <w:tr>
        <w:tc>
          <w:tcPr>
            <w:tcW w:type="dxa" w:w="2000"/>
            <w:tcBorders>
              <w:top w:val="single" w:color="CCCCCC" w:sz="4"/>
              <w:left w:val="single" w:color="CCCCCC" w:sz="4"/>
              <w:bottom w:val="single" w:color="CCCCCC" w:sz="4"/>
              <w:right w:val="single" w:color="CCCCCC" w:sz="4"/>
            </w:tcBorders>
            <w:shd w:fill="1B3A6B" w:val="clear"/>
            <w:tcMar>
              <w:top w:type="dxa" w:w="60"/>
              <w:left w:type="dxa" w:w="100"/>
              <w:bottom w:type="dxa" w:w="60"/>
              <w:right w:type="dxa" w:w="100"/>
            </w:tcMar>
            <w:vAlign w:val="center"/>
          </w:tcPr>
          <w:p>
            <w:pPr>
              <w:jc w:val="center"/>
            </w:pPr>
            <w:r>
              <w:rPr>
                <w:b/>
                <w:bCs/>
                <w:color w:val="FFFFFF"/>
                <w:sz w:val="18"/>
                <w:szCs w:val="18"/>
              </w:rPr>
              <w:t xml:space="preserve">Low Power</w:t>
            </w:r>
          </w:p>
        </w:tc>
        <w:tc>
          <w:tcPr>
            <w:tcW w:type="dxa" w:w="3513"/>
            <w:tcBorders>
              <w:top w:val="single" w:color="CCCCCC" w:sz="4"/>
              <w:left w:val="single" w:color="CCCCCC" w:sz="4"/>
              <w:bottom w:val="single" w:color="CCCCCC" w:sz="4"/>
              <w:right w:val="single" w:color="CCCCCC" w:sz="4"/>
            </w:tcBorders>
            <w:shd w:fill="F2F5FA" w:val="clear"/>
            <w:tcMar>
              <w:top w:type="dxa" w:w="80"/>
              <w:left w:type="dxa" w:w="120"/>
              <w:bottom w:type="dxa" w:w="80"/>
              <w:right w:type="dxa" w:w="120"/>
            </w:tcMar>
          </w:tcPr>
          <w:p>
            <w:pPr>
              <w:spacing w:after="40"/>
            </w:pPr>
            <w:r>
              <w:rPr>
                <w:b/>
                <w:bCs/>
                <w:color w:val="1B3A6B"/>
              </w:rPr>
              <w:t xml:space="preserve">Monitor</w:t>
            </w:r>
          </w:p>
          <w:p>
            <w:pPr>
              <w:spacing w:after="80"/>
            </w:pPr>
            <w:r>
              <w:rPr>
                <w:i/>
                <w:iCs/>
                <w:sz w:val="18"/>
                <w:szCs w:val="18"/>
              </w:rPr>
              <w:t xml:space="preserve">Minimal effort. Keep a light eye on them.</w:t>
            </w:r>
          </w:p>
          <w:p>
            <w:r>
              <w:t xml:space="preserve"/>
            </w:r>
          </w:p>
          <w:p>
            <w:r>
              <w:t xml:space="preserve"/>
            </w:r>
          </w:p>
        </w:tc>
        <w:tc>
          <w:tcPr>
            <w:tcW w:type="dxa" w:w="3513"/>
            <w:tcBorders>
              <w:top w:val="single" w:color="CCCCCC" w:sz="4"/>
              <w:left w:val="single" w:color="CCCCCC" w:sz="4"/>
              <w:bottom w:val="single" w:color="CCCCCC" w:sz="4"/>
              <w:right w:val="single" w:color="CCCCCC" w:sz="4"/>
            </w:tcBorders>
            <w:shd w:fill="F2F5FA" w:val="clear"/>
            <w:tcMar>
              <w:top w:type="dxa" w:w="80"/>
              <w:left w:type="dxa" w:w="120"/>
              <w:bottom w:type="dxa" w:w="80"/>
              <w:right w:type="dxa" w:w="120"/>
            </w:tcMar>
          </w:tcPr>
          <w:p>
            <w:pPr>
              <w:spacing w:after="40"/>
            </w:pPr>
            <w:r>
              <w:rPr>
                <w:b/>
                <w:bCs/>
                <w:color w:val="1B3A6B"/>
              </w:rPr>
              <w:t xml:space="preserve">Keep Informed</w:t>
            </w:r>
          </w:p>
          <w:p>
            <w:pPr>
              <w:spacing w:after="80"/>
            </w:pPr>
            <w:r>
              <w:rPr>
                <w:i/>
                <w:iCs/>
                <w:sz w:val="18"/>
                <w:szCs w:val="18"/>
              </w:rPr>
              <w:t xml:space="preserve">Useful allies. Keep them in the loop; they can advocate for you.</w:t>
            </w:r>
          </w:p>
          <w:p>
            <w:r>
              <w:t xml:space="preserve"/>
            </w:r>
          </w:p>
          <w:p>
            <w:r>
              <w:t xml:space="preserve"/>
            </w:r>
          </w:p>
        </w:tc>
      </w:tr>
    </w:tbl>
    <w:p>
      <w:r>
        <w:t xml:space="preserve"/>
      </w:r>
    </w:p>
    <w:p>
      <w:pPr>
        <w:pStyle w:val="Heading2"/>
      </w:pPr>
      <w:r>
        <w:t xml:space="preserve">Engagement plan</w:t>
      </w:r>
    </w:p>
    <w:p>
      <w:pPr>
        <w:spacing w:after="120"/>
      </w:pPr>
      <w:r>
        <w:rPr>
          <w:b w:val="false"/>
          <w:bCs w:val="false"/>
          <w:i w:val="false"/>
          <w:iCs w:val="false"/>
        </w:rPr>
        <w:t xml:space="preserve">For your highest-priority stakeholders, note how and how often you'll engage each 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326"/>
        <w:gridCol w:w="1300"/>
      </w:tblGrid>
      <w:tr>
        <w:trPr>
          <w:tblHeader/>
        </w:trPr>
        <w:tc>
          <w:tcPr>
            <w:tcW w:type="dxa" w:w="2400"/>
            <w:tcBorders>
              <w:top w:val="single" w:color="CCCCCC" w:sz="2"/>
              <w:left w:val="single" w:color="CCCCCC" w:sz="2"/>
              <w:bottom w:val="single" w:color="CCCCCC" w:sz="2"/>
              <w:right w:val="single" w:color="CCCCCC" w:sz="2"/>
            </w:tcBorders>
            <w:shd w:fill="1B3A6B" w:val="clear"/>
            <w:tcMar>
              <w:top w:type="dxa" w:w="60"/>
              <w:left w:type="dxa" w:w="110"/>
              <w:bottom w:type="dxa" w:w="60"/>
              <w:right w:type="dxa" w:w="110"/>
            </w:tcMar>
          </w:tcPr>
          <w:p>
            <w:r>
              <w:rPr>
                <w:b/>
                <w:bCs/>
                <w:color w:val="FFFFFF"/>
              </w:rPr>
              <w:t xml:space="preserve">Stakeholder</w:t>
            </w:r>
          </w:p>
        </w:tc>
        <w:tc>
          <w:tcPr>
            <w:tcW w:type="dxa" w:w="2000"/>
            <w:tcBorders>
              <w:top w:val="single" w:color="CCCCCC" w:sz="2"/>
              <w:left w:val="single" w:color="CCCCCC" w:sz="2"/>
              <w:bottom w:val="single" w:color="CCCCCC" w:sz="2"/>
              <w:right w:val="single" w:color="CCCCCC" w:sz="2"/>
            </w:tcBorders>
            <w:shd w:fill="1B3A6B" w:val="clear"/>
            <w:tcMar>
              <w:top w:type="dxa" w:w="60"/>
              <w:left w:type="dxa" w:w="110"/>
              <w:bottom w:type="dxa" w:w="60"/>
              <w:right w:type="dxa" w:w="110"/>
            </w:tcMar>
          </w:tcPr>
          <w:p>
            <w:r>
              <w:rPr>
                <w:b/>
                <w:bCs/>
                <w:color w:val="FFFFFF"/>
              </w:rPr>
              <w:t xml:space="preserve">Quadrant</w:t>
            </w:r>
          </w:p>
        </w:tc>
        <w:tc>
          <w:tcPr>
            <w:tcW w:type="dxa" w:w="3326"/>
            <w:tcBorders>
              <w:top w:val="single" w:color="CCCCCC" w:sz="2"/>
              <w:left w:val="single" w:color="CCCCCC" w:sz="2"/>
              <w:bottom w:val="single" w:color="CCCCCC" w:sz="2"/>
              <w:right w:val="single" w:color="CCCCCC" w:sz="2"/>
            </w:tcBorders>
            <w:shd w:fill="1B3A6B" w:val="clear"/>
            <w:tcMar>
              <w:top w:type="dxa" w:w="60"/>
              <w:left w:type="dxa" w:w="110"/>
              <w:bottom w:type="dxa" w:w="60"/>
              <w:right w:type="dxa" w:w="110"/>
            </w:tcMar>
          </w:tcPr>
          <w:p>
            <w:r>
              <w:rPr>
                <w:b/>
                <w:bCs/>
                <w:color w:val="FFFFFF"/>
              </w:rPr>
              <w:t xml:space="preserve">How I'll engage them</w:t>
            </w:r>
          </w:p>
        </w:tc>
        <w:tc>
          <w:tcPr>
            <w:tcW w:type="dxa" w:w="1300"/>
            <w:tcBorders>
              <w:top w:val="single" w:color="CCCCCC" w:sz="2"/>
              <w:left w:val="single" w:color="CCCCCC" w:sz="2"/>
              <w:bottom w:val="single" w:color="CCCCCC" w:sz="2"/>
              <w:right w:val="single" w:color="CCCCCC" w:sz="2"/>
            </w:tcBorders>
            <w:shd w:fill="1B3A6B" w:val="clear"/>
            <w:tcMar>
              <w:top w:type="dxa" w:w="60"/>
              <w:left w:type="dxa" w:w="110"/>
              <w:bottom w:type="dxa" w:w="60"/>
              <w:right w:type="dxa" w:w="110"/>
            </w:tcMar>
          </w:tcPr>
          <w:p>
            <w:r>
              <w:rPr>
                <w:b/>
                <w:bCs/>
                <w:color w:val="FFFFFF"/>
              </w:rPr>
              <w:t xml:space="preserve">Frequency</w:t>
            </w:r>
          </w:p>
        </w:tc>
      </w:tr>
      <w:tr>
        <w:tc>
          <w:tcPr>
            <w:tcW w:type="dxa" w:w="24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20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3326"/>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13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r>
      <w:tr>
        <w:tc>
          <w:tcPr>
            <w:tcW w:type="dxa" w:w="24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20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3326"/>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13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r>
      <w:tr>
        <w:tc>
          <w:tcPr>
            <w:tcW w:type="dxa" w:w="24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20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3326"/>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13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r>
      <w:tr>
        <w:tc>
          <w:tcPr>
            <w:tcW w:type="dxa" w:w="24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20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3326"/>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13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r>
      <w:tr>
        <w:tc>
          <w:tcPr>
            <w:tcW w:type="dxa" w:w="24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20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3326"/>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13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r>
      <w:tr>
        <w:tc>
          <w:tcPr>
            <w:tcW w:type="dxa" w:w="24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20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3326"/>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13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r>
      <w:tr>
        <w:tc>
          <w:tcPr>
            <w:tcW w:type="dxa" w:w="24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20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3326"/>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c>
          <w:tcPr>
            <w:tcW w:type="dxa" w:w="1300"/>
            <w:tcBorders>
              <w:top w:val="single" w:color="CCCCCC" w:sz="2"/>
              <w:left w:val="single" w:color="CCCCCC" w:sz="2"/>
              <w:bottom w:val="single" w:color="CCCCCC" w:sz="2"/>
              <w:right w:val="single" w:color="CCCCCC" w:sz="2"/>
            </w:tcBorders>
            <w:tcMar>
              <w:top w:type="dxa" w:w="90"/>
              <w:left w:type="dxa" w:w="110"/>
              <w:bottom w:type="dxa" w:w="90"/>
              <w:right w:type="dxa" w:w="110"/>
            </w:tcMar>
          </w:tcPr>
          <w:p>
            <w:r>
              <w:t xml:space="preserve"/>
            </w:r>
          </w:p>
        </w:tc>
      </w:tr>
      <w:tr>
        <w:tc>
          <w:tcPr>
            <w:tcW w:type="dxa" w:w="24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20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3326"/>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c>
          <w:tcPr>
            <w:tcW w:type="dxa" w:w="1300"/>
            <w:tcBorders>
              <w:top w:val="single" w:color="CCCCCC" w:sz="2"/>
              <w:left w:val="single" w:color="CCCCCC" w:sz="2"/>
              <w:bottom w:val="single" w:color="CCCCCC" w:sz="2"/>
              <w:right w:val="single" w:color="CCCCCC" w:sz="2"/>
            </w:tcBorders>
            <w:shd w:fill="F2F5FA" w:val="clear"/>
            <w:tcMar>
              <w:top w:type="dxa" w:w="90"/>
              <w:left w:type="dxa" w:w="110"/>
              <w:bottom w:type="dxa" w:w="90"/>
              <w:right w:type="dxa" w:w="110"/>
            </w:tcMar>
          </w:tcPr>
          <w:p>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The OPERATE Framework™ — Master Your Career Path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EBA2B" w:sz="8" w:space="4"/>
      </w:pBdr>
      <w:spacing w:after="140" w:before="240"/>
      <w:outlineLvl w:val="0"/>
    </w:pPr>
    <w:rPr>
      <w:rFonts w:ascii="Georgia" w:cs="Georgia" w:eastAsia="Georgia" w:hAnsi="Georgia"/>
      <w:b/>
      <w:bCs/>
      <w:color w:val="0D2040"/>
      <w:sz w:val="30"/>
      <w:szCs w:val="30"/>
    </w:rPr>
  </w:style>
  <w:style w:type="paragraph" w:styleId="Heading2">
    <w:name w:val="Heading 2"/>
    <w:basedOn w:val="Normal"/>
    <w:next w:val="Normal"/>
    <w:qFormat/>
    <w:pPr>
      <w:spacing w:after="100" w:before="200"/>
      <w:outlineLvl w:val="1"/>
    </w:pPr>
    <w:rPr>
      <w:rFonts w:ascii="Georgia" w:cs="Georgia" w:eastAsia="Georgia" w:hAnsi="Georgia"/>
      <w:b/>
      <w:bCs/>
      <w:color w:val="1B3A6B"/>
      <w:sz w:val="25"/>
      <w:szCs w:val="25"/>
    </w:rPr>
  </w:style>
  <w:style w:type="paragraph" w:styleId="Heading3">
    <w:name w:val="Heading 3"/>
    <w:basedOn w:val="Normal"/>
    <w:next w:val="Normal"/>
    <w:qFormat/>
    <w:pPr>
      <w:spacing w:after="60" w:before="140"/>
      <w:outlineLvl w:val="2"/>
    </w:pPr>
    <w:rPr>
      <w:rFonts w:ascii="Calibri" w:cs="Calibri" w:eastAsia="Calibri" w:hAnsi="Calibri"/>
      <w:b/>
      <w:bCs/>
      <w:color w:val="EEBA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2026-06-29T15:58:55.757Z</dcterms:created>
  <dcterms:modified xsi:type="dcterms:W3CDTF">2026-06-29T15:58:55.757Z</dcterms:modified>
</cp:coreProperties>
</file>

<file path=docProps/custom.xml><?xml version="1.0" encoding="utf-8"?>
<Properties xmlns="http://schemas.openxmlformats.org/officeDocument/2006/custom-properties" xmlns:vt="http://schemas.openxmlformats.org/officeDocument/2006/docPropsVTypes"/>
</file>