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jc w:val="center"/>
      </w:pPr>
      <w:r>
        <w:rPr>
          <w:rFonts w:ascii="Calibri" w:cs="Calibri" w:eastAsia="Calibri" w:hAnsi="Calibri"/>
          <w:b/>
          <w:bCs/>
          <w:color w:val="1F4E79"/>
          <w:sz w:val="46"/>
          <w:szCs w:val="46"/>
        </w:rPr>
        <w:t xml:space="preserve">ADAR Pilot Library</w:t>
      </w:r>
    </w:p>
    <w:p>
      <w:pPr>
        <w:spacing w:after="0" w:before="140"/>
        <w:jc w:val="center"/>
      </w:pPr>
      <w:r>
        <w:rPr>
          <w:rFonts w:ascii="Calibri" w:cs="Calibri" w:eastAsia="Calibri" w:hAnsi="Calibri"/>
          <w:color w:val="595959"/>
          <w:sz w:val="26"/>
          <w:szCs w:val="26"/>
        </w:rPr>
        <w:t xml:space="preserve">Parent Structures and Hypotheses</w:t>
      </w:r>
    </w:p>
    <w:p>
      <w:pPr>
        <w:spacing w:after="0" w:before="460"/>
        <w:jc w:val="center"/>
      </w:pPr>
      <w:r>
        <w:rPr>
          <w:rFonts w:ascii="Calibri" w:cs="Calibri" w:eastAsia="Calibri" w:hAnsi="Calibri"/>
          <w:i/>
          <w:iCs/>
          <w:color w:val="595959"/>
          <w:sz w:val="21"/>
          <w:szCs w:val="21"/>
        </w:rPr>
        <w:t xml:space="preserve">4 libraries · 19 parent hairpins · 6,793 designs</w:t>
      </w:r>
    </w:p>
    <w:p>
      <w:r>
        <w:br w:type="page"/>
      </w:r>
    </w:p>
    <w:p>
      <w:pPr>
        <w:pStyle w:val="Heading1"/>
        <w:spacing w:after="160" w:before="280"/>
      </w:pPr>
      <w:r>
        <w:rPr>
          <w:rFonts w:ascii="Calibri" w:cs="Calibri" w:eastAsia="Calibri" w:hAnsi="Calibri"/>
          <w:b/>
          <w:bCs/>
          <w:color w:val="1F4E79"/>
          <w:sz w:val="30"/>
          <w:szCs w:val="30"/>
        </w:rPr>
        <w:t xml:space="preserve">1. The libraries</w:t>
      </w:r>
    </w:p>
    <w:p>
      <w:pPr>
        <w:spacing w:after="140" w:line="288"/>
      </w:pPr>
      <w:r>
        <w:rPr>
          <w:rFonts w:ascii="Calibri" w:cs="Calibri" w:eastAsia="Calibri" w:hAnsi="Calibri"/>
          <w:sz w:val="22"/>
          <w:szCs w:val="22"/>
        </w:rPr>
        <w:t xml:space="preserve">Four libraries, pooled and demultiplexed by primer pair. Set 1 and Set 2 are different parent panels. Library 1 takes the longest designs per parent; Library 2 is its complement, deduplicated against it.</w:t>
      </w:r>
    </w:p>
    <w:tbl>
      <w:tblPr>
        <w:tblW w:type="dxa" w:w="9648"/>
        <w:tblBorders>
          <w:top w:val="single" w:color="BFBFBF" w:sz="2"/>
          <w:left w:val="single" w:color="BFBFBF" w:sz="2"/>
          <w:bottom w:val="single" w:color="BFBFBF" w:sz="2"/>
          <w:right w:val="single" w:color="BFBFBF" w:sz="2"/>
          <w:insideH w:val="single" w:color="D9D9D9" w:sz="1"/>
          <w:insideV w:val="single" w:color="D9D9D9" w:sz="1"/>
        </w:tblBorders>
      </w:tblPr>
      <w:tblGrid>
        <w:gridCol w:w="3400"/>
        <w:gridCol w:w="1900"/>
        <w:gridCol w:w="1900"/>
        <w:gridCol w:w="2448"/>
      </w:tblGrid>
      <w:tr>
        <w:trPr>
          <w:tblHeader/>
        </w:trPr>
        <w:tc>
          <w:tcPr>
            <w:tcW w:type="dxa" w:w="34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Library</w:t>
            </w:r>
          </w:p>
        </w:tc>
        <w:tc>
          <w:tcPr>
            <w:tcW w:type="dxa" w:w="19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Primer</w:t>
            </w:r>
          </w:p>
        </w:tc>
        <w:tc>
          <w:tcPr>
            <w:tcW w:type="dxa" w:w="19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Parents</w:t>
            </w:r>
          </w:p>
        </w:tc>
        <w:tc>
          <w:tcPr>
            <w:tcW w:type="dxa" w:w="2448"/>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Designs</w:t>
            </w:r>
          </w:p>
        </w:tc>
      </w:tr>
      <w:tr>
        <w:tc>
          <w:tcPr>
            <w:tcW w:type="dxa" w:w="3400"/>
            <w:shd w:fill="FFFFFF" w:val="clear"/>
            <w:tcMar>
              <w:top w:type="dxa" w:w="80"/>
              <w:left w:type="dxa" w:w="110"/>
              <w:bottom w:type="dxa" w:w="80"/>
              <w:right w:type="dxa" w:w="110"/>
            </w:tcMar>
          </w:tcPr>
          <w:p>
            <w:pPr>
              <w:spacing w:after="0"/>
            </w:pPr>
            <w:r>
              <w:rPr>
                <w:rFonts w:ascii="Calibri" w:cs="Calibri" w:eastAsia="Calibri" w:hAnsi="Calibri"/>
                <w:b/>
                <w:bCs/>
                <w:sz w:val="19"/>
                <w:szCs w:val="19"/>
              </w:rPr>
              <w:t xml:space="preserve">Library 1, Set 1</w:t>
            </w:r>
          </w:p>
        </w:tc>
        <w:tc>
          <w:tcPr>
            <w:tcW w:type="dxa" w:w="1900"/>
            <w:shd w:fill="FFFFFF" w:val="clear"/>
            <w:tcMar>
              <w:top w:type="dxa" w:w="80"/>
              <w:left w:type="dxa" w:w="110"/>
              <w:bottom w:type="dxa" w:w="80"/>
              <w:right w:type="dxa" w:w="110"/>
            </w:tcMar>
          </w:tcPr>
          <w:p>
            <w:pPr>
              <w:spacing w:after="0"/>
            </w:pPr>
            <w:r>
              <w:rPr>
                <w:rFonts w:ascii="Calibri" w:cs="Calibri" w:eastAsia="Calibri" w:hAnsi="Calibri"/>
                <w:sz w:val="19"/>
                <w:szCs w:val="19"/>
              </w:rPr>
              <w:t xml:space="preserve">ART5</w:t>
            </w:r>
          </w:p>
        </w:tc>
        <w:tc>
          <w:tcPr>
            <w:tcW w:type="dxa" w:w="1900"/>
            <w:shd w:fill="FFFFFF" w:val="clear"/>
            <w:tcMar>
              <w:top w:type="dxa" w:w="80"/>
              <w:left w:type="dxa" w:w="110"/>
              <w:bottom w:type="dxa" w:w="80"/>
              <w:right w:type="dxa" w:w="110"/>
            </w:tcMar>
          </w:tcPr>
          <w:p>
            <w:pPr>
              <w:spacing w:after="0"/>
            </w:pPr>
            <w:r>
              <w:rPr>
                <w:rFonts w:ascii="Calibri" w:cs="Calibri" w:eastAsia="Calibri" w:hAnsi="Calibri"/>
                <w:sz w:val="19"/>
                <w:szCs w:val="19"/>
              </w:rPr>
              <w:t xml:space="preserve">9</w:t>
            </w:r>
          </w:p>
        </w:tc>
        <w:tc>
          <w:tcPr>
            <w:tcW w:type="dxa" w:w="2448"/>
            <w:shd w:fill="FFFFFF" w:val="clear"/>
            <w:tcMar>
              <w:top w:type="dxa" w:w="80"/>
              <w:left w:type="dxa" w:w="110"/>
              <w:bottom w:type="dxa" w:w="80"/>
              <w:right w:type="dxa" w:w="110"/>
            </w:tcMar>
          </w:tcPr>
          <w:p>
            <w:pPr>
              <w:spacing w:after="0"/>
            </w:pPr>
            <w:r>
              <w:rPr>
                <w:rFonts w:ascii="Calibri" w:cs="Calibri" w:eastAsia="Calibri" w:hAnsi="Calibri"/>
                <w:sz w:val="19"/>
                <w:szCs w:val="19"/>
              </w:rPr>
              <w:t xml:space="preserve">1,800</w:t>
            </w:r>
          </w:p>
        </w:tc>
      </w:tr>
      <w:tr>
        <w:tc>
          <w:tcPr>
            <w:tcW w:type="dxa" w:w="3400"/>
            <w:shd w:fill="F7F9FB" w:val="clear"/>
            <w:tcMar>
              <w:top w:type="dxa" w:w="80"/>
              <w:left w:type="dxa" w:w="110"/>
              <w:bottom w:type="dxa" w:w="80"/>
              <w:right w:type="dxa" w:w="110"/>
            </w:tcMar>
          </w:tcPr>
          <w:p>
            <w:pPr>
              <w:spacing w:after="0"/>
            </w:pPr>
            <w:r>
              <w:rPr>
                <w:rFonts w:ascii="Calibri" w:cs="Calibri" w:eastAsia="Calibri" w:hAnsi="Calibri"/>
                <w:b/>
                <w:bCs/>
                <w:sz w:val="19"/>
                <w:szCs w:val="19"/>
              </w:rPr>
              <w:t xml:space="preserve">Library 1, Set 2</w:t>
            </w:r>
          </w:p>
        </w:tc>
        <w:tc>
          <w:tcPr>
            <w:tcW w:type="dxa" w:w="1900"/>
            <w:shd w:fill="F7F9FB" w:val="clear"/>
            <w:tcMar>
              <w:top w:type="dxa" w:w="80"/>
              <w:left w:type="dxa" w:w="110"/>
              <w:bottom w:type="dxa" w:w="80"/>
              <w:right w:type="dxa" w:w="110"/>
            </w:tcMar>
          </w:tcPr>
          <w:p>
            <w:pPr>
              <w:spacing w:after="0"/>
            </w:pPr>
            <w:r>
              <w:rPr>
                <w:rFonts w:ascii="Calibri" w:cs="Calibri" w:eastAsia="Calibri" w:hAnsi="Calibri"/>
                <w:sz w:val="19"/>
                <w:szCs w:val="19"/>
              </w:rPr>
              <w:t xml:space="preserve">ART7</w:t>
            </w:r>
          </w:p>
        </w:tc>
        <w:tc>
          <w:tcPr>
            <w:tcW w:type="dxa" w:w="1900"/>
            <w:shd w:fill="F7F9FB" w:val="clear"/>
            <w:tcMar>
              <w:top w:type="dxa" w:w="80"/>
              <w:left w:type="dxa" w:w="110"/>
              <w:bottom w:type="dxa" w:w="80"/>
              <w:right w:type="dxa" w:w="110"/>
            </w:tcMar>
          </w:tcPr>
          <w:p>
            <w:pPr>
              <w:spacing w:after="0"/>
            </w:pPr>
            <w:r>
              <w:rPr>
                <w:rFonts w:ascii="Calibri" w:cs="Calibri" w:eastAsia="Calibri" w:hAnsi="Calibri"/>
                <w:sz w:val="19"/>
                <w:szCs w:val="19"/>
              </w:rPr>
              <w:t xml:space="preserve">10</w:t>
            </w:r>
          </w:p>
        </w:tc>
        <w:tc>
          <w:tcPr>
            <w:tcW w:type="dxa" w:w="2448"/>
            <w:shd w:fill="F7F9FB" w:val="clear"/>
            <w:tcMar>
              <w:top w:type="dxa" w:w="80"/>
              <w:left w:type="dxa" w:w="110"/>
              <w:bottom w:type="dxa" w:w="80"/>
              <w:right w:type="dxa" w:w="110"/>
            </w:tcMar>
          </w:tcPr>
          <w:p>
            <w:pPr>
              <w:spacing w:after="0"/>
            </w:pPr>
            <w:r>
              <w:rPr>
                <w:rFonts w:ascii="Calibri" w:cs="Calibri" w:eastAsia="Calibri" w:hAnsi="Calibri"/>
                <w:sz w:val="19"/>
                <w:szCs w:val="19"/>
              </w:rPr>
              <w:t xml:space="preserve">2,000</w:t>
            </w:r>
          </w:p>
        </w:tc>
      </w:tr>
      <w:tr>
        <w:tc>
          <w:tcPr>
            <w:tcW w:type="dxa" w:w="3400"/>
            <w:shd w:fill="FFFFFF" w:val="clear"/>
            <w:tcMar>
              <w:top w:type="dxa" w:w="80"/>
              <w:left w:type="dxa" w:w="110"/>
              <w:bottom w:type="dxa" w:w="80"/>
              <w:right w:type="dxa" w:w="110"/>
            </w:tcMar>
          </w:tcPr>
          <w:p>
            <w:pPr>
              <w:spacing w:after="0"/>
            </w:pPr>
            <w:r>
              <w:rPr>
                <w:rFonts w:ascii="Calibri" w:cs="Calibri" w:eastAsia="Calibri" w:hAnsi="Calibri"/>
                <w:b/>
                <w:bCs/>
                <w:sz w:val="19"/>
                <w:szCs w:val="19"/>
              </w:rPr>
              <w:t xml:space="preserve">Library 2, Set 1</w:t>
            </w:r>
          </w:p>
        </w:tc>
        <w:tc>
          <w:tcPr>
            <w:tcW w:type="dxa" w:w="1900"/>
            <w:shd w:fill="FFFFFF" w:val="clear"/>
            <w:tcMar>
              <w:top w:type="dxa" w:w="80"/>
              <w:left w:type="dxa" w:w="110"/>
              <w:bottom w:type="dxa" w:w="80"/>
              <w:right w:type="dxa" w:w="110"/>
            </w:tcMar>
          </w:tcPr>
          <w:p>
            <w:pPr>
              <w:spacing w:after="0"/>
            </w:pPr>
            <w:r>
              <w:rPr>
                <w:rFonts w:ascii="Calibri" w:cs="Calibri" w:eastAsia="Calibri" w:hAnsi="Calibri"/>
                <w:sz w:val="19"/>
                <w:szCs w:val="19"/>
              </w:rPr>
              <w:t xml:space="preserve">ART10</w:t>
            </w:r>
          </w:p>
        </w:tc>
        <w:tc>
          <w:tcPr>
            <w:tcW w:type="dxa" w:w="1900"/>
            <w:shd w:fill="FFFFFF" w:val="clear"/>
            <w:tcMar>
              <w:top w:type="dxa" w:w="80"/>
              <w:left w:type="dxa" w:w="110"/>
              <w:bottom w:type="dxa" w:w="80"/>
              <w:right w:type="dxa" w:w="110"/>
            </w:tcMar>
          </w:tcPr>
          <w:p>
            <w:pPr>
              <w:spacing w:after="0"/>
            </w:pPr>
            <w:r>
              <w:rPr>
                <w:rFonts w:ascii="Calibri" w:cs="Calibri" w:eastAsia="Calibri" w:hAnsi="Calibri"/>
                <w:sz w:val="19"/>
                <w:szCs w:val="19"/>
              </w:rPr>
              <w:t xml:space="preserve">9</w:t>
            </w:r>
          </w:p>
        </w:tc>
        <w:tc>
          <w:tcPr>
            <w:tcW w:type="dxa" w:w="2448"/>
            <w:shd w:fill="FFFFFF" w:val="clear"/>
            <w:tcMar>
              <w:top w:type="dxa" w:w="80"/>
              <w:left w:type="dxa" w:w="110"/>
              <w:bottom w:type="dxa" w:w="80"/>
              <w:right w:type="dxa" w:w="110"/>
            </w:tcMar>
          </w:tcPr>
          <w:p>
            <w:pPr>
              <w:spacing w:after="0"/>
            </w:pPr>
            <w:r>
              <w:rPr>
                <w:rFonts w:ascii="Calibri" w:cs="Calibri" w:eastAsia="Calibri" w:hAnsi="Calibri"/>
                <w:sz w:val="19"/>
                <w:szCs w:val="19"/>
              </w:rPr>
              <w:t xml:space="preserve">1,276</w:t>
            </w:r>
          </w:p>
        </w:tc>
      </w:tr>
      <w:tr>
        <w:tc>
          <w:tcPr>
            <w:tcW w:type="dxa" w:w="3400"/>
            <w:shd w:fill="F7F9FB" w:val="clear"/>
            <w:tcMar>
              <w:top w:type="dxa" w:w="80"/>
              <w:left w:type="dxa" w:w="110"/>
              <w:bottom w:type="dxa" w:w="80"/>
              <w:right w:type="dxa" w:w="110"/>
            </w:tcMar>
          </w:tcPr>
          <w:p>
            <w:pPr>
              <w:spacing w:after="0"/>
            </w:pPr>
            <w:r>
              <w:rPr>
                <w:rFonts w:ascii="Calibri" w:cs="Calibri" w:eastAsia="Calibri" w:hAnsi="Calibri"/>
                <w:b/>
                <w:bCs/>
                <w:sz w:val="19"/>
                <w:szCs w:val="19"/>
              </w:rPr>
              <w:t xml:space="preserve">Library 2, Set 2</w:t>
            </w:r>
          </w:p>
        </w:tc>
        <w:tc>
          <w:tcPr>
            <w:tcW w:type="dxa" w:w="1900"/>
            <w:shd w:fill="F7F9FB" w:val="clear"/>
            <w:tcMar>
              <w:top w:type="dxa" w:w="80"/>
              <w:left w:type="dxa" w:w="110"/>
              <w:bottom w:type="dxa" w:w="80"/>
              <w:right w:type="dxa" w:w="110"/>
            </w:tcMar>
          </w:tcPr>
          <w:p>
            <w:pPr>
              <w:spacing w:after="0"/>
            </w:pPr>
            <w:r>
              <w:rPr>
                <w:rFonts w:ascii="Calibri" w:cs="Calibri" w:eastAsia="Calibri" w:hAnsi="Calibri"/>
                <w:sz w:val="19"/>
                <w:szCs w:val="19"/>
              </w:rPr>
              <w:t xml:space="preserve">ART11</w:t>
            </w:r>
          </w:p>
        </w:tc>
        <w:tc>
          <w:tcPr>
            <w:tcW w:type="dxa" w:w="1900"/>
            <w:shd w:fill="F7F9FB" w:val="clear"/>
            <w:tcMar>
              <w:top w:type="dxa" w:w="80"/>
              <w:left w:type="dxa" w:w="110"/>
              <w:bottom w:type="dxa" w:w="80"/>
              <w:right w:type="dxa" w:w="110"/>
            </w:tcMar>
          </w:tcPr>
          <w:p>
            <w:pPr>
              <w:spacing w:after="0"/>
            </w:pPr>
            <w:r>
              <w:rPr>
                <w:rFonts w:ascii="Calibri" w:cs="Calibri" w:eastAsia="Calibri" w:hAnsi="Calibri"/>
                <w:sz w:val="19"/>
                <w:szCs w:val="19"/>
              </w:rPr>
              <w:t xml:space="preserve">10</w:t>
            </w:r>
          </w:p>
        </w:tc>
        <w:tc>
          <w:tcPr>
            <w:tcW w:type="dxa" w:w="2448"/>
            <w:shd w:fill="F7F9FB" w:val="clear"/>
            <w:tcMar>
              <w:top w:type="dxa" w:w="80"/>
              <w:left w:type="dxa" w:w="110"/>
              <w:bottom w:type="dxa" w:w="80"/>
              <w:right w:type="dxa" w:w="110"/>
            </w:tcMar>
          </w:tcPr>
          <w:p>
            <w:pPr>
              <w:spacing w:after="0"/>
            </w:pPr>
            <w:r>
              <w:rPr>
                <w:rFonts w:ascii="Calibri" w:cs="Calibri" w:eastAsia="Calibri" w:hAnsi="Calibri"/>
                <w:sz w:val="19"/>
                <w:szCs w:val="19"/>
              </w:rPr>
              <w:t xml:space="preserve">1,717</w:t>
            </w:r>
          </w:p>
        </w:tc>
      </w:tr>
    </w:tbl>
    <w:p>
      <w:pPr>
        <w:spacing w:after="0" w:line="288"/>
      </w:pPr>
      <w:r>
        <w:rPr>
          <w:rFonts w:ascii="Calibri" w:cs="Calibri" w:eastAsia="Calibri" w:hAnsi="Calibri"/>
          <w:sz w:val="22"/>
          <w:szCs w:val="22"/>
        </w:rPr>
        <w:t xml:space="preserve">Each design is a parent hairpin with one perturbation applied, trimmed to a given length. The perturbation axes are: base pairs above or below the edit site converted to GC or AU (k = 1–5), the base opposite the edited adenosine swapped (across), and in Library 2, above and below changed together.</w:t>
      </w:r>
    </w:p>
    <w:p>
      <w:r>
        <w:br w:type="page"/>
      </w:r>
    </w:p>
    <w:p>
      <w:pPr>
        <w:pStyle w:val="Heading1"/>
        <w:spacing w:after="160" w:before="280"/>
      </w:pPr>
      <w:r>
        <w:rPr>
          <w:rFonts w:ascii="Calibri" w:cs="Calibri" w:eastAsia="Calibri" w:hAnsi="Calibri"/>
          <w:b/>
          <w:bCs/>
          <w:color w:val="1F4E79"/>
          <w:sz w:val="30"/>
          <w:szCs w:val="30"/>
        </w:rPr>
        <w:t xml:space="preserve">2. Parent structures</w:t>
      </w:r>
    </w:p>
    <w:p>
      <w:pPr>
        <w:spacing w:after="140" w:line="288"/>
      </w:pPr>
      <w:r>
        <w:rPr>
          <w:rFonts w:ascii="Calibri" w:cs="Calibri" w:eastAsia="Calibri" w:hAnsi="Calibri"/>
          <w:sz w:val="22"/>
          <w:szCs w:val="22"/>
        </w:rPr>
        <w:t xml:space="preserve">Edit-site adenosines in red. Only parents that contribute designs are shown.</w:t>
      </w:r>
    </w:p>
    <w:p>
      <w:pPr>
        <w:pStyle w:val="Heading2"/>
        <w:spacing w:after="120" w:before="260"/>
      </w:pPr>
      <w:r>
        <w:rPr>
          <w:rFonts w:ascii="Calibri" w:cs="Calibri" w:eastAsia="Calibri" w:hAnsi="Calibri"/>
          <w:b/>
          <w:bCs/>
          <w:color w:val="1F4E79"/>
          <w:sz w:val="24"/>
          <w:szCs w:val="24"/>
        </w:rPr>
        <w:t xml:space="preserve">Set 1 — ART5 and ART10</w:t>
      </w:r>
    </w:p>
    <w:p>
      <w:pPr>
        <w:spacing w:after="60" w:before="60"/>
        <w:jc w:val="center"/>
      </w:pPr>
      <w:r>
        <w:drawing>
          <wp:inline distT="0" distB="0" distL="0" distR="0">
            <wp:extent cx="61722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5534025"/>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Set 1: nine parent hairpins. Natural mammalian substrates plus truncated GluR-B constructs.</w:t>
      </w:r>
    </w:p>
    <w:p>
      <w:r>
        <w:br w:type="page"/>
      </w:r>
    </w:p>
    <w:p>
      <w:pPr>
        <w:pStyle w:val="Heading2"/>
        <w:spacing w:after="120" w:before="260"/>
      </w:pPr>
      <w:r>
        <w:rPr>
          <w:rFonts w:ascii="Calibri" w:cs="Calibri" w:eastAsia="Calibri" w:hAnsi="Calibri"/>
          <w:b/>
          <w:bCs/>
          <w:color w:val="1F4E79"/>
          <w:sz w:val="24"/>
          <w:szCs w:val="24"/>
        </w:rPr>
        <w:t xml:space="preserve">Set 2 — ART7 and ART11</w:t>
      </w:r>
    </w:p>
    <w:p>
      <w:pPr>
        <w:spacing w:after="60" w:before="60"/>
        <w:jc w:val="center"/>
      </w:pPr>
      <w:r>
        <w:drawing>
          <wp:inline distT="0" distB="0" distL="0" distR="0">
            <wp:extent cx="61722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5534025"/>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Set 2: ten parent hairpins. Natural substrates (GRIA2, GRIK2, FLNA) plus engineered designs (MIRROR, LEAPER3).</w:t>
      </w:r>
    </w:p>
    <w:p>
      <w:r>
        <w:br w:type="page"/>
      </w:r>
    </w:p>
    <w:p>
      <w:pPr>
        <w:pStyle w:val="Heading1"/>
        <w:spacing w:after="160" w:before="280"/>
      </w:pPr>
      <w:r>
        <w:rPr>
          <w:rFonts w:ascii="Calibri" w:cs="Calibri" w:eastAsia="Calibri" w:hAnsi="Calibri"/>
          <w:b/>
          <w:bCs/>
          <w:color w:val="1F4E79"/>
          <w:sz w:val="30"/>
          <w:szCs w:val="30"/>
        </w:rPr>
        <w:t xml:space="preserve">3. Hypothesis per library</w:t>
      </w:r>
    </w:p>
    <w:p>
      <w:pPr>
        <w:pStyle w:val="Heading2"/>
        <w:spacing w:after="120" w:before="260"/>
      </w:pPr>
      <w:r>
        <w:rPr>
          <w:rFonts w:ascii="Calibri" w:cs="Calibri" w:eastAsia="Calibri" w:hAnsi="Calibri"/>
          <w:b/>
          <w:bCs/>
          <w:color w:val="1F4E79"/>
          <w:sz w:val="24"/>
          <w:szCs w:val="24"/>
        </w:rPr>
        <w:t xml:space="preserve">Library 1, Set 1 — ART5</w:t>
      </w:r>
    </w:p>
    <w:tbl>
      <w:tblPr>
        <w:tblW w:type="dxa" w:w="9648"/>
        <w:tblBorders>
          <w:top w:val="single" w:color="D9D9D9" w:sz="2"/>
          <w:left w:val="single" w:color="1F4E79" w:sz="18"/>
          <w:bottom w:val="single" w:color="D9D9D9" w:sz="2"/>
          <w:right w:val="single" w:color="D9D9D9" w:sz="2"/>
          <w:insideH w:val="none"/>
          <w:insideV w:val="none"/>
        </w:tblBorders>
      </w:tblPr>
      <w:tblGrid>
        <w:gridCol w:w="9648"/>
      </w:tblGrid>
      <w:tr>
        <w:tc>
          <w:tcPr>
            <w:tcW w:type="dxa" w:w="9648"/>
            <w:shd w:fill="F2F6FA" w:val="clear"/>
            <w:tcMar>
              <w:top w:type="dxa" w:w="150"/>
              <w:left w:type="dxa" w:w="190"/>
              <w:bottom w:type="dxa" w:w="150"/>
              <w:right w:type="dxa" w:w="190"/>
            </w:tcMar>
          </w:tcPr>
          <w:p>
            <w:pPr>
              <w:spacing w:after="60"/>
            </w:pPr>
            <w:r>
              <w:rPr>
                <w:rFonts w:ascii="Calibri" w:cs="Calibri" w:eastAsia="Calibri" w:hAnsi="Calibri"/>
                <w:b/>
                <w:bCs/>
                <w:color w:val="1F4E79"/>
                <w:sz w:val="17"/>
                <w:szCs w:val="17"/>
              </w:rPr>
              <w:t xml:space="preserve">HYPOTHESIS</w:t>
            </w:r>
          </w:p>
          <w:p>
            <w:pPr>
              <w:spacing w:after="0"/>
            </w:pPr>
            <w:r>
              <w:rPr>
                <w:rFonts w:ascii="Calibri" w:cs="Calibri" w:eastAsia="Calibri" w:hAnsi="Calibri"/>
                <w:sz w:val="22"/>
                <w:szCs w:val="22"/>
              </w:rPr>
              <w:t xml:space="preserve">Editing efficiency at a given adenosine is set by local duplex features within about five base pairs of the target, and those features act independently.</w:t>
            </w:r>
          </w:p>
        </w:tc>
      </w:tr>
    </w:tbl>
    <w:p>
      <w:pPr>
        <w:spacing w:after="60" w:line="288"/>
      </w:pPr>
      <w:r>
        <w:rPr>
          <w:rFonts w:ascii="Calibri" w:cs="Calibri" w:eastAsia="Calibri" w:hAnsi="Calibri"/>
          <w:sz w:val="22"/>
          <w:szCs w:val="22"/>
        </w:rPr>
        <w:t xml:space="preserve">Predictions:</w:t>
      </w:r>
    </w:p>
    <w:p>
      <w:pPr>
        <w:pStyle w:val="ListParagraph"/>
        <w:numPr>
          <w:ilvl w:val="0"/>
          <w:numId w:val="2"/>
        </w:numPr>
        <w:spacing w:after="80" w:line="288"/>
      </w:pPr>
      <w:r>
        <w:rPr>
          <w:rFonts w:ascii="Calibri" w:cs="Calibri" w:eastAsia="Calibri" w:hAnsi="Calibri"/>
          <w:sz w:val="22"/>
          <w:szCs w:val="22"/>
        </w:rPr>
        <w:t xml:space="preserve">The base opposite the target matters most: across_C (A:C mismatch) beats wild-type, which beats across_G and across_A.</w:t>
      </w:r>
    </w:p>
    <w:p>
      <w:pPr>
        <w:pStyle w:val="ListParagraph"/>
        <w:numPr>
          <w:ilvl w:val="0"/>
          <w:numId w:val="2"/>
        </w:numPr>
        <w:spacing w:after="80" w:line="288"/>
      </w:pPr>
      <w:r>
        <w:rPr>
          <w:rFonts w:ascii="Calibri" w:cs="Calibri" w:eastAsia="Calibri" w:hAnsi="Calibri"/>
          <w:sz w:val="22"/>
          <w:szCs w:val="22"/>
        </w:rPr>
        <w:t xml:space="preserve">Local stability is non-monotonic — the duplex must be stable enough to form but loose enough to let the base flip out. All-GC clamps should suppress editing at high k.</w:t>
      </w:r>
    </w:p>
    <w:p>
      <w:pPr>
        <w:pStyle w:val="ListParagraph"/>
        <w:numPr>
          <w:ilvl w:val="0"/>
          <w:numId w:val="2"/>
        </w:numPr>
        <w:spacing w:after="80" w:line="288"/>
      </w:pPr>
      <w:r>
        <w:rPr>
          <w:rFonts w:ascii="Calibri" w:cs="Calibri" w:eastAsia="Calibri" w:hAnsi="Calibri"/>
          <w:sz w:val="22"/>
          <w:szCs w:val="22"/>
        </w:rPr>
        <w:t xml:space="preserve">5′-side changes outweigh 3′-side changes at matched k, reflecting an asymmetric ADAR footprint.</w:t>
      </w:r>
    </w:p>
    <w:p>
      <w:pPr>
        <w:pStyle w:val="Heading2"/>
        <w:spacing w:after="120" w:before="260"/>
      </w:pPr>
      <w:r>
        <w:rPr>
          <w:rFonts w:ascii="Calibri" w:cs="Calibri" w:eastAsia="Calibri" w:hAnsi="Calibri"/>
          <w:b/>
          <w:bCs/>
          <w:color w:val="1F4E79"/>
          <w:sz w:val="24"/>
          <w:szCs w:val="24"/>
        </w:rPr>
        <w:t xml:space="preserve">Library 1, Set 2 — ART7</w:t>
      </w:r>
    </w:p>
    <w:tbl>
      <w:tblPr>
        <w:tblW w:type="dxa" w:w="9648"/>
        <w:tblBorders>
          <w:top w:val="single" w:color="D9D9D9" w:sz="2"/>
          <w:left w:val="single" w:color="1F4E79" w:sz="18"/>
          <w:bottom w:val="single" w:color="D9D9D9" w:sz="2"/>
          <w:right w:val="single" w:color="D9D9D9" w:sz="2"/>
          <w:insideH w:val="none"/>
          <w:insideV w:val="none"/>
        </w:tblBorders>
      </w:tblPr>
      <w:tblGrid>
        <w:gridCol w:w="9648"/>
      </w:tblGrid>
      <w:tr>
        <w:tc>
          <w:tcPr>
            <w:tcW w:type="dxa" w:w="9648"/>
            <w:shd w:fill="F2F6FA" w:val="clear"/>
            <w:tcMar>
              <w:top w:type="dxa" w:w="150"/>
              <w:left w:type="dxa" w:w="190"/>
              <w:bottom w:type="dxa" w:w="150"/>
              <w:right w:type="dxa" w:w="190"/>
            </w:tcMar>
          </w:tcPr>
          <w:p>
            <w:pPr>
              <w:spacing w:after="60"/>
            </w:pPr>
            <w:r>
              <w:rPr>
                <w:rFonts w:ascii="Calibri" w:cs="Calibri" w:eastAsia="Calibri" w:hAnsi="Calibri"/>
                <w:b/>
                <w:bCs/>
                <w:color w:val="1F4E79"/>
                <w:sz w:val="17"/>
                <w:szCs w:val="17"/>
              </w:rPr>
              <w:t xml:space="preserve">HYPOTHESIS</w:t>
            </w:r>
          </w:p>
          <w:p>
            <w:pPr>
              <w:spacing w:after="0"/>
            </w:pPr>
            <w:r>
              <w:rPr>
                <w:rFonts w:ascii="Calibri" w:cs="Calibri" w:eastAsia="Calibri" w:hAnsi="Calibri"/>
                <w:sz w:val="22"/>
                <w:szCs w:val="22"/>
              </w:rPr>
              <w:t xml:space="preserve">The rules found in Set 1 are portable: the same perturbation applied to the same edit site in a different structural context produces the same rank order of effects.</w:t>
            </w:r>
          </w:p>
        </w:tc>
      </w:tr>
    </w:tbl>
    <w:p>
      <w:pPr>
        <w:spacing w:after="60" w:line="288"/>
      </w:pPr>
      <w:r>
        <w:rPr>
          <w:rFonts w:ascii="Calibri" w:cs="Calibri" w:eastAsia="Calibri" w:hAnsi="Calibri"/>
          <w:sz w:val="22"/>
          <w:szCs w:val="22"/>
        </w:rPr>
        <w:t xml:space="preserve">Predictions:</w:t>
      </w:r>
    </w:p>
    <w:p>
      <w:pPr>
        <w:pStyle w:val="ListParagraph"/>
        <w:numPr>
          <w:ilvl w:val="0"/>
          <w:numId w:val="2"/>
        </w:numPr>
        <w:spacing w:after="80" w:line="288"/>
      </w:pPr>
      <w:r>
        <w:rPr>
          <w:rFonts w:ascii="Calibri" w:cs="Calibri" w:eastAsia="Calibri" w:hAnsi="Calibri"/>
          <w:sz w:val="22"/>
          <w:szCs w:val="22"/>
        </w:rPr>
        <w:t xml:space="preserve">GRIA2_R/G_1 and GRIA2_R/G_2 carry the same biological site in different folds — the response should track the fold, not the site.</w:t>
      </w:r>
    </w:p>
    <w:p>
      <w:pPr>
        <w:pStyle w:val="ListParagraph"/>
        <w:numPr>
          <w:ilvl w:val="0"/>
          <w:numId w:val="2"/>
        </w:numPr>
        <w:spacing w:after="80" w:line="288"/>
      </w:pPr>
      <w:r>
        <w:rPr>
          <w:rFonts w:ascii="Calibri" w:cs="Calibri" w:eastAsia="Calibri" w:hAnsi="Calibri"/>
          <w:sz w:val="22"/>
          <w:szCs w:val="22"/>
        </w:rPr>
        <w:t xml:space="preserve">The engineered parents (MIRROR, LEAPER3) should follow the same rules as the natural ones if those rules are physical rather than evolutionary.</w:t>
      </w:r>
    </w:p>
    <w:p>
      <w:r>
        <w:br w:type="page"/>
      </w:r>
    </w:p>
    <w:p>
      <w:pPr>
        <w:pStyle w:val="Heading2"/>
        <w:spacing w:after="120" w:before="260"/>
      </w:pPr>
      <w:r>
        <w:rPr>
          <w:rFonts w:ascii="Calibri" w:cs="Calibri" w:eastAsia="Calibri" w:hAnsi="Calibri"/>
          <w:b/>
          <w:bCs/>
          <w:color w:val="1F4E79"/>
          <w:sz w:val="24"/>
          <w:szCs w:val="24"/>
        </w:rPr>
        <w:t xml:space="preserve">Library 2, Set 1 — ART10</w:t>
      </w:r>
    </w:p>
    <w:tbl>
      <w:tblPr>
        <w:tblW w:type="dxa" w:w="9648"/>
        <w:tblBorders>
          <w:top w:val="single" w:color="D9D9D9" w:sz="2"/>
          <w:left w:val="single" w:color="1F4E79" w:sz="18"/>
          <w:bottom w:val="single" w:color="D9D9D9" w:sz="2"/>
          <w:right w:val="single" w:color="D9D9D9" w:sz="2"/>
          <w:insideH w:val="none"/>
          <w:insideV w:val="none"/>
        </w:tblBorders>
      </w:tblPr>
      <w:tblGrid>
        <w:gridCol w:w="9648"/>
      </w:tblGrid>
      <w:tr>
        <w:tc>
          <w:tcPr>
            <w:tcW w:type="dxa" w:w="9648"/>
            <w:shd w:fill="F2F6FA" w:val="clear"/>
            <w:tcMar>
              <w:top w:type="dxa" w:w="150"/>
              <w:left w:type="dxa" w:w="190"/>
              <w:bottom w:type="dxa" w:w="150"/>
              <w:right w:type="dxa" w:w="190"/>
            </w:tcMar>
          </w:tcPr>
          <w:p>
            <w:pPr>
              <w:spacing w:after="60"/>
            </w:pPr>
            <w:r>
              <w:rPr>
                <w:rFonts w:ascii="Calibri" w:cs="Calibri" w:eastAsia="Calibri" w:hAnsi="Calibri"/>
                <w:b/>
                <w:bCs/>
                <w:color w:val="1F4E79"/>
                <w:sz w:val="17"/>
                <w:szCs w:val="17"/>
              </w:rPr>
              <w:t xml:space="preserve">HYPOTHESIS</w:t>
            </w:r>
          </w:p>
          <w:p>
            <w:pPr>
              <w:spacing w:after="0"/>
            </w:pPr>
            <w:r>
              <w:rPr>
                <w:rFonts w:ascii="Calibri" w:cs="Calibri" w:eastAsia="Calibri" w:hAnsi="Calibri"/>
                <w:sz w:val="22"/>
                <w:szCs w:val="22"/>
              </w:rPr>
              <w:t xml:space="preserve">Local determinants are NOT additive. Changing the duplex above and below the edit site at the same time interacts, because the two sides jointly decide whether the target base can flip out of the helix. This is the one thing Library 1 cannot test.</w:t>
            </w:r>
          </w:p>
        </w:tc>
      </w:tr>
    </w:tbl>
    <w:p>
      <w:pPr>
        <w:spacing w:after="60" w:line="288"/>
      </w:pPr>
      <w:r>
        <w:rPr>
          <w:rFonts w:ascii="Calibri" w:cs="Calibri" w:eastAsia="Calibri" w:hAnsi="Calibri"/>
          <w:sz w:val="22"/>
          <w:szCs w:val="22"/>
        </w:rPr>
        <w:t xml:space="preserve">Predictions:</w:t>
      </w:r>
    </w:p>
    <w:p>
      <w:pPr>
        <w:pStyle w:val="ListParagraph"/>
        <w:numPr>
          <w:ilvl w:val="0"/>
          <w:numId w:val="2"/>
        </w:numPr>
        <w:spacing w:after="80" w:line="288"/>
      </w:pPr>
      <w:r>
        <w:rPr>
          <w:rFonts w:ascii="Calibri" w:cs="Calibri" w:eastAsia="Calibri" w:hAnsi="Calibri"/>
          <w:sz w:val="22"/>
          <w:szCs w:val="22"/>
        </w:rPr>
        <w:t xml:space="preserve">Combined variants deviate from the additive prediction built from Library 1’s single mutants — specifically a negative interaction when the site is clamped from both sides.</w:t>
      </w:r>
    </w:p>
    <w:p>
      <w:pPr>
        <w:pStyle w:val="ListParagraph"/>
        <w:numPr>
          <w:ilvl w:val="0"/>
          <w:numId w:val="2"/>
        </w:numPr>
        <w:spacing w:after="80" w:line="288"/>
      </w:pPr>
      <w:r>
        <w:rPr>
          <w:rFonts w:ascii="Calibri" w:cs="Calibri" w:eastAsia="Calibri" w:hAnsi="Calibri"/>
          <w:sz w:val="22"/>
          <w:szCs w:val="22"/>
        </w:rPr>
        <w:t xml:space="preserve">Duplex length has a threshold rather than a gradient: editing collapses below a minimum length instead of declining smoothly.</w:t>
      </w:r>
    </w:p>
    <w:p>
      <w:pPr>
        <w:pStyle w:val="Heading2"/>
        <w:spacing w:after="120" w:before="260"/>
      </w:pPr>
      <w:r>
        <w:rPr>
          <w:rFonts w:ascii="Calibri" w:cs="Calibri" w:eastAsia="Calibri" w:hAnsi="Calibri"/>
          <w:b/>
          <w:bCs/>
          <w:color w:val="1F4E79"/>
          <w:sz w:val="24"/>
          <w:szCs w:val="24"/>
        </w:rPr>
        <w:t xml:space="preserve">Library 2, Set 2 — ART11</w:t>
      </w:r>
    </w:p>
    <w:tbl>
      <w:tblPr>
        <w:tblW w:type="dxa" w:w="9648"/>
        <w:tblBorders>
          <w:top w:val="single" w:color="D9D9D9" w:sz="2"/>
          <w:left w:val="single" w:color="1F4E79" w:sz="18"/>
          <w:bottom w:val="single" w:color="D9D9D9" w:sz="2"/>
          <w:right w:val="single" w:color="D9D9D9" w:sz="2"/>
          <w:insideH w:val="none"/>
          <w:insideV w:val="none"/>
        </w:tblBorders>
      </w:tblPr>
      <w:tblGrid>
        <w:gridCol w:w="9648"/>
      </w:tblGrid>
      <w:tr>
        <w:tc>
          <w:tcPr>
            <w:tcW w:type="dxa" w:w="9648"/>
            <w:shd w:fill="F2F6FA" w:val="clear"/>
            <w:tcMar>
              <w:top w:type="dxa" w:w="150"/>
              <w:left w:type="dxa" w:w="190"/>
              <w:bottom w:type="dxa" w:w="150"/>
              <w:right w:type="dxa" w:w="190"/>
            </w:tcMar>
          </w:tcPr>
          <w:p>
            <w:pPr>
              <w:spacing w:after="60"/>
            </w:pPr>
            <w:r>
              <w:rPr>
                <w:rFonts w:ascii="Calibri" w:cs="Calibri" w:eastAsia="Calibri" w:hAnsi="Calibri"/>
                <w:b/>
                <w:bCs/>
                <w:color w:val="1F4E79"/>
                <w:sz w:val="17"/>
                <w:szCs w:val="17"/>
              </w:rPr>
              <w:t xml:space="preserve">HYPOTHESIS</w:t>
            </w:r>
          </w:p>
          <w:p>
            <w:pPr>
              <w:spacing w:after="0"/>
            </w:pPr>
            <w:r>
              <w:rPr>
                <w:rFonts w:ascii="Calibri" w:cs="Calibri" w:eastAsia="Calibri" w:hAnsi="Calibri"/>
                <w:sz w:val="22"/>
                <w:szCs w:val="22"/>
              </w:rPr>
              <w:t xml:space="preserve">The interaction seen in Library 2 Set 1 is general, not a quirk of one parent panel: the same effect recurs, with the same sign, on the Set 2 parents.</w:t>
            </w:r>
          </w:p>
        </w:tc>
      </w:tr>
    </w:tbl>
    <w:p>
      <w:pPr>
        <w:spacing w:after="140" w:line="288"/>
      </w:pPr>
      <w:r>
        <w:rPr>
          <w:rFonts w:ascii="Calibri" w:cs="Calibri" w:eastAsia="Calibri" w:hAnsi="Calibri"/>
          <w:sz w:val="22"/>
          <w:szCs w:val="22"/>
        </w:rPr>
        <w:t xml:space="preserve">This is the replication arm. It is what lets the conclusion read “local determinants are non-additive” rather than “non-additive in these nine hairpins.”</w:t>
      </w:r>
    </w:p>
    <w:p>
      <w:r>
        <w:br w:type="page"/>
      </w:r>
    </w:p>
    <w:p>
      <w:pPr>
        <w:pStyle w:val="Heading1"/>
        <w:spacing w:after="160" w:before="280"/>
      </w:pPr>
      <w:r>
        <w:rPr>
          <w:rFonts w:ascii="Calibri" w:cs="Calibri" w:eastAsia="Calibri" w:hAnsi="Calibri"/>
          <w:b/>
          <w:bCs/>
          <w:color w:val="1F4E79"/>
          <w:sz w:val="30"/>
          <w:szCs w:val="30"/>
        </w:rPr>
        <w:t xml:space="preserve">4. What this pilot settles</w:t>
      </w:r>
    </w:p>
    <w:p>
      <w:pPr>
        <w:spacing w:after="140" w:line="288"/>
      </w:pPr>
      <w:r>
        <w:rPr>
          <w:rFonts w:ascii="Calibri" w:cs="Calibri" w:eastAsia="Calibri" w:hAnsi="Calibri"/>
          <w:sz w:val="22"/>
          <w:szCs w:val="22"/>
        </w:rPr>
        <w:t xml:space="preserve">The point of the pilot is to find out which axes produce usable signal before committing to a full library. Four things it should resolve:</w:t>
      </w:r>
    </w:p>
    <w:p>
      <w:pPr>
        <w:pStyle w:val="ListParagraph"/>
        <w:numPr>
          <w:ilvl w:val="0"/>
          <w:numId w:val="2"/>
        </w:numPr>
        <w:spacing w:after="80" w:line="288"/>
      </w:pPr>
      <w:r>
        <w:rPr>
          <w:rFonts w:ascii="Calibri" w:cs="Calibri" w:eastAsia="Calibri" w:hAnsi="Calibri"/>
          <w:b/>
          <w:bCs/>
          <w:sz w:val="22"/>
          <w:szCs w:val="22"/>
        </w:rPr>
        <w:t xml:space="preserve">Which axes move editing at all. </w:t>
      </w:r>
      <w:r>
        <w:rPr>
          <w:rFonts w:ascii="Calibri" w:cs="Calibri" w:eastAsia="Calibri" w:hAnsi="Calibri"/>
          <w:sz w:val="22"/>
          <w:szCs w:val="22"/>
        </w:rPr>
        <w:t xml:space="preserve">above, below, across and length each get hundreds of designs across many parents.</w:t>
      </w:r>
    </w:p>
    <w:p>
      <w:pPr>
        <w:pStyle w:val="ListParagraph"/>
        <w:numPr>
          <w:ilvl w:val="0"/>
          <w:numId w:val="2"/>
        </w:numPr>
        <w:spacing w:after="80" w:line="288"/>
      </w:pPr>
      <w:r>
        <w:rPr>
          <w:rFonts w:ascii="Calibri" w:cs="Calibri" w:eastAsia="Calibri" w:hAnsi="Calibri"/>
          <w:b/>
          <w:bCs/>
          <w:sz w:val="22"/>
          <w:szCs w:val="22"/>
        </w:rPr>
        <w:t xml:space="preserve">Where the length floor really sits. </w:t>
      </w:r>
      <w:r>
        <w:rPr>
          <w:rFonts w:ascii="Calibri" w:cs="Calibri" w:eastAsia="Calibri" w:hAnsi="Calibri"/>
          <w:sz w:val="22"/>
          <w:szCs w:val="22"/>
        </w:rPr>
        <w:t xml:space="preserve">738 designs fall below 20 nt and should read at the assay floor, which fixes the usable minimum empirically.</w:t>
      </w:r>
    </w:p>
    <w:p>
      <w:pPr>
        <w:pStyle w:val="ListParagraph"/>
        <w:numPr>
          <w:ilvl w:val="0"/>
          <w:numId w:val="2"/>
        </w:numPr>
        <w:spacing w:after="80" w:line="288"/>
      </w:pPr>
      <w:r>
        <w:rPr>
          <w:rFonts w:ascii="Calibri" w:cs="Calibri" w:eastAsia="Calibri" w:hAnsi="Calibri"/>
          <w:b/>
          <w:bCs/>
          <w:sz w:val="22"/>
          <w:szCs w:val="22"/>
        </w:rPr>
        <w:t xml:space="preserve">How noisy the assay is. </w:t>
      </w:r>
      <w:r>
        <w:rPr>
          <w:rFonts w:ascii="Calibri" w:cs="Calibri" w:eastAsia="Calibri" w:hAnsi="Calibri"/>
          <w:sz w:val="22"/>
          <w:szCs w:val="22"/>
        </w:rPr>
        <w:t xml:space="preserve">588 designed sequences appear under more than one barcode, giving a direct technical-variance estimate from 1,773 oligos.</w:t>
      </w:r>
    </w:p>
    <w:p>
      <w:pPr>
        <w:pStyle w:val="ListParagraph"/>
        <w:numPr>
          <w:ilvl w:val="0"/>
          <w:numId w:val="2"/>
        </w:numPr>
        <w:spacing w:after="80" w:line="288"/>
      </w:pPr>
      <w:r>
        <w:rPr>
          <w:rFonts w:ascii="Calibri" w:cs="Calibri" w:eastAsia="Calibri" w:hAnsi="Calibri"/>
          <w:b/>
          <w:bCs/>
          <w:sz w:val="22"/>
          <w:szCs w:val="22"/>
        </w:rPr>
        <w:t xml:space="preserve">Which parents are worth scaling. </w:t>
      </w:r>
      <w:r>
        <w:rPr>
          <w:rFonts w:ascii="Calibri" w:cs="Calibri" w:eastAsia="Calibri" w:hAnsi="Calibri"/>
          <w:sz w:val="22"/>
          <w:szCs w:val="22"/>
        </w:rPr>
        <w:t xml:space="preserve">Twelve of nineteen carry combined variants; those are where the interaction test has power.</w:t>
      </w:r>
    </w:p>
    <w:p>
      <w:pPr>
        <w:pStyle w:val="Heading2"/>
        <w:spacing w:after="120" w:before="260"/>
      </w:pPr>
      <w:r>
        <w:rPr>
          <w:rFonts w:ascii="Calibri" w:cs="Calibri" w:eastAsia="Calibri" w:hAnsi="Calibri"/>
          <w:b/>
          <w:bCs/>
          <w:color w:val="1F4E79"/>
          <w:sz w:val="24"/>
          <w:szCs w:val="24"/>
        </w:rPr>
        <w:t xml:space="preserve">Two notes for the analysis</w:t>
      </w:r>
    </w:p>
    <w:p>
      <w:pPr>
        <w:pStyle w:val="ListParagraph"/>
        <w:numPr>
          <w:ilvl w:val="0"/>
          <w:numId w:val="2"/>
        </w:numPr>
        <w:spacing w:after="80" w:line="288"/>
      </w:pPr>
      <w:r>
        <w:rPr>
          <w:rFonts w:ascii="Calibri" w:cs="Calibri" w:eastAsia="Calibri" w:hAnsi="Calibri"/>
          <w:b/>
          <w:bCs/>
          <w:sz w:val="22"/>
          <w:szCs w:val="22"/>
        </w:rPr>
        <w:t xml:space="preserve">Demultiplex on (primer, barcode), never barcode alone. </w:t>
      </w:r>
      <w:r>
        <w:rPr>
          <w:rFonts w:ascii="Calibri" w:cs="Calibri" w:eastAsia="Calibri" w:hAnsi="Calibri"/>
          <w:sz w:val="22"/>
          <w:szCs w:val="22"/>
        </w:rPr>
        <w:t xml:space="preserve">154 barcodes recur across libraries; the composite key is unique for all 6,793 oligos.</w:t>
      </w:r>
    </w:p>
    <w:p>
      <w:pPr>
        <w:pStyle w:val="ListParagraph"/>
        <w:numPr>
          <w:ilvl w:val="0"/>
          <w:numId w:val="2"/>
        </w:numPr>
        <w:spacing w:after="80" w:line="288"/>
      </w:pPr>
      <w:r>
        <w:rPr>
          <w:rFonts w:ascii="Calibri" w:cs="Calibri" w:eastAsia="Calibri" w:hAnsi="Calibri"/>
          <w:b/>
          <w:bCs/>
          <w:sz w:val="22"/>
          <w:szCs w:val="22"/>
        </w:rPr>
        <w:t xml:space="preserve">Group on sequence, not on mutation label. </w:t>
      </w:r>
      <w:r>
        <w:rPr>
          <w:rFonts w:ascii="Calibri" w:cs="Calibri" w:eastAsia="Calibri" w:hAnsi="Calibri"/>
          <w:sz w:val="22"/>
          <w:szCs w:val="22"/>
        </w:rPr>
        <w:t xml:space="preserve">518 designs labelled as mutations are identical to their unmutated parent, because the substitution set a base pair that was already there. Grouping by label would score them as real effects of zero.</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d33d64bae5e429a35167b9b4529336ee2d48ed0.png"/><Relationship Id="rId8" Type="http://schemas.openxmlformats.org/officeDocument/2006/relationships/image" Target="media/46db075a6037ee2fab6ad3300c671838efc3de3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ADAR Pilot Library — Parent Structures and Hypotheses</dc:title>
  <dc:creator>ADAR pilot library</dc:creator>
  <dc:description>Simplified design summary: parent hairpin structures and one hypothesis per library</dc:description>
  <cp:lastModifiedBy>Un-named</cp:lastModifiedBy>
  <cp:revision>1</cp:revision>
  <dcterms:created xsi:type="dcterms:W3CDTF">2026-10-02T20:17:27.112Z</dcterms:created>
  <dcterms:modified xsi:type="dcterms:W3CDTF">2026-10-02T20:17:27.118Z</dcterms:modified>
</cp:coreProperties>
</file>

<file path=docProps/custom.xml><?xml version="1.0" encoding="utf-8"?>
<Properties xmlns="http://schemas.openxmlformats.org/officeDocument/2006/custom-properties" xmlns:vt="http://schemas.openxmlformats.org/officeDocument/2006/docPropsVTypes"/>
</file>