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7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ADAR Pilot Library — Set 1</w:t>
      </w:r>
    </w:p>
    <w:p>
      <w:pPr>
        <w:spacing w:after="0" w:before="14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What the Ordered Set Contains, and the Hypothesis Behind It</w:t>
      </w:r>
    </w:p>
    <w:p>
      <w:pPr>
        <w:spacing w:after="0" w:before="4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3,076 oligos · 9 parent hairpins · 2 sub-libraries · ordered and in experiment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What this set is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Set 1 is a sequence-variant library built from nine validated ADAR parent hairpin substrates. Each member is one parent, carrying one defined perturbation, trimmed to a defined length. It was ordered as two sub-libraries sharing a single primer pair format, and submitted as 3,076 oligos of 170 nt each.</w:t>
      </w:r>
    </w:p>
    <w:tbl>
      <w:tblPr>
        <w:tblW w:type="dxa" w:w="993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700"/>
        <w:gridCol w:w="1100"/>
        <w:gridCol w:w="1200"/>
        <w:gridCol w:w="5936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Sub-library</w:t>
            </w:r>
          </w:p>
        </w:tc>
        <w:tc>
          <w:tcPr>
            <w:tcW w:type="dxa" w:w="1100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Primer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Designs</w:t>
            </w:r>
          </w:p>
        </w:tc>
        <w:tc>
          <w:tcPr>
            <w:tcW w:type="dxa" w:w="5936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Selection rule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Library 1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ART5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1,800</w:t>
            </w:r>
          </w:p>
        </w:tc>
        <w:tc>
          <w:tcPr>
            <w:tcW w:type="dxa" w:w="5936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200 longest designs per parent.</w:t>
            </w:r>
          </w:p>
        </w:tc>
      </w:tr>
      <w:tr>
        <w:tc>
          <w:tcPr>
            <w:tcW w:type="dxa" w:w="170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Library 2</w:t>
            </w:r>
          </w:p>
        </w:tc>
        <w:tc>
          <w:tcPr>
            <w:tcW w:type="dxa" w:w="110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ART10</w:t>
            </w:r>
          </w:p>
        </w:tc>
        <w:tc>
          <w:tcPr>
            <w:tcW w:type="dxa" w:w="120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1,276</w:t>
            </w:r>
          </w:p>
        </w:tc>
        <w:tc>
          <w:tcPr>
            <w:tcW w:type="dxa" w:w="5936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Complement of Library 1: deeper trims, then combined above+below variants, deduplicated by exact sequence.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Total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3,076</w:t>
            </w:r>
          </w:p>
        </w:tc>
        <w:tc>
          <w:tcPr>
            <w:tcW w:type="dxa" w:w="5936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Oligo format</w:t>
      </w:r>
    </w:p>
    <w:p>
      <w:pPr>
        <w:spacing w:after="80" w:line="288"/>
      </w:pPr>
      <w:r>
        <w:rPr>
          <w:rFonts w:ascii="Calibri" w:cs="Calibri" w:eastAsia="Calibri" w:hAnsi="Calibri"/>
          <w:sz w:val="21"/>
          <w:szCs w:val="21"/>
        </w:rPr>
        <w:t xml:space="preserve">Each 170 nt oligo is assembled as:</w:t>
      </w:r>
    </w:p>
    <w:p>
      <w:pPr>
        <w:shd w:fill="F7F7F7" w:val="clear"/>
        <w:spacing w:after="100"/>
        <w:jc w:val="center"/>
      </w:pPr>
      <w:r>
        <w:rPr>
          <w:rFonts w:ascii="Consolas" w:cs="Consolas" w:eastAsia="Consolas" w:hAnsi="Consolas"/>
          <w:sz w:val="17"/>
          <w:szCs w:val="17"/>
        </w:rPr>
        <w:t xml:space="preserve">FWD primer (19) + left flank + designed sequence + right flank + barcode (12) + REV primer (19)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Flanks are C/T only with no run longer than 3, so they stay unstructured. Barcodes are 12 nt, GC-balanced, with a minimum Hamming distance of 4 within the library.</w:t>
      </w:r>
    </w:p>
    <w:tbl>
      <w:tblPr>
        <w:tblW w:type="dxa" w:w="9936"/>
        <w:tblBorders>
          <w:top w:val="single" w:color="D9D9D9" w:sz="2"/>
          <w:left w:val="single" w:color="B07A00" w:sz="18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FFF8E8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07A00"/>
                <w:sz w:val="17"/>
                <w:szCs w:val="17"/>
              </w:rPr>
              <w:t xml:space="preserve">IDENTIFIER 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submitted FASTA names oligos oligo_set1_1_seq_N, in an order that does not match the design files, so the names carry no design information. All 3,076 full-length sequences are unique, so every name maps back by exact sequence match — see submitted_set1_crosswalk.csv. That crosswalk is required to tie reads to parents and mutation classes.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Parent structures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The nine parents below are the structural basis of every member. Each is a single hairpin; edit-site adenosines are red. Three further records in the source file were excluded: 5-HT2C_1 and AZIN1_2 fold into two stem domains rather than one hairpin, and GluR_BRG_15mer has its edit site in the unpaired 5′ overhang, outside the stem.</w:t>
      </w:r>
    </w:p>
    <w:p>
      <w:pPr>
        <w:spacing w:after="60" w:before="60"/>
        <w:jc w:val="center"/>
      </w:pPr>
      <w:r>
        <w:drawing>
          <wp:inline distT="0" distB="0" distL="0" distR="0">
            <wp:extent cx="6286500" cy="562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The nine Set 1 parent hairpins. Red = annotated edit site.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What each parent contributes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Length and GC ranges below span both sub-libraries. The combined column counts designs carrying simultaneous above+below mutations — the interaction arm.</w:t>
      </w:r>
    </w:p>
    <w:tbl>
      <w:tblPr>
        <w:tblW w:type="dxa" w:w="993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500"/>
        <w:gridCol w:w="1850"/>
        <w:gridCol w:w="1700"/>
        <w:gridCol w:w="620"/>
        <w:gridCol w:w="620"/>
        <w:gridCol w:w="720"/>
        <w:gridCol w:w="820"/>
        <w:gridCol w:w="820"/>
        <w:gridCol w:w="650"/>
        <w:gridCol w:w="636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Parent</w:t>
            </w:r>
          </w:p>
        </w:tc>
        <w:tc>
          <w:tcPr>
            <w:tcW w:type="dxa" w:w="1850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Endogenous substrate</w:t>
            </w:r>
          </w:p>
        </w:tc>
        <w:tc>
          <w:tcPr>
            <w:tcW w:type="dxa" w:w="1700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Edit site(s)</w:t>
            </w:r>
          </w:p>
        </w:tc>
        <w:tc>
          <w:tcPr>
            <w:tcW w:type="dxa" w:w="620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L1</w:t>
            </w:r>
          </w:p>
        </w:tc>
        <w:tc>
          <w:tcPr>
            <w:tcW w:type="dxa" w:w="620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L2</w:t>
            </w:r>
          </w:p>
        </w:tc>
        <w:tc>
          <w:tcPr>
            <w:tcW w:type="dxa" w:w="720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820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Length</w:t>
            </w:r>
          </w:p>
        </w:tc>
        <w:tc>
          <w:tcPr>
            <w:tcW w:type="dxa" w:w="820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GC %</w:t>
            </w:r>
          </w:p>
        </w:tc>
        <w:tc>
          <w:tcPr>
            <w:tcW w:type="dxa" w:w="650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Comb.</w:t>
            </w:r>
          </w:p>
        </w:tc>
        <w:tc>
          <w:tcPr>
            <w:tcW w:type="dxa" w:w="636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&lt;20 nt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5-HT2C_2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HTR2C — serotonin receptor 2C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A4, A6, A16, A25, A47</w:t>
            </w:r>
          </w:p>
        </w:tc>
        <w:tc>
          <w:tcPr>
            <w:tcW w:type="dxa" w:w="6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6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7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400</w:t>
            </w:r>
          </w:p>
        </w:tc>
        <w:tc>
          <w:tcPr>
            <w:tcW w:type="dxa" w:w="8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20–75</w:t>
            </w:r>
          </w:p>
        </w:tc>
        <w:tc>
          <w:tcPr>
            <w:tcW w:type="dxa" w:w="8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12–71</w:t>
            </w:r>
          </w:p>
        </w:tc>
        <w:tc>
          <w:tcPr>
            <w:tcW w:type="dxa" w:w="6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A0A0A0"/>
                <w:sz w:val="16"/>
                <w:szCs w:val="16"/>
              </w:rPr>
              <w:t xml:space="preserve">0</w:t>
            </w:r>
          </w:p>
        </w:tc>
        <w:tc>
          <w:tcPr>
            <w:tcW w:type="dxa" w:w="636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50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NEIL1</w:t>
            </w:r>
          </w:p>
        </w:tc>
        <w:tc>
          <w:tcPr>
            <w:tcW w:type="dxa" w:w="185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NEIL1 — DNA glycosylase</w:t>
            </w:r>
          </w:p>
        </w:tc>
        <w:tc>
          <w:tcPr>
            <w:tcW w:type="dxa" w:w="170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A45</w:t>
            </w:r>
          </w:p>
        </w:tc>
        <w:tc>
          <w:tcPr>
            <w:tcW w:type="dxa" w:w="6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6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114</w:t>
            </w:r>
          </w:p>
        </w:tc>
        <w:tc>
          <w:tcPr>
            <w:tcW w:type="dxa" w:w="7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314</w:t>
            </w:r>
          </w:p>
        </w:tc>
        <w:tc>
          <w:tcPr>
            <w:tcW w:type="dxa" w:w="8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8–74</w:t>
            </w:r>
          </w:p>
        </w:tc>
        <w:tc>
          <w:tcPr>
            <w:tcW w:type="dxa" w:w="8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15–72</w:t>
            </w:r>
          </w:p>
        </w:tc>
        <w:tc>
          <w:tcPr>
            <w:tcW w:type="dxa" w:w="65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A0A0A0"/>
                <w:sz w:val="16"/>
                <w:szCs w:val="16"/>
              </w:rPr>
              <w:t xml:space="preserve">0</w:t>
            </w:r>
          </w:p>
        </w:tc>
        <w:tc>
          <w:tcPr>
            <w:tcW w:type="dxa" w:w="636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B04A00"/>
                <w:sz w:val="16"/>
                <w:szCs w:val="16"/>
              </w:rPr>
              <w:t xml:space="preserve">56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AZIN1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AZIN1 — antizyme inhibitor 1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A31</w:t>
            </w:r>
          </w:p>
        </w:tc>
        <w:tc>
          <w:tcPr>
            <w:tcW w:type="dxa" w:w="6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6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29</w:t>
            </w:r>
          </w:p>
        </w:tc>
        <w:tc>
          <w:tcPr>
            <w:tcW w:type="dxa" w:w="7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229</w:t>
            </w:r>
          </w:p>
        </w:tc>
        <w:tc>
          <w:tcPr>
            <w:tcW w:type="dxa" w:w="8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6–41</w:t>
            </w:r>
          </w:p>
        </w:tc>
        <w:tc>
          <w:tcPr>
            <w:tcW w:type="dxa" w:w="8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8–76</w:t>
            </w:r>
          </w:p>
        </w:tc>
        <w:tc>
          <w:tcPr>
            <w:tcW w:type="dxa" w:w="6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A0A0A0"/>
                <w:sz w:val="16"/>
                <w:szCs w:val="16"/>
              </w:rPr>
              <w:t xml:space="preserve">0</w:t>
            </w:r>
          </w:p>
        </w:tc>
        <w:tc>
          <w:tcPr>
            <w:tcW w:type="dxa" w:w="636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B04A00"/>
                <w:sz w:val="16"/>
                <w:szCs w:val="16"/>
              </w:rPr>
              <w:t xml:space="preserve">103</w:t>
            </w:r>
          </w:p>
        </w:tc>
      </w:tr>
      <w:tr>
        <w:tc>
          <w:tcPr>
            <w:tcW w:type="dxa" w:w="150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BDF2</w:t>
            </w:r>
          </w:p>
        </w:tc>
        <w:tc>
          <w:tcPr>
            <w:tcW w:type="dxa" w:w="185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A17</w:t>
            </w:r>
          </w:p>
        </w:tc>
        <w:tc>
          <w:tcPr>
            <w:tcW w:type="dxa" w:w="6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6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170</w:t>
            </w:r>
          </w:p>
        </w:tc>
        <w:tc>
          <w:tcPr>
            <w:tcW w:type="dxa" w:w="7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370</w:t>
            </w:r>
          </w:p>
        </w:tc>
        <w:tc>
          <w:tcPr>
            <w:tcW w:type="dxa" w:w="8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19–53</w:t>
            </w:r>
          </w:p>
        </w:tc>
        <w:tc>
          <w:tcPr>
            <w:tcW w:type="dxa" w:w="8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26–73</w:t>
            </w:r>
          </w:p>
        </w:tc>
        <w:tc>
          <w:tcPr>
            <w:tcW w:type="dxa" w:w="65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157</w:t>
            </w:r>
          </w:p>
        </w:tc>
        <w:tc>
          <w:tcPr>
            <w:tcW w:type="dxa" w:w="636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hGLI1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GLI1 — oncogene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A55</w:t>
            </w:r>
          </w:p>
        </w:tc>
        <w:tc>
          <w:tcPr>
            <w:tcW w:type="dxa" w:w="6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6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28</w:t>
            </w:r>
          </w:p>
        </w:tc>
        <w:tc>
          <w:tcPr>
            <w:tcW w:type="dxa" w:w="7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228</w:t>
            </w:r>
          </w:p>
        </w:tc>
        <w:tc>
          <w:tcPr>
            <w:tcW w:type="dxa" w:w="8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18–77</w:t>
            </w:r>
          </w:p>
        </w:tc>
        <w:tc>
          <w:tcPr>
            <w:tcW w:type="dxa" w:w="8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41–75</w:t>
            </w:r>
          </w:p>
        </w:tc>
        <w:tc>
          <w:tcPr>
            <w:tcW w:type="dxa" w:w="6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A0A0A0"/>
                <w:sz w:val="16"/>
                <w:szCs w:val="16"/>
              </w:rPr>
              <w:t xml:space="preserve">0</w:t>
            </w:r>
          </w:p>
        </w:tc>
        <w:tc>
          <w:tcPr>
            <w:tcW w:type="dxa" w:w="636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50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PRE_MIRNA142</w:t>
            </w:r>
          </w:p>
        </w:tc>
        <w:tc>
          <w:tcPr>
            <w:tcW w:type="dxa" w:w="185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pre-miR-142</w:t>
            </w:r>
          </w:p>
        </w:tc>
        <w:tc>
          <w:tcPr>
            <w:tcW w:type="dxa" w:w="170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A3, A18–20, A23, A37, A47, A52, A59</w:t>
            </w:r>
          </w:p>
        </w:tc>
        <w:tc>
          <w:tcPr>
            <w:tcW w:type="dxa" w:w="6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6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7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400</w:t>
            </w:r>
          </w:p>
        </w:tc>
        <w:tc>
          <w:tcPr>
            <w:tcW w:type="dxa" w:w="8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22–68</w:t>
            </w:r>
          </w:p>
        </w:tc>
        <w:tc>
          <w:tcPr>
            <w:tcW w:type="dxa" w:w="8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18–68</w:t>
            </w:r>
          </w:p>
        </w:tc>
        <w:tc>
          <w:tcPr>
            <w:tcW w:type="dxa" w:w="65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A0A0A0"/>
                <w:sz w:val="16"/>
                <w:szCs w:val="16"/>
              </w:rPr>
              <w:t xml:space="preserve">0</w:t>
            </w:r>
          </w:p>
        </w:tc>
        <w:tc>
          <w:tcPr>
            <w:tcW w:type="dxa" w:w="636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GluR-B_QR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GRIA2 — Q/R site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A6</w:t>
            </w:r>
          </w:p>
        </w:tc>
        <w:tc>
          <w:tcPr>
            <w:tcW w:type="dxa" w:w="6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6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7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400</w:t>
            </w:r>
          </w:p>
        </w:tc>
        <w:tc>
          <w:tcPr>
            <w:tcW w:type="dxa" w:w="8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10–56</w:t>
            </w:r>
          </w:p>
        </w:tc>
        <w:tc>
          <w:tcPr>
            <w:tcW w:type="dxa" w:w="8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25–75</w:t>
            </w:r>
          </w:p>
        </w:tc>
        <w:tc>
          <w:tcPr>
            <w:tcW w:type="dxa" w:w="6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54</w:t>
            </w:r>
          </w:p>
        </w:tc>
        <w:tc>
          <w:tcPr>
            <w:tcW w:type="dxa" w:w="636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28</w:t>
            </w:r>
          </w:p>
        </w:tc>
      </w:tr>
      <w:tr>
        <w:tc>
          <w:tcPr>
            <w:tcW w:type="dxa" w:w="150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GluR-B_RG</w:t>
            </w:r>
          </w:p>
        </w:tc>
        <w:tc>
          <w:tcPr>
            <w:tcW w:type="dxa" w:w="185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GRIA2 — R/G site</w:t>
            </w:r>
          </w:p>
        </w:tc>
        <w:tc>
          <w:tcPr>
            <w:tcW w:type="dxa" w:w="170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A6</w:t>
            </w:r>
          </w:p>
        </w:tc>
        <w:tc>
          <w:tcPr>
            <w:tcW w:type="dxa" w:w="6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6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7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400</w:t>
            </w:r>
          </w:p>
        </w:tc>
        <w:tc>
          <w:tcPr>
            <w:tcW w:type="dxa" w:w="8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8–56</w:t>
            </w:r>
          </w:p>
        </w:tc>
        <w:tc>
          <w:tcPr>
            <w:tcW w:type="dxa" w:w="8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6–75</w:t>
            </w:r>
          </w:p>
        </w:tc>
        <w:tc>
          <w:tcPr>
            <w:tcW w:type="dxa" w:w="65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67</w:t>
            </w:r>
          </w:p>
        </w:tc>
        <w:tc>
          <w:tcPr>
            <w:tcW w:type="dxa" w:w="636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39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GluR_BRG_15mer_2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GRIA2 — R/G 15mer variant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A6</w:t>
            </w:r>
          </w:p>
        </w:tc>
        <w:tc>
          <w:tcPr>
            <w:tcW w:type="dxa" w:w="6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6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135</w:t>
            </w:r>
          </w:p>
        </w:tc>
        <w:tc>
          <w:tcPr>
            <w:tcW w:type="dxa" w:w="7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335</w:t>
            </w:r>
          </w:p>
        </w:tc>
        <w:tc>
          <w:tcPr>
            <w:tcW w:type="dxa" w:w="8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8–34</w:t>
            </w:r>
          </w:p>
        </w:tc>
        <w:tc>
          <w:tcPr>
            <w:tcW w:type="dxa" w:w="8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17–85</w:t>
            </w:r>
          </w:p>
        </w:tc>
        <w:tc>
          <w:tcPr>
            <w:tcW w:type="dxa" w:w="6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86</w:t>
            </w:r>
          </w:p>
        </w:tc>
        <w:tc>
          <w:tcPr>
            <w:tcW w:type="dxa" w:w="636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44</w:t>
            </w:r>
          </w:p>
        </w:tc>
      </w:tr>
      <w:tr>
        <w:tc>
          <w:tcPr>
            <w:tcW w:type="dxa" w:w="150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5"/>
                <w:szCs w:val="15"/>
              </w:rPr>
              <w:t xml:space="preserve">Total</w:t>
            </w:r>
          </w:p>
        </w:tc>
        <w:tc>
          <w:tcPr>
            <w:tcW w:type="dxa" w:w="185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/>
            </w:r>
          </w:p>
        </w:tc>
        <w:tc>
          <w:tcPr>
            <w:tcW w:type="dxa" w:w="170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/>
            </w:r>
          </w:p>
        </w:tc>
        <w:tc>
          <w:tcPr>
            <w:tcW w:type="dxa" w:w="6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1,800</w:t>
            </w:r>
          </w:p>
        </w:tc>
        <w:tc>
          <w:tcPr>
            <w:tcW w:type="dxa" w:w="6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1,276</w:t>
            </w:r>
          </w:p>
        </w:tc>
        <w:tc>
          <w:tcPr>
            <w:tcW w:type="dxa" w:w="7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3,076</w:t>
            </w:r>
          </w:p>
        </w:tc>
        <w:tc>
          <w:tcPr>
            <w:tcW w:type="dxa" w:w="8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/>
            </w:r>
          </w:p>
        </w:tc>
        <w:tc>
          <w:tcPr>
            <w:tcW w:type="dxa" w:w="82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364</w:t>
            </w:r>
          </w:p>
        </w:tc>
        <w:tc>
          <w:tcPr>
            <w:tcW w:type="dxa" w:w="636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274</w:t>
            </w:r>
          </w:p>
        </w:tc>
      </w:tr>
    </w:tbl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Composition by perturbation class</w:t>
      </w:r>
    </w:p>
    <w:tbl>
      <w:tblPr>
        <w:tblW w:type="dxa" w:w="993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5000"/>
        <w:gridCol w:w="2468"/>
        <w:gridCol w:w="2468"/>
      </w:tblGrid>
      <w:tr>
        <w:trPr>
          <w:tblHeader/>
        </w:trPr>
        <w:tc>
          <w:tcPr>
            <w:tcW w:type="dxa" w:w="5000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2468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2468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Share</w:t>
            </w:r>
          </w:p>
        </w:tc>
      </w:tr>
      <w:tr>
        <w:tc>
          <w:tcPr>
            <w:tcW w:type="dxa" w:w="5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Above (5′ of edit site)</w:t>
            </w:r>
          </w:p>
        </w:tc>
        <w:tc>
          <w:tcPr>
            <w:tcW w:type="dxa" w:w="24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1,448</w:t>
            </w:r>
          </w:p>
        </w:tc>
        <w:tc>
          <w:tcPr>
            <w:tcW w:type="dxa" w:w="24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47.1%</w:t>
            </w:r>
          </w:p>
        </w:tc>
      </w:tr>
      <w:tr>
        <w:tc>
          <w:tcPr>
            <w:tcW w:type="dxa" w:w="500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Below (3′, toward loop)</w:t>
            </w:r>
          </w:p>
        </w:tc>
        <w:tc>
          <w:tcPr>
            <w:tcW w:type="dxa" w:w="2468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839</w:t>
            </w:r>
          </w:p>
        </w:tc>
        <w:tc>
          <w:tcPr>
            <w:tcW w:type="dxa" w:w="2468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27.3%</w:t>
            </w:r>
          </w:p>
        </w:tc>
      </w:tr>
      <w:tr>
        <w:tc>
          <w:tcPr>
            <w:tcW w:type="dxa" w:w="5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Combined above+below</w:t>
            </w:r>
          </w:p>
        </w:tc>
        <w:tc>
          <w:tcPr>
            <w:tcW w:type="dxa" w:w="24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364</w:t>
            </w:r>
          </w:p>
        </w:tc>
        <w:tc>
          <w:tcPr>
            <w:tcW w:type="dxa" w:w="24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11.8%</w:t>
            </w:r>
          </w:p>
        </w:tc>
      </w:tr>
      <w:tr>
        <w:tc>
          <w:tcPr>
            <w:tcW w:type="dxa" w:w="500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Across (opposing base)</w:t>
            </w:r>
          </w:p>
        </w:tc>
        <w:tc>
          <w:tcPr>
            <w:tcW w:type="dxa" w:w="2468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239</w:t>
            </w:r>
          </w:p>
        </w:tc>
        <w:tc>
          <w:tcPr>
            <w:tcW w:type="dxa" w:w="2468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7.8%</w:t>
            </w:r>
          </w:p>
        </w:tc>
      </w:tr>
      <w:tr>
        <w:tc>
          <w:tcPr>
            <w:tcW w:type="dxa" w:w="5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Unmutated parent</w:t>
            </w:r>
          </w:p>
        </w:tc>
        <w:tc>
          <w:tcPr>
            <w:tcW w:type="dxa" w:w="24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186</w:t>
            </w:r>
          </w:p>
        </w:tc>
        <w:tc>
          <w:tcPr>
            <w:tcW w:type="dxa" w:w="24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6.0%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The hypothesis behind the structure</w:t>
      </w:r>
    </w:p>
    <w:tbl>
      <w:tblPr>
        <w:tblW w:type="dxa" w:w="9936"/>
        <w:tblBorders>
          <w:top w:val="single" w:color="D9D9D9" w:sz="2"/>
          <w:left w:val="single" w:color="1F4E79" w:sz="18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F2F6FA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OVERALL HYPOTHESIS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ADAR editing efficiency is jointly determined by three kinetic parameters: k_fold, the thermodynamic stability of the dsRNA hairpin conformation; k_bind, the efficiency with which ADAR engages the duplex; and k_flip, the energetic cost of extruding the target adenosine from the helix for deamination. By systematically varying base-pair identity, stem length, and the identity of the base opposing the edit site — combined with DMS-MaPseq structural probing to validate solution conformation — the contribution of each parameter can be deconvolved across a diverse set of endogenous ADAR substrates.</w:t>
            </w:r>
          </w:p>
        </w:tc>
      </w:tr>
    </w:tbl>
    <w:p>
      <w:pPr>
        <w:spacing w:after="160" w:line="288"/>
      </w:pPr>
      <w:r>
        <w:rPr>
          <w:rFonts w:ascii="Calibri" w:cs="Calibri" w:eastAsia="Calibri" w:hAnsi="Calibri"/>
          <w:sz w:val="21"/>
          <w:szCs w:val="21"/>
        </w:rPr>
        <w:t xml:space="preserve">Each perturbation class in the library is designed to load onto one of those three parameters, so that the measured editing response separates them.</w:t>
      </w:r>
    </w:p>
    <w:tbl>
      <w:tblPr>
        <w:tblW w:type="dxa" w:w="993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900"/>
        <w:gridCol w:w="2200"/>
        <w:gridCol w:w="1500"/>
        <w:gridCol w:w="4336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Variant class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changes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4336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Hypothesis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Length trimming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Stem shortened inward from both ends, anchored on the edit site.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k_fold, k_bind</w:t>
            </w:r>
          </w:p>
        </w:tc>
        <w:tc>
          <w:tcPr>
            <w:tcW w:type="dxa" w:w="4336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minimum duplex length is required for stable folding and productive ADAR engagement. Shorter stems reduce k_bind by limiting the dsRNA footprint. DMS-MaPseq confirms which truncations retain the native fold.</w:t>
            </w:r>
          </w:p>
        </w:tc>
      </w:tr>
      <w:tr>
        <w:tc>
          <w:tcPr>
            <w:tcW w:type="dxa" w:w="190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Above mutations (1–5 bp, cumulative)</w:t>
            </w:r>
          </w:p>
        </w:tc>
        <w:tc>
          <w:tcPr>
            <w:tcW w:type="dxa" w:w="220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Base pairs 5′ of the edit site set to all-GC or all-AU.</w:t>
            </w:r>
          </w:p>
        </w:tc>
        <w:tc>
          <w:tcPr>
            <w:tcW w:type="dxa" w:w="150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k_bind, k_fold</w:t>
            </w:r>
          </w:p>
        </w:tc>
        <w:tc>
          <w:tcPr>
            <w:tcW w:type="dxa" w:w="4336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GC-rich regions above the edit site stabilise the duplex and enhance ADAR binding affinity. AU-rich regions destabilise it, lower the local melting temperature, and reduce editing.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Below mutations (1–5 bp, cumulative)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Base pairs 3′ of the edit site, toward the loop, set to all-GC or all-AU.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k_flip</w:t>
            </w:r>
          </w:p>
        </w:tc>
        <w:tc>
          <w:tcPr>
            <w:tcW w:type="dxa" w:w="4336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base pair closing the edit site on the loop side resists base flipping. GC pairs below raise the barrier to k_flip and suppress editing; AU pairs facilitate flipping and increase it.</w:t>
            </w:r>
          </w:p>
        </w:tc>
      </w:tr>
      <w:tr>
        <w:tc>
          <w:tcPr>
            <w:tcW w:type="dxa" w:w="190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Across mutations (C, G, A)</w:t>
            </w:r>
          </w:p>
        </w:tc>
        <w:tc>
          <w:tcPr>
            <w:tcW w:type="dxa" w:w="220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Base paired with the target adenosine changed from U to C, G or A.</w:t>
            </w:r>
          </w:p>
        </w:tc>
        <w:tc>
          <w:tcPr>
            <w:tcW w:type="dxa" w:w="150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k_flip, deamination rate</w:t>
            </w:r>
          </w:p>
        </w:tc>
        <w:tc>
          <w:tcPr>
            <w:tcW w:type="dxa" w:w="4336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opposing base sets the mismatch energy at the edit site directly. A·C mismatches are preferred by ADAR over A·U Watson–Crick pairs (lower k_flip barrier). A·G and A·A test how local instability drives or inhibits deamination independently of global duplex stability.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Combined above+below (5 × 5)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Both flanking regions mutated simultaneously, GC or AU.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k_fold × k_flip interaction</w:t>
            </w:r>
          </w:p>
        </w:tc>
        <w:tc>
          <w:tcPr>
            <w:tcW w:type="dxa" w:w="4336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Tests whether above and below effects are independent or cooperative. A stable duplex above with a weak pair below may optimally balance k_bind and k_flip; fully GC or fully AU surroundings reveal the upper and lower bounds of editing efficiency.</w:t>
            </w:r>
          </w:p>
        </w:tc>
      </w:tr>
      <w:tr>
        <w:tc>
          <w:tcPr>
            <w:tcW w:type="dxa" w:w="190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DMS-MaPseq validation</w:t>
            </w:r>
          </w:p>
        </w:tc>
        <w:tc>
          <w:tcPr>
            <w:tcW w:type="dxa" w:w="220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sequence change — chemical probing of all variants.</w:t>
            </w:r>
          </w:p>
        </w:tc>
        <w:tc>
          <w:tcPr>
            <w:tcW w:type="dxa" w:w="1500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k_fold (structural)</w:t>
            </w:r>
          </w:p>
        </w:tc>
        <w:tc>
          <w:tcPr>
            <w:tcW w:type="dxa" w:w="4336"/>
            <w:shd w:fill="F7F9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Confirms the designed mutations produce the intended structural change in solution. Unpaired A/C reactivity validates the assumed dot-bracket topology and reveals misfolding or alternative structures that would confound kinetic interpretation.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Coverage of this set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Three properties of the ordered set bear on how far each hypothesis can be tested. None reflects a synthesis error — all 3,076 designs were built and submitted as intended — but each constrains interpretation.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The interaction arm covers four parents, not nine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Library 1 fills its 200-per-parent quota with the longest designs, and Library 2 draws deeper trims before combined variants. Parents with rich length ladders therefore exhaust their quota before reaching the combination grid.</w:t>
      </w:r>
    </w:p>
    <w:tbl>
      <w:tblPr>
        <w:tblW w:type="dxa" w:w="993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Combined variants present</w:t>
            </w:r>
          </w:p>
        </w:tc>
        <w:tc>
          <w:tcPr>
            <w:tcW w:type="dxa" w:w="4968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Combined variants absent</w:t>
            </w:r>
          </w:p>
        </w:tc>
      </w:tr>
      <w:tr>
        <w:tc>
          <w:tcPr>
            <w:tcW w:type="dxa" w:w="49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BDF2 (157), GluR_BRG_15mer_2 (86), GluR-B_RG (67), GluR-B_QR (54)</w:t>
            </w:r>
          </w:p>
        </w:tc>
        <w:tc>
          <w:tcPr>
            <w:tcW w:type="dxa" w:w="4968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5-HT2C_2, NEIL1, AZIN1, hGLI1, PRE_MIRNA142</w:t>
            </w:r>
          </w:p>
        </w:tc>
      </w:tr>
    </w:tbl>
    <w:p>
      <w:pPr>
        <w:spacing w:after="160" w:line="288"/>
      </w:pPr>
      <w:r>
        <w:rPr>
          <w:rFonts w:ascii="Calibri" w:cs="Calibri" w:eastAsia="Calibri" w:hAnsi="Calibri"/>
          <w:sz w:val="21"/>
          <w:szCs w:val="21"/>
        </w:rPr>
        <w:t xml:space="preserve">The k_fold × k_flip interaction hypothesis is therefore testable on four parents. The other five contribute to the single-axis hypotheses only.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274 designs fall below the ADAR substrate threshold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The trim ladder has no minimum length, so it peels to 6 nt. 274 designs are under 20 nt, concentrated in AZIN1 (103 of its 229). These should read at the assay floor regardless of mutation class — which makes them a usable empirical floor estimate, but they should be excluded before fitting any length–response curve.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3,076 oligos carry 2,539 distinct sequences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537 oligos duplicate another design’s sequence under a different barcode and a different mutation label. The cause is that a substitution setting a base pair that was already present leaves the sequence unchanged, and a mutation outside the retained trim window is not represented in the child. These duplicates are genuine technical replicates — the same molecule under independent barcodes — and give a direct estimate of assay noise.</w:t>
      </w:r>
    </w:p>
    <w:tbl>
      <w:tblPr>
        <w:tblW w:type="dxa" w:w="9936"/>
        <w:tblBorders>
          <w:top w:val="single" w:color="D9D9D9" w:sz="2"/>
          <w:left w:val="single" w:color="B07A00" w:sz="18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FFF8E8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07A00"/>
                <w:sz w:val="17"/>
                <w:szCs w:val="17"/>
              </w:rPr>
              <w:t xml:space="preserve">ANALYSIS CONSEQUENCE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Group reads on the designed sequence, not on the mutation label. Grouping by label would score a sequence identical to its unmutated parent as a real mutation effect of zero, biasing the additivity test toward the additive conclusion it is meant to test.</w:t>
            </w:r>
          </w:p>
        </w:tc>
      </w:tr>
    </w:tbl>
    <w:sectPr>
      <w:pgSz w:w="12240" w:h="15840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d33d64bae5e429a35167b9b4529336ee2d48ed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ADAR Pilot Library — Set 1</dc:title>
  <dc:creator>ADAR pilot library</dc:creator>
  <dc:description>What the ordered Set 1 library contains, its parent structures, and the kinetic hypothesis behind it</dc:description>
  <cp:lastModifiedBy>Un-named</cp:lastModifiedBy>
  <cp:revision>1</cp:revision>
  <dcterms:created xsi:type="dcterms:W3CDTF">2026-10-02T20:46:20.572Z</dcterms:created>
  <dcterms:modified xsi:type="dcterms:W3CDTF">2026-10-02T20:46:20.578Z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