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ADAR Library Design Summary</w:t>
      </w:r>
    </w:p>
    <w:p>
      <w:r>
        <w:t>This document summarises the two-part sequence variant library generated from 9 validated ADAR parent hairpin substrates, together with the experimental hypotheses underlying each mutation class.</w:t>
      </w:r>
    </w:p>
    <w:p>
      <w:pPr>
        <w:pStyle w:val="Heading1"/>
        <w:jc w:val="left"/>
      </w:pPr>
      <w:r>
        <w:t>Table 1: Library Summary by Parent Substrate</w:t>
      </w:r>
    </w:p>
    <w:p>
      <w:r>
        <w:t>Combined library: 3,076 entries across two sub-libraries (Library 1: 1,800; Library 2: 1,276). Three parents were excluded as non-simple-hairpin or edit-site-outside-stem structures (5-HT2C_1, AZIN1_2, GluR_BRG_15mer).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Parent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Endogenous Substrate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Edit Site(s)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Lib 1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Lib 2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Length Range</w:t>
            </w:r>
          </w:p>
        </w:tc>
        <w:tc>
          <w:tcPr>
            <w:tcW w:type="dxa" w:w="10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GC Range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5-HT2C_2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HTR2C — serotonin receptor 2C pre-mRNA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A4, A6, A16, A25, A47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71–75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30–52%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NEIL1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NEIL1 — DNA glycosylase pre-mRNA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33–74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37–68%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AZIN1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AZIN1 — antizyme inhibitor 1 pre-mRNA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A31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11–41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8–76%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BDF2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23–53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30–67%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hGLI1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GLI1 — oncogene pre-mRNA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A55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30–77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41–75%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PRE_MIRNA142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pre-miR-142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A3, A18–20, A23, A37, A47, A52, A59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66–68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34–56%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GluR-B_QR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GRIA2 — glutamate receptor B, Q/R site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42–56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36–64%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GluR-B_RG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GRIA2 — glutamate receptor B, R/G site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42–56 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22–52%</w:t>
            </w:r>
          </w:p>
        </w:tc>
      </w:tr>
      <w:tr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GluR_BRG_15mer_2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GRIA2 — R/G site 15mer variant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20–34 nt</w:t>
            </w:r>
          </w:p>
        </w:tc>
        <w:tc>
          <w:tcPr>
            <w:tcW w:type="dxa" w:w="1080"/>
            <w:shd w:val="clear" w:color="auto" w:fill="DEEAF1"/>
          </w:tcPr>
          <w:p>
            <w:r>
              <w:rPr>
                <w:sz w:val="18"/>
              </w:rPr>
              <w:t>23–76%</w:t>
            </w:r>
          </w:p>
        </w:tc>
      </w:tr>
      <w:tr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  <w:t>1,800</w:t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  <w:t>1,276</w:t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  <w:t>3,076</w:t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080"/>
            <w:shd w:val="clear" w:color="auto" w:fill="BDD7EE"/>
          </w:tcPr>
          <w:p>
            <w:r>
              <w:rPr>
                <w:b/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Overall Hypothesis</w:t>
      </w:r>
    </w:p>
    <w:p>
      <w:r>
        <w:t>ADAR editing efficiency is jointly determined by three kinetic parameters: (1) kfold — the thermodynamic stability of the dsRNA hairpin conformation; (2) kbind — the efficiency with which ADAR engages the duplex; and (3) kflip — the energetic cost of extruding the target adenosine from the helix for deamination. By systematically varying base-pair identity, stem length, and the identity of the base opposing the edit site, combined with DMS-MaPseq structural probing to validate solution conformation, we can deconvolve the contribution of each parameter to overall editing efficiency across a diverse set of endogenous ADAR substrates.</w:t>
      </w:r>
    </w:p>
    <w:p>
      <w:pPr>
        <w:pStyle w:val="Heading1"/>
        <w:jc w:val="left"/>
      </w:pPr>
      <w:r>
        <w:t>Table 2: Mutation Classes and Experimental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Variant Class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Changes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Primary Parameter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Hypothesis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b/>
                <w:sz w:val="18"/>
              </w:rPr>
              <w:t>Length trimming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Stem shortened inward from both ends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kfold, kbind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A minimum duplex length is required for stable folding and productive ADAR engagement. Shorter stems reduce kbind by limiting the dsRNA footprint (~15 bp optimal). DMS-MaPseq confirms which truncations maintain the native fold.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Above mutations</w:t>
              <w:br/>
              <w:t>(1–5 bp, cumulative)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bp identity 5′ of edit site changed</w:t>
              <w:br/>
              <w:t>to all-GC or all-AU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kbind, kfold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GC-rich regions above the edit site stabilise the duplex (↑kfold) and enhance ADAR binding affinity (↑kbind). AU-rich regions destabilise the duplex, reduce local melting temperature, and lower editing efficiency.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b/>
                <w:sz w:val="18"/>
              </w:rPr>
              <w:t>Below mutations</w:t>
              <w:br/>
              <w:t>(1–5 bp, cumulative)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bp identity 3′ of edit site</w:t>
              <w:br/>
              <w:t>(toward loop) changed</w:t>
              <w:br/>
              <w:t>to all-GC or all-AU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kflip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The bp immediately closing the edit site on the loop side resists base flipping. GC pairs below the edit site raise the energetic barrier to kflip and suppress editing; AU pairs facilitate flipping and increase editing efficiency.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Across mutations</w:t>
              <w:br/>
              <w:t>(C, G, 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paired with the A edit site</w:t>
              <w:br/>
              <w:t>changed from U to C, G, or 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kflip, editing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opposing base directly sets the mismatch energy at the edit site. A·C mismatches are preferred by ADAR over A·U Watson-Crick pairs (lower kflip barrier). A·G and A·A mismatches test how local instability drives or inhibits deamination independently of global duplex stability.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b/>
                <w:sz w:val="18"/>
              </w:rPr>
              <w:t>Combined above+below</w:t>
              <w:br/>
              <w:t>(all 5×5 combinations)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Both flanking regions mutated</w:t>
              <w:br/>
              <w:t>simultaneously, GC or AU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kfold + kflip</w:t>
              <w:br/>
              <w:t>(interaction)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8"/>
              </w:rPr>
              <w:t>Tests whether the effects of above and below mutations are independent or cooperative. A stable duplex above with a weak bp below may optimally balance kbind and kflip; fully GC or fully AU surroundings reveal the upper and lower bounds of editing efficiency.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DMS-MaPseq</w:t>
              <w:br/>
              <w:t>structural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sequence change — chemical</w:t>
              <w:br/>
              <w:t>probing of all 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kfold (structural)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Confirms that designed mutations produce the intended structural changes in solution. Unpaired A/C reactivity maps validate the assumed dot-bracket topology and reveal unexpected misfolding or alternative structures that could confound kinetic interpretation.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